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3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July 31, 2011 was 51,285,615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186690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0"/>
          </w:tcPr>
          <w:p>
            <w:pPr>
              <w:spacing w:after="0"/>
              <w:rPr>
                <w:rFonts w:ascii="Arial" w:cs="Arial" w:eastAsia="Arial" w:hAnsi="Arial"/>
                <w:sz w:val="18"/>
                <w:szCs w:val="18"/>
                <w:b w:val="1"/>
                <w:bCs w:val="1"/>
                <w:color w:val="0000FF"/>
                <w:w w:val="99"/>
              </w:rPr>
            </w:pPr>
            <w:hyperlink w:anchor="page14">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2"/>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30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33">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5. OTHER INFORMATION</w:t>
              </w:r>
            </w:hyperlink>
          </w:p>
        </w:tc>
        <w:tc>
          <w:tcPr>
            <w:tcW w:w="728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728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187,235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97,225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$16,105 at June 30, 2011 and $14,924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2010</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280,394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288,765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733,375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$192,482 at June 30, 2011 and $166,094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470,819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445,713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$126,304 at June 30, 2011 and $109,726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$23,088 at June 30, 2011 and $20,805 at December 31, 2010</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1,444,116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291,811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324,466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535,277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571,360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286,105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890,495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51,773,407 issued at June 30, 2011 and 51,462,195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759,682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752,209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500,693 shares at June 30, 2011 and 482,839 shares at December 31, 2010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512,611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1,444,116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494,231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326,697</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31,448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63,620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41,043</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506,378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459,460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16,542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36,017</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34,771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3,189</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42,875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29,925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29,173</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40"/>
              <w:spacing w:after="0"/>
              <w:rPr>
                <w:sz w:val="20"/>
                <w:szCs w:val="20"/>
                <w:color w:val="auto"/>
              </w:rPr>
            </w:pPr>
            <w:r>
              <w:rPr>
                <w:rFonts w:ascii="Arial" w:cs="Arial" w:eastAsia="Arial" w:hAnsi="Arial"/>
                <w:sz w:val="18"/>
                <w:szCs w:val="18"/>
                <w:color w:val="auto"/>
                <w:w w:val="92"/>
              </w:rPr>
              <w:t>Earnings (loss) per share attributable to Euronet Worldwide, Inc. stockholders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51,219,681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50,914,453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51,144,154</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50,857,812</w:t>
            </w: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40"/>
              <w:spacing w:after="0"/>
              <w:rPr>
                <w:sz w:val="20"/>
                <w:szCs w:val="20"/>
                <w:color w:val="auto"/>
              </w:rPr>
            </w:pPr>
            <w:r>
              <w:rPr>
                <w:rFonts w:ascii="Arial" w:cs="Arial" w:eastAsia="Arial" w:hAnsi="Arial"/>
                <w:sz w:val="18"/>
                <w:szCs w:val="18"/>
                <w:color w:val="auto"/>
                <w:w w:val="92"/>
              </w:rPr>
              <w:t>Earnings (loss) per share attributable to Euronet Worldwide, Inc. stockholders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51,957,942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50,914,453</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51,950,613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51,777,392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7"/>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29,925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2,360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30,943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(63,631)</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(61,271)</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w w:val="98"/>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59,581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(61,156)</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88,038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127,700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 to noncontrolling interests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187,235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183,528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225,506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202,587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12,471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15,191</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33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June 30, 2011, and the results of its operations for the three- and six-month periods ended June 30, 2011 and 2010 and cash flows for the six-month periods ended June 30, 2011 and 2010.</w:t>
      </w:r>
    </w:p>
    <w:p>
      <w:pPr>
        <w:spacing w:after="0" w:line="6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2010, including the notes thereto, set forth in the Company’s 2010 Annual Report on Form 10-K.</w:t>
      </w:r>
    </w:p>
    <w:p>
      <w:pPr>
        <w:spacing w:after="0" w:line="3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six-month periods ended June 30, 2011 are not necessarily indicative of the results to be expected for the full year ending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In June 2011, the Financial Accounting Standards Board issued Accounting Standards Update ("ASU") 2011-05, </w:t>
      </w:r>
      <w:r>
        <w:rPr>
          <w:rFonts w:ascii="Arial" w:cs="Arial" w:eastAsia="Arial" w:hAnsi="Arial"/>
          <w:sz w:val="18"/>
          <w:szCs w:val="18"/>
          <w:i w:val="1"/>
          <w:iCs w:val="1"/>
          <w:color w:val="auto"/>
        </w:rPr>
        <w:t>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Under ASU 2011-05, an entity has the option to present the total of comprehensive income, the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the components of other comprehensive income</w:t>
      </w:r>
    </w:p>
    <w:p>
      <w:pPr>
        <w:spacing w:after="0" w:line="292" w:lineRule="auto"/>
        <w:rPr>
          <w:sz w:val="20"/>
          <w:szCs w:val="20"/>
          <w:color w:val="auto"/>
        </w:rPr>
      </w:pPr>
      <w:r>
        <w:rPr>
          <w:rFonts w:ascii="Arial" w:cs="Arial" w:eastAsia="Arial" w:hAnsi="Arial"/>
          <w:sz w:val="16"/>
          <w:szCs w:val="16"/>
          <w:color w:val="auto"/>
        </w:rPr>
        <w:t>either in a single continuous statement of comprehensive income or in two separate but consecutive statements. ASU 2011-05 eliminates the option to present the components of other comprehensive income as part of the statement of changes in stockholders’ equity. Finally, ASU 2011-05 requires an entity to present reclassification adjustments on the face of the financial statements from other comprehensive income to net income. The requirements apply to both annual and interim financial statements and should be applied retrospectively. ASU 2011-05 is effective for public entities for fiscal years beginning after December 15, 2011 with early adoption permitted. The adoption of ASU 2011-05 is not expected to materially affect the Company's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the Company to money transfer recipients. As of June 30, 2011, the Company’s money transfer settlement obligations were $36.1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96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24"/>
                <w:szCs w:val="24"/>
                <w:color w:val="auto"/>
              </w:rPr>
            </w:pPr>
          </w:p>
        </w:tc>
      </w:tr>
      <w:tr>
        <w:trPr>
          <w:trHeight w:val="263"/>
        </w:trPr>
        <w:tc>
          <w:tcPr>
            <w:tcW w:w="5960" w:type="dxa"/>
            <w:vAlign w:val="bottom"/>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22"/>
                <w:szCs w:val="22"/>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51,219,681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50,914,453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51,144,154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50,857,812</w:t>
            </w:r>
          </w:p>
        </w:tc>
      </w:tr>
      <w:tr>
        <w:trPr>
          <w:trHeight w:val="229"/>
        </w:trPr>
        <w:tc>
          <w:tcPr>
            <w:tcW w:w="5960" w:type="dxa"/>
            <w:vAlign w:val="bottom"/>
          </w:tcPr>
          <w:p>
            <w:pPr>
              <w:ind w:left="180"/>
              <w:spacing w:after="0"/>
              <w:rPr>
                <w:sz w:val="20"/>
                <w:szCs w:val="20"/>
                <w:color w:val="auto"/>
              </w:rPr>
            </w:pPr>
            <w:r>
              <w:rPr>
                <w:rFonts w:ascii="Arial" w:cs="Arial" w:eastAsia="Arial" w:hAnsi="Arial"/>
                <w:sz w:val="18"/>
                <w:szCs w:val="18"/>
                <w:color w:val="auto"/>
                <w:w w:val="94"/>
              </w:rPr>
              <w:t>Incremental shares from assumed conversion of stock options and restricted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stock</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738,261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806,459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919,580</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51,957,942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50,914,453</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51,950,613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51,777,392</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For the three months ended June 30, 2010, the Company incurred a net loss; therefore, diluted loss per share is the same as basic loss per share for the period. The calculation of diluted earnings (loss) per share excludes stock options or shares of restricted stock that are anti-dilutive to the Company’s weighted average common shares outstanding of approximately 1,817,000 and 1,751,000 for the three- and six-month periods ended June 30, 2011, respectively, and of approximately 4,963,000 and 2,252,000 for the three- and six-month periods ended June 30, 2010, respectively.</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3.50% debentures are convertible into 4.3 million shares of common stock only upon the occurrence of certain conditions. Under the if-converted method, the assumed conversion of the 3.50% debentures was anti-dilutive for the three- and six-month periods ended June 30, 2011 and 2010. The Company’s remaining 1.625% convertible debentures outstanding were repurchased in January 2010 and the assumed conversion of the then-outstanding debentures was anti-dilutive for the six-month period ended June 30, 2010.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six-month period ended June 30,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541,532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(11,078)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28,340</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90,902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470,819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561,721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2011, is expected to total $21.5 million for 2011, $19.3 million for 2012, $14.3 million for 2013, $11.4 million for 2014, $6.2 million for 2015 and $4.6 million for 2016.</w:t>
      </w:r>
    </w:p>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2010 resulted in the Company recording an estimated non-cash goodwill impairment charge of $70.9 million in the fourth quarter of 2010 related to its epay reporting units in the U.K., Spain and Romania.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six-month period ended June 30,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2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293,404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loss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2011</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295,527</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June 30, 2011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164,786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291,101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3.50% convertible debentures had principal amounts outstanding of $175.0 million and unamortized discounts outstanding of $10.2 million and $14.0 million as of June 30, 2011 and December 31, 2010, respectively. The discount will be amortized through October 15, 2012. Interest expense, including contractual interest and discount accretion, was $3.4 million and $3.3 million for the three months ended June 30, 2011 and 2010, respectively, and $6.8 million and $6.5 million for the six months ended June 30, 2011 and 2010, respectively. The effective interest rate was 8.4% for the three and six months ended June 30, 2011 and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As of June 30, 2011, the Company had foreign currency forward contracts outstanding with a notional value of $60.5 million, primarily in euros and U.S. dollars, which were not designated as hedges and had a weighted average remaining maturity of 4.1 days.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unaudited Consolidated Balance Sheets.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9"/>
          </w:tcPr>
          <w:p>
            <w:pPr>
              <w:jc w:val="center"/>
              <w:ind w:right="234"/>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center"/>
              <w:ind w:right="594"/>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left="99"/>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vMerge w:val="restart"/>
          </w:tcPr>
          <w:p>
            <w:pPr>
              <w:jc w:val="right"/>
              <w:ind w:right="135"/>
              <w:spacing w:after="0"/>
              <w:rPr>
                <w:sz w:val="20"/>
                <w:szCs w:val="20"/>
                <w:color w:val="auto"/>
              </w:rPr>
            </w:pPr>
            <w:r>
              <w:rPr>
                <w:rFonts w:ascii="Arial" w:cs="Arial" w:eastAsia="Arial" w:hAnsi="Arial"/>
                <w:sz w:val="14"/>
                <w:szCs w:val="14"/>
                <w:b w:val="1"/>
                <w:bCs w:val="1"/>
                <w:color w:val="auto"/>
              </w:rPr>
              <w:t>June 30, 2011</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5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1"/>
              </w:rPr>
              <w:t>Sheet Location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8"/>
          </w:tcPr>
          <w:p>
            <w:pPr>
              <w:jc w:val="center"/>
              <w:ind w:right="474"/>
              <w:spacing w:after="0"/>
              <w:rPr>
                <w:sz w:val="20"/>
                <w:szCs w:val="20"/>
                <w:color w:val="auto"/>
              </w:rPr>
            </w:pPr>
            <w:r>
              <w:rPr>
                <w:rFonts w:ascii="Arial" w:cs="Arial" w:eastAsia="Arial" w:hAnsi="Arial"/>
                <w:sz w:val="18"/>
                <w:szCs w:val="18"/>
                <w:b w:val="1"/>
                <w:bCs w:val="1"/>
                <w:color w:val="auto"/>
                <w:w w:val="87"/>
              </w:rPr>
              <w:t>Asset Derivatives</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6"/>
              </w:rPr>
              <w:t>Cash and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4"/>
          </w:tcPr>
          <w:p>
            <w:pPr>
              <w:jc w:val="center"/>
              <w:spacing w:after="0"/>
              <w:rPr>
                <w:sz w:val="20"/>
                <w:szCs w:val="20"/>
                <w:color w:val="auto"/>
              </w:rPr>
            </w:pPr>
            <w:r>
              <w:rPr>
                <w:rFonts w:ascii="Arial" w:cs="Arial" w:eastAsia="Arial" w:hAnsi="Arial"/>
                <w:sz w:val="18"/>
                <w:szCs w:val="18"/>
                <w:color w:val="auto"/>
                <w:w w:val="86"/>
              </w:rPr>
              <w:t>Cash and cash</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equivalents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6"/>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9"/>
          </w:tcPr>
          <w:p>
            <w:pPr>
              <w:jc w:val="center"/>
              <w:ind w:right="234"/>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1"/>
              </w:rPr>
              <w:t>Other long-term</w:t>
            </w:r>
          </w:p>
        </w:tc>
        <w:tc>
          <w:tcPr>
            <w:tcW w:w="280" w:type="dxa"/>
            <w:vAlign w:val="bottom"/>
            <w:gridSpan w:val="2"/>
            <w:vMerge w:val="restart"/>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gridSpan w:val="13"/>
          </w:tcPr>
          <w:p>
            <w:pPr>
              <w:jc w:val="right"/>
              <w:ind w:right="130"/>
              <w:spacing w:after="0"/>
              <w:rPr>
                <w:sz w:val="20"/>
                <w:szCs w:val="20"/>
                <w:color w:val="auto"/>
              </w:rPr>
            </w:pPr>
            <w:r>
              <w:rPr>
                <w:rFonts w:ascii="Arial" w:cs="Arial" w:eastAsia="Arial" w:hAnsi="Arial"/>
                <w:sz w:val="14"/>
                <w:szCs w:val="14"/>
                <w:b w:val="1"/>
                <w:bCs w:val="1"/>
                <w:color w:val="auto"/>
                <w:w w:val="92"/>
              </w:rPr>
              <w:t>Amount of Gain (Loss) Recognized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2"/>
              </w:rPr>
              <w:t>in Income on Derivative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20" w:type="dxa"/>
            <w:vAlign w:val="bottom"/>
          </w:tcPr>
          <w:p>
            <w:pPr>
              <w:spacing w:after="0"/>
              <w:rPr>
                <w:sz w:val="18"/>
                <w:szCs w:val="18"/>
                <w:color w:val="auto"/>
              </w:rPr>
            </w:pPr>
          </w:p>
        </w:tc>
        <w:tc>
          <w:tcPr>
            <w:tcW w:w="196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7"/>
          </w:tcPr>
          <w:p>
            <w:pPr>
              <w:jc w:val="right"/>
              <w:ind w:right="14"/>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52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Recognized in Income</w:t>
            </w: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on Derivative</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Derivatives not designated as hedging instruments under</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ASC Topic 815</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1"/>
              </w:rPr>
              <w:t>(loss), net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ind w:right="16"/>
              <w:spacing w:after="0"/>
              <w:rPr>
                <w:sz w:val="20"/>
                <w:szCs w:val="20"/>
                <w:color w:val="auto"/>
              </w:rPr>
            </w:pPr>
            <w:r>
              <w:rPr>
                <w:rFonts w:ascii="Arial" w:cs="Arial" w:eastAsia="Arial" w:hAnsi="Arial"/>
                <w:sz w:val="18"/>
                <w:szCs w:val="18"/>
                <w:color w:val="auto"/>
              </w:rPr>
              <w:t>1,266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Foreign currency exchange gain</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(loss),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7,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2014 and revolving credit agreements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Carrying</w:t>
            </w: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2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(172,267)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0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2011 and 2010:</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 June 30,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43,758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261,002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2010</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244,228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31,448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227,686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Six Months Ended June 30, 2011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542,395</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346,276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29,723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506,378</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Six Months Ended June 30, 2010</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494,231</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326,697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63,620</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459,460</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12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As of June 30, 2011, the Company had $102.8 million of stand-by letters of credit/bank guarantees issued on its behalf, of which $20.5 million are collateralized by cash deposits held by the respective issuing banks and $6.1 million are collateralized by trade accounts receivable.</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2011, the Company granted off balance sheet guarantees for cash in various ATM networks amounting to $20.0 million over the terms of the cash supply agreements and performance guarantees amounting to approximately $31.3 million over the terms of the agreements with the customers.</w:t>
      </w:r>
    </w:p>
    <w:p>
      <w:pPr>
        <w:spacing w:after="0" w:line="7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8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2011, the balance of ATM network cash for which the Company was responsible was approximately $300 million. The Company maintains insurance policies to mitigate this exposure;</w:t>
      </w:r>
    </w:p>
    <w:p>
      <w:pPr>
        <w:spacing w:after="0" w:line="78" w:lineRule="exact"/>
        <w:rPr>
          <w:rFonts w:ascii="Arial" w:cs="Arial" w:eastAsia="Arial" w:hAnsi="Arial"/>
          <w:sz w:val="18"/>
          <w:szCs w:val="18"/>
          <w:color w:val="auto"/>
        </w:rPr>
      </w:pPr>
    </w:p>
    <w:p>
      <w:pPr>
        <w:ind w:left="980" w:right="32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owned by third parties and that the systems will perform in accordance with their specifications;</w:t>
      </w:r>
    </w:p>
    <w:p>
      <w:pPr>
        <w:spacing w:after="0" w:line="117" w:lineRule="exact"/>
        <w:rPr>
          <w:sz w:val="20"/>
          <w:szCs w:val="20"/>
          <w:color w:val="auto"/>
        </w:rPr>
      </w:pPr>
    </w:p>
    <w:p>
      <w:pPr>
        <w:ind w:left="980" w:right="4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 w:hanging="648"/>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56" w:lineRule="exact"/>
        <w:rPr>
          <w:rFonts w:ascii="Arial" w:cs="Arial" w:eastAsia="Arial" w:hAnsi="Arial"/>
          <w:sz w:val="16"/>
          <w:szCs w:val="16"/>
          <w:color w:val="auto"/>
        </w:rPr>
      </w:pPr>
    </w:p>
    <w:p>
      <w:pPr>
        <w:ind w:left="980" w:right="2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 and</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obtained surety bonds in compliance with money transfer licensing requirements of the applicable governmental authorities.</w:t>
      </w:r>
    </w:p>
    <w:p>
      <w:pPr>
        <w:spacing w:after="0" w:line="14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June 30, 2011 or December 31,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effective tax rates were 35.7% and 136.2% for the three-month periods ended June 30, 2011 and 2010, respectively, and were 30.2% and 81.1% for the six-month periods ended June 30, 2011 and 2010, respectively. The effective tax rates were significantly influenced by the foreign currency exchange gains and losses in the respective periods. Excluding the foreign currency exchange gains and losses from pre-tax income, as well as the related tax effects for these items, the Company’s effective tax rates were 44.2% and 36.2% for the three months ended June 30, 2011 and 2010, respectively, and 43.0% and 39.0% for the six months ended June 30, 2011 and 2010, respectively.</w:t>
      </w:r>
    </w:p>
    <w:p>
      <w:pPr>
        <w:spacing w:after="0" w:line="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increases in the effective tax rates, as adjusted, for the second quarter and first half of 2011 compared to the applicable statutory rate of 35% are primarily related to the Company’s U.S. tax position. For the three- and six-month periods ended June 30, 2011, we have recorded a valuation allowance against our U.S. income tax net operating losses as it is more likely than not that a tax benefit will not be realized. Accordingly, the income tax benefits associated with pre-tax book losses generated by the Company’s U.S. entities have not been recognized in these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2007. CES foreign exchange transactions between the U.S and the D.R. generated approximately 0.3% of the Company’s 2009 consolidated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CES are fully cooperating with the DOJ in its investigation.</w:t>
      </w:r>
    </w:p>
    <w:p>
      <w:pPr>
        <w:spacing w:after="0" w:line="10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2010, CES was served with a class action lawsuit filed by a former employee for alleged wage and hour violations related to overtime and meal and rest period requirements under California law. California law regarding an employer’s obligations to provide lunch and rest periods is under review by the California Supreme Court. The proceeding is in the preliminary stages and we intend to vigorously defend the lawsuit. At the current stage of the proceedings, the Company considers that it is not possible to determine a range of loss, if any, that may arise from this lawsuit.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June 30, 2011, we operate in the following three principal operating segments:</w:t>
      </w:r>
    </w:p>
    <w:p>
      <w:pPr>
        <w:spacing w:after="0" w:line="46" w:lineRule="exact"/>
        <w:rPr>
          <w:sz w:val="20"/>
          <w:szCs w:val="20"/>
          <w:color w:val="auto"/>
        </w:rPr>
      </w:pPr>
    </w:p>
    <w:p>
      <w:pPr>
        <w:ind w:left="980" w:right="100" w:hanging="648"/>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12,058 ATMs and approximately 53,000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100" w:hanging="648"/>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Including terminals operated by unconsolidated subsidiaries, we operate a network of approximately 588,000 POS terminals providing electronic processing of prepaid mobile airtime top-up services and other electronic payment products in Europe, the Middle East, Asia Pacific, North America and South America.</w:t>
      </w:r>
    </w:p>
    <w:p>
      <w:pPr>
        <w:spacing w:after="0" w:line="78" w:lineRule="exact"/>
        <w:rPr>
          <w:rFonts w:ascii="Arial" w:cs="Arial" w:eastAsia="Arial" w:hAnsi="Arial"/>
          <w:sz w:val="18"/>
          <w:szCs w:val="18"/>
          <w:color w:val="auto"/>
        </w:rPr>
      </w:pPr>
    </w:p>
    <w:p>
      <w:pPr>
        <w:ind w:left="980" w:right="20" w:hanging="648"/>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133,000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have five processing centers in Europe, two in Asia Pacific, two in North America and one in the Middle East. We have 27 principal offices in Europe, seven in North America, nine in Asia Pacific and one in South America. Our executive offices are located in Leawood, Kansas, USA. With approximately 79%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 are described below.</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18% of total consolidated revenues for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2011,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did not give authorization, and iv) value-added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57% of total consolidated revenues for the first half of 2011,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2011,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develop products or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8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phone operators;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successfully integrate Ria with our other operations;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six-month periods ended June 30, 2011 and 2010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Revenues for the Three Months</w:t>
            </w:r>
          </w:p>
        </w:tc>
        <w:tc>
          <w:tcPr>
            <w:tcW w:w="160" w:type="dxa"/>
            <w:vAlign w:val="bottom"/>
          </w:tcPr>
          <w:p>
            <w:pPr>
              <w:spacing w:after="0"/>
              <w:rPr>
                <w:sz w:val="14"/>
                <w:szCs w:val="14"/>
                <w:color w:val="auto"/>
              </w:rPr>
            </w:pPr>
          </w:p>
        </w:tc>
        <w:tc>
          <w:tcPr>
            <w:tcW w:w="1960" w:type="dxa"/>
            <w:vAlign w:val="bottom"/>
            <w:gridSpan w:val="4"/>
            <w:vMerge w:val="restart"/>
          </w:tcPr>
          <w:p>
            <w:pPr>
              <w:jc w:val="center"/>
              <w:ind w:right="34"/>
              <w:spacing w:after="0"/>
              <w:rPr>
                <w:sz w:val="20"/>
                <w:szCs w:val="20"/>
                <w:color w:val="auto"/>
              </w:rPr>
            </w:pPr>
            <w:r>
              <w:rPr>
                <w:rFonts w:ascii="Arial" w:cs="Arial" w:eastAsia="Arial" w:hAnsi="Arial"/>
                <w:sz w:val="14"/>
                <w:szCs w:val="14"/>
                <w:b w:val="1"/>
                <w:bCs w:val="1"/>
                <w:color w:val="auto"/>
                <w:w w:val="92"/>
              </w:rPr>
              <w:t>Year-over-Year Change</w:t>
            </w:r>
          </w:p>
        </w:tc>
        <w:tc>
          <w:tcPr>
            <w:tcW w:w="2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1"/>
              </w:rPr>
              <w:t>Revenues for the Six Months</w:t>
            </w:r>
          </w:p>
        </w:tc>
        <w:tc>
          <w:tcPr>
            <w:tcW w:w="140" w:type="dxa"/>
            <w:vAlign w:val="bottom"/>
          </w:tcPr>
          <w:p>
            <w:pPr>
              <w:spacing w:after="0"/>
              <w:rPr>
                <w:sz w:val="14"/>
                <w:szCs w:val="14"/>
                <w:color w:val="auto"/>
              </w:rPr>
            </w:pPr>
          </w:p>
        </w:tc>
        <w:tc>
          <w:tcPr>
            <w:tcW w:w="202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Increase</w:t>
            </w: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94,739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137,689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18,790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311,592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283,069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28,523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136,182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116,108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20,074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279,862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244,228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35,634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542,513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494,231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48,282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279,802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244,228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35,574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542,395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494,231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48,164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Operating Income (Loss) for the</w:t>
            </w:r>
          </w:p>
        </w:tc>
        <w:tc>
          <w:tcPr>
            <w:tcW w:w="160" w:type="dxa"/>
            <w:vAlign w:val="bottom"/>
          </w:tcPr>
          <w:p>
            <w:pPr>
              <w:spacing w:after="0"/>
              <w:rPr>
                <w:sz w:val="24"/>
                <w:szCs w:val="24"/>
                <w:color w:val="auto"/>
              </w:rPr>
            </w:pPr>
          </w:p>
        </w:tc>
        <w:tc>
          <w:tcPr>
            <w:tcW w:w="1960" w:type="dxa"/>
            <w:vAlign w:val="bottom"/>
            <w:gridSpan w:val="4"/>
            <w:vMerge w:val="restart"/>
          </w:tcPr>
          <w:p>
            <w:pPr>
              <w:jc w:val="center"/>
              <w:ind w:right="34"/>
              <w:spacing w:after="0"/>
              <w:rPr>
                <w:sz w:val="20"/>
                <w:szCs w:val="20"/>
                <w:color w:val="auto"/>
              </w:rPr>
            </w:pPr>
            <w:r>
              <w:rPr>
                <w:rFonts w:ascii="Arial" w:cs="Arial" w:eastAsia="Arial" w:hAnsi="Arial"/>
                <w:sz w:val="14"/>
                <w:szCs w:val="14"/>
                <w:b w:val="1"/>
                <w:bCs w:val="1"/>
                <w:color w:val="auto"/>
                <w:w w:val="92"/>
              </w:rPr>
              <w:t>Year-over-Year Change</w:t>
            </w:r>
          </w:p>
        </w:tc>
        <w:tc>
          <w:tcPr>
            <w:tcW w:w="220" w:type="dxa"/>
            <w:vAlign w:val="bottom"/>
            <w:vMerge w:val="restart"/>
          </w:tcPr>
          <w:p>
            <w:pPr>
              <w:spacing w:after="0"/>
              <w:rPr>
                <w:sz w:val="24"/>
                <w:szCs w:val="24"/>
                <w:color w:val="auto"/>
              </w:rPr>
            </w:pPr>
          </w:p>
        </w:tc>
        <w:tc>
          <w:tcPr>
            <w:tcW w:w="22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3"/>
              </w:rPr>
              <w:t>Operating Income (Loss) for the</w:t>
            </w:r>
          </w:p>
        </w:tc>
        <w:tc>
          <w:tcPr>
            <w:tcW w:w="140" w:type="dxa"/>
            <w:vAlign w:val="bottom"/>
          </w:tcPr>
          <w:p>
            <w:pPr>
              <w:spacing w:after="0"/>
              <w:rPr>
                <w:sz w:val="24"/>
                <w:szCs w:val="24"/>
                <w:color w:val="auto"/>
              </w:rPr>
            </w:pPr>
          </w:p>
        </w:tc>
        <w:tc>
          <w:tcPr>
            <w:tcW w:w="2020" w:type="dxa"/>
            <w:vAlign w:val="bottom"/>
            <w:gridSpan w:val="4"/>
            <w:vMerge w:val="restart"/>
          </w:tcPr>
          <w:p>
            <w:pPr>
              <w:jc w:val="right"/>
              <w:ind w:right="28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Increase</w:t>
            </w: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26,615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21,600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5,015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2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49,731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45,284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4,447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and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7"/>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34,771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1,246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gridSpan w:val="4"/>
          </w:tcPr>
          <w:p>
            <w:pPr>
              <w:jc w:val="right"/>
              <w:spacing w:after="0"/>
              <w:rPr>
                <w:sz w:val="20"/>
                <w:szCs w:val="20"/>
                <w:color w:val="auto"/>
              </w:rPr>
            </w:pPr>
            <w:r>
              <w:rPr>
                <w:rFonts w:ascii="Arial" w:cs="Arial" w:eastAsia="Arial" w:hAnsi="Arial"/>
                <w:sz w:val="18"/>
                <w:szCs w:val="18"/>
                <w:color w:val="auto"/>
                <w:w w:val="71"/>
              </w:rPr>
              <w:t>________________________________________________</w:t>
            </w:r>
          </w:p>
        </w:tc>
        <w:tc>
          <w:tcPr>
            <w:tcW w:w="100" w:type="dxa"/>
            <w:vAlign w:val="bottom"/>
            <w:vMerge w:val="continue"/>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center"/>
              <w:ind w:left="597"/>
              <w:spacing w:after="0"/>
              <w:rPr>
                <w:sz w:val="20"/>
                <w:szCs w:val="20"/>
                <w:color w:val="auto"/>
              </w:rPr>
            </w:pPr>
            <w:r>
              <w:rPr>
                <w:rFonts w:ascii="Arial" w:cs="Arial" w:eastAsia="Arial" w:hAnsi="Arial"/>
                <w:sz w:val="18"/>
                <w:szCs w:val="18"/>
                <w:color w:val="auto"/>
                <w:w w:val="89"/>
              </w:rPr>
              <w:t>18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Compared to most of the currencies of the foreign countries in which we operate, the U.S. dollar was weaker during the second quarter and first half of 2011 than it was during the comparable 2010 periods. Because our revenues and local expenses are recorded in the functional currencies of our operating entities, amounts we earned for the second quarter and first half of 2011 reflected a positive impact due to the stronger foreign currencies. Considering the results by country and the associated functional currency, we estimate that our consolidated operating income for the second quarter and first half of 2011 was approximately 18% and 10% more, respectively, when compared to the same periods of 2010 as a result of changes in foreign currency exchange rates. If significant, in our discussion we will refer to the impact of fluctuation in foreign currency exchange rates in our comparison of operating segment results for the three- and six-month periods ended June 30, 2011 and 2010. To provide further perspective on the impact of foreign currency exchange rates, the following table shows the changes in values relative to the U.S. dollar from the second quarter and first half of 2010 to the same periods of 2011 of the currencies of the countries in which we have our most significant operations: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June 30, 2011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2010</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2010</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w:t>
            </w: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0.8834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1.0343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0.8932</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1.4391</w:t>
            </w:r>
          </w:p>
        </w:tc>
        <w:tc>
          <w:tcPr>
            <w:tcW w:w="10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1.2734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1.4037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1.3286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0.0047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0.0049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0.0224</w:t>
            </w:r>
          </w:p>
        </w:tc>
        <w:tc>
          <w:tcPr>
            <w:tcW w:w="100" w:type="dxa"/>
            <w:vAlign w:val="bottom"/>
          </w:tcPr>
          <w:p>
            <w:pPr>
              <w:spacing w:after="0"/>
              <w:rPr>
                <w:sz w:val="21"/>
                <w:szCs w:val="21"/>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0.0220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0.0223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0.0219</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0.3640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0.3182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0.3556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0.3327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2011 AND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2011 and 2010 for our EFT Processing Segment: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w w:val="99"/>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1,817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772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1,650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revenues for the second quarter of 2011 increased when compared to the second quarter of 2010 primarily due to the impact of the stronger foreign currencies, growth in value-added services and an increase in the number of ATMs under management. Because our revenues are recorded in the functional currencies of our operating entities, amounts we earn in foreign currencies are positively impacted by the stronger foreign currencies. Partly offsetting the increase were decreases in transaction fees in Germany. We were able to increase transaction fees in Germany beginning in mid-2009 and were generally able to maintain them through 2010; however, we experienced reductions in these fees beginning in 2011 as a result of market and regulatory factors. Accordingly, we expect that the EFT Processing Segment’s revenues and operating income will continue to reflect these reductions for the full year 2011. The decrease in revenues for the first half of 2011 when compared to the first half of 2010 also includes the impact of decreased interchange fee revenues in Poland beginning in the second quarter of 2010. Additionally, we recognized $1.2 million in the first quarter of 2011 from the acceleration of previously deferred revenue related to a customer discontinuing a certain product in Greece. Further, we had significant sales of POS terminals in Slovakia during the first quarter of 2010 that did not recur in the first quarter of 2011.</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Average monthly revenue per ATM was $1,436 for the second quarter and $1,395 for the first half of 2011, compared to $1,494 for the second quarter and $1,540 for the first half of 2010. The decrease in the second quarter of 2011 from the second quarter of 2010 is primarily due to the reductions in transaction fees in Germany that took effect in the first quarter of 2011, partly offset by the impact of the stronger foreign currencies and growth in value-added services. The decrease in the first half of 2011 compared to the same period in 2010 was also the result of the decrease in interchange fee revenues in Poland that took effect in the second quarter of 2010. Revenue per transaction was $0.22 each for the second quarter and first half of 2011 compared to $0.24 for the second quarter and $0.25 for the first half of 2010. These decreases are primarily the result of the reductions in transaction fees in Germany and the growth of Cashnet (Euronet's shared ATM network in India) transactions, which generate lower revenues per transaction than those on owned or outsourced ATMs. These decreases were partly offset by the impact of the stronger foreign currencies and growth in value-added services. The decrease in the first half of 2011 compared to the first half of 2010 also reflects the decreased interchange fee revenues in Poland.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the second quarter of 2011 compared to the second quarter of 2010 primarily due to the impact of the stronger foreign currencies and the increase in the number of ATMs under management. The decrease in direct operating costs for the first half of 2011, compared to the first half of 2010, is mainly attributed to the cost of the POS terminal sales in Slovakia in the first quarter of 2010 that did not recur in the first quarter of 2011 along with operating cost improvements in Poland, partly offset by the increase in the number of ATMs under management and the impact of the stronger foreign currencies.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$27.0 million for the second quarter and $49.3 million for the first half of 2011 compared to $23.7 million for the second quarter and $48.3 million for the first half of 2010. The increase for the second quarter of 2011 is primarily due to the impact of the stronger foreign currencies, growth in value-added services and the increase in ATMs under management, partly offset by reduced transaction fees in Germany. The increase in the first half of 2011 also reflects the reduced interchange fees in Poland and the deferred revenue recognized in Greece. Gross profit as a percentage of revenues (“gross margin”) was 54% for the second quarter and 52% for the first half of 2011 compared to 51% for both the second quarter and first half of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salaries and benefits for the second quarter and first half of 2011 was primarily due to the impact of the stronger foreign currencies and increased bonus expense in the current year. As a percentage of revenues, these costs increased to 15.9% for the second quarter and 15.7% for the first half of 2011 compared to 14.8% for the second quarter and 13.8% for the first half of 2010 as a result of increased costs and the impact on revenues from the reduced transaction fees in Poland and Germany.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increase in selling, general and administrative expenses for the second quarter and first half of 2011 compared to the same periods of 2010 is primarily due to the impact of the stronger foreign currencies. The increase for the first half of 2011 also reflects increased bad debt expense as a result of unusually low bad debt expense in the first quarter of 2010 due to the collection of certain amounts that had been previously written off. As a percentage of revenues, selling, general and administrative expenses remained flat at 8.9% for the second quarter of 2011 and 2010. The first half of 2011 increased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9.3% compared to 8.3% for the first half of 2010 as a result of increased costs and the impact on revenues from the reduced transaction fees in Poland and Germany.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expense increased for the second quarter and first half of 2011 compared to the same periods of 2010 primarily due to the impact of the stronger foreign currencies. As a percentage of revenues, depreciation and amortization expense increased to 10.4% for the second quarter and 10.7% for the first half of 2011 compared to 9.6% for the first quarter and 9.9% for the first half of 2010 as a result of the impact on revenues from the reduced transaction fees in Poland and Germany.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income increased for the second quarter of 2011 compared to the second quarter of 2010 primarily due to the impact of the stronger foreign currencies, growth in value-added services and the increase in ATMs under management, partly offset by the reduced transaction fees in Germany. The decrease in operating income for the first half of 2011 from the first half of 2010 also reflects the decreased interchange fee revenues in Poland. Operating income per transaction was $0.04 for both the second quarter of 2011 and 2010 reflecting the impact of the stronger foreign currencies offsetting the impact of the reduced transaction fees in Germany and the increase in Cashnet transactions which have lower-than-average operating income per transaction. Operating income per transaction for the first half of 2011 was $0.03 compared to $0.05 for the same period in 2010, which also reflects the reduced interchange fee revenues in Poland and the deferred revenue recognized in Greece in the first quarter of 2011. Operating income as a percentage of revenues (“operating margin”) for the second quarter of 2011 was 18.2% compared to 17.7% for the second quarter of 2010, which is primarily due to the growth in value-added services, partly offset by the reduced transaction fees in Germany. Operating margin for the first half of 2011 was 16.2% compared to 18.9% for the same period in 2010, which also reflects the reduced interchange fee revenues in Poland and the deferred revenue recognized in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six-month periods ended June 30, 2011 and 2010 for our epay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22"/>
                <w:szCs w:val="22"/>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283,069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13,112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4,367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6,461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14,835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284,977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261,469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3,955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26,615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21,600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5,015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increase in revenues for the second quarter and first half of 2011 compared to the same periods of 2010 was primarily due to the impact of our third quarter 2010 acquisition of Telecomnet, Inc., now known as epay Brazil, an increase in transactions processed in Germany – mainly from increased demand for non-mobile products – and the impact of the stronger foreign currencies. This increase was partly offset by declines in the number of transactions processed in the U.K. and Australia which were mostly driven by economic and competitive pressures and lower cost call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certain markets, our revenue growth has slowed due to mobile phone operators driving competitive reductions 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commissions,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per transaction were $0.59 for the second quarter and $0.61 for the first half of 2011 compared to $0.67 for the second quarter and $0.70 for the first half of 2010. The decrease in revenues per transaction is due mainly to the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strong contribution to gross profit. The decreases were partly offset by the impact of the stronger foreign currencies.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as well as expenses required to operate POS terminals. The increase in direct operating costs is generally attributable to the impact of epay Brazil, increases in transactions processed in other markets and the impact of the stronger foreign currencies. These increases are partly offset by a higher mix of lower cost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profit, which represents revenues less direct costs, was $37.9 million for the second quarter and $73.1 million for the first half of 2011 compared to $27.9 million for the second quarter and $57.7 million for the first half of 2010. The primary causes of the increase in gross profit are the impact of epay Brazil, the increased transaction volumes in Germany – mainly from increased demand for non-mobile products – and the impact of the stronger foreign currencies, partly offset by transaction volume declines in Australia. Gross margin increased to 24% for the second quarter and 23% for the first half of 2011 compared to 20% for both the second quarter and first half of 2010, mainly reflecting the impact of epay Brazil and the growth in Germany. Gross profit per transaction remained flat at $0.14 for the second quarter and first half of 2011 and 2010, reflecting the impact of the stronger foreign currencies offsetting the impact of a higher mix of lower profit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for the second quarter and first half of 2011 compared to the same periods of 2010 is primarily due to the impacts of epay Brazil and the stronger foreign currencies, along with additional headcount to support development of new products and growing markets. As a percentage of revenues, salaries and benefits increased to 7.4% for the second quarter and 7.0% for the first half of 2011 from 5.2% for the second quarter and 5.5% for the first half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selling, general and administrative expenses for the second quarter and first half of 2011 compared to the same periods of 2010 is mainly due to the impacts of epay Brazil and the stronger foreign currencies, along with additional overhead to support development of new products and growing markets. As a percentage of revenues, these expenses remained flat at 5.4% for the second quarter of 2011 and 2010 and increased to 5.0% for the first half of 2011 compared to 4.5% for the first half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Depreciation and amortization expense primarily represents amortization of acquired intangible assets and the depreciation of POS terminals we install in retail stores. Depreciation and amortization expense increased for the second quarter and first half of 2011 compared to the same periods of 2010 mainly due to the impacts of epay Brazil and the stronger foreign currencies, partly offset by decreased expense in mature markets where acquired intangible assets are becoming fully amortized and POS terminals are becoming fully depreciated at a faster rate than new terminals are being installed. As a percentage of revenues, these expenses increased slightly to 2.9% for the second quarter and first half of 2011 from 2.8% for the same periods of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increases in operating income for the second quarter and first half of 2011 compared to the same periods of 2010 are primarily due to the impact of epay Brazil, the growth in Germany – mainly from increased demand for non-mobile products – and the impact of the stronger foreign currencies, partly offset by decreased profitability in Australia. Operating margin was 8.6% for the second quarter and 8.5% for the first half of 2011 compared to 6.9% for the second quarter and 7.6% for the first half of 2010. The increases are mainly due to the growth in Germany. Operating income per transaction remained flat at $0.05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and first half of 2011 and 2010.</w:t>
      </w:r>
    </w:p>
    <w:p>
      <w:pPr>
        <w:spacing w:after="0" w:line="200" w:lineRule="exact"/>
        <w:rPr>
          <w:sz w:val="20"/>
          <w:szCs w:val="20"/>
          <w:color w:val="auto"/>
        </w:rPr>
      </w:pPr>
    </w:p>
    <w:p>
      <w:pPr>
        <w:spacing w:after="0" w:line="37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125" w:right="1440"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results of operations for the three- and six-month periods ended June 30, 2011 and 2010 for the Money Transfer Segment: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5,205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13,886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3,474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5,282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12,172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782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7,792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2,060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from the Money Transfer Segment include a transaction fee for each transaction, as well as a margin earned from purchasing currency at wholesale exchange rates and selling the currency to customers at retail exchange rates. The increase in revenues for the second quarter and first half of 2011 compared to revenues for the same periods of 2010 is primarily due to the increase in the number of transactions processed and the impact of the stronger foreign currencies. The growth in transactions processed was driven by a 22% and 20% increase in transfers from non-U.S. markets in the second quarter and first half of 2011, respectively, and growth in other products such as check cashing and bill payment. The increase in transfers from non-U.S. markets is due to the expansion of our agent and correspondent payout networks.</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per transaction increased to $12.17 for the second quarter and $12.05 for the first half of 2011 from $11.33 for the second quarter and $11.50 for the first half of 2010. The growth rate of revenues exceeded the transaction growth rate for the second quarter and first half of 2011 compared to the same periods of 2010 largely as a result of the impact of the stronger foreign currencies and the continued shift in transaction mix to non-U.S. locations which generally have higher-than-average revenues per transaction. For the six months ended June 30, 2011, 58% of our money transfers were initiated in the U.S. and 42% in non-U.S. markets compared to 61% initiated in the U.S. and 39% in non-U.S. markets for the six months ended June 30, 2010. We expect that the U.S. will continue to represent our highest volume market; however, continued future growth is expected to be derived from the addition of new products and the expansion of our agent and correspondent payout networks in new and existing markets, primarily outside the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fees to collect money from sending agents. The increase in direct operating costs in the second quarter and first half of 2011 compared to the same periods of 2010 is primarily due to the growth in transactions processed and the impact of the stronger foreign currencies.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Gross profit, which represents revenues less direct costs, was $39.5 million for the second quarter and $73.7 million for the first half of 2011 compared to $31.8 million for the second quarter and $61.5 million for the first half of 2010. The improvements are primarily due to the growth in money transfer transactions, the impact of the stronger foreign currencies, the shift in transaction mix to transfers from non-U.S. sources and the addition of new products. Gross margin was 54% for the second quarter and first half of 2011 compared to 53% for the same periods of 2010. This improvement primarily reflects the shift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transaction mix to transfers from non-U.S.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salaries and benefits for the second quarter and first half of 2011 compared to the same periods of 2010 is due to the increased expenditures we incurred to support expansion of our operations, primarily internationally, and the impact of the stronger foreign currencies. As a percentage of revenues, salaries and benefits increased slightly to 23.8% for the second quarter and 24.5% for the first half of 2011 compared to 23.1% for the second quarter and 24.2% for the first half of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Selling, general and administrative expenses increased for the second quarter and first half of 2011 compared to the same periods of 2010, primarily as the result of the increased expenditures we incurred to support expansion of our operations, primarily internationally, and the impact of the stronger foreign currencies. The increase in the second quarter of 2011 compared to the second quarter of 2010 also reflects increased expenditures to support expansion of our operations in the U.S. and a significant insurance recovery in the second quarter of 2010 related to a bad debt. As a percentage of revenues, selling, general and administrative expenses increased to 16.7% for the second quarter and 16.3% for the first half of 2011 from 14.4% for the second quarter and 15.2% for the first half of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For the first half of 2011, depreciation and amortization increased compared to the same period in 2010, primarily as a result of increased expenditures on computers and software to support the money transfer platform. For the second quarter of 2011, depreciation and amortization was essentially flat compared to the second quarter of 2010 as the impact of the increased capital expenditures was offset by certain acquired intangible assets becoming fully amortized at the end of the first quarter of 2011. As a percentage of revenues, depreciation and amortization decreased to 6.8% for the second quarter and 7.6% for the first half of 2011 from 8.3% for the second quarter and 8.7% for the first half of 2010, reflecting a shift in achieving a greater portion of expansion through agents which requires less capital expenditures than expansion from adding company-owned stores.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increased by $0.8 million for the second quarter and $2.1 million for the first half of 2011 compared to the same periods of 2010. These increases reflect the growth in transactions processed, the shift in transactions to non-U.S. markets, the impact of the stronger foreign currencies and the addition of new products, partly offset by increased salaries and benefits and selling, general and administrative expenses for expansion. Operating margin was 6.9% for the second quarter and 5.7% for the first half of 2011 compared to 7.1% for the second quarter and 4.9% for the first half of 2010 while operating income per transaction increased to $0.84 for the second quarter and $0.69 for the first half of 2011 from $0.80 for the second quarter and $0.57 for the first half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2011 and 2010 for Corporate Services: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Increase</w:t>
            </w: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(Decrease)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180" w:type="dxa"/>
            <w:vAlign w:val="bottom"/>
          </w:tcPr>
          <w:p>
            <w:pPr>
              <w:spacing w:after="0"/>
              <w:rPr>
                <w:sz w:val="12"/>
                <w:szCs w:val="12"/>
                <w:color w:val="auto"/>
              </w:rPr>
            </w:pPr>
          </w:p>
        </w:tc>
        <w:tc>
          <w:tcPr>
            <w:tcW w:w="8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63 %</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3,201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operating expenses for Corporate Services increased for the second quarter and first half of 2011 compared to the same periods of 2010. The increase in salaries and benefits is primarily the result of an increase in bonus expense due to improved full year expectations and an increase in share-based compensation expense. The increase in selling, general and administrative expenses is due mainly to higher legal fees. The decrease in depreciation and amortization for the second quarter and first half of 2011 compared to the same periods of 2010 is primarily due to a three-year enterprise-wide desktop license becoming fully depreciated in May of 2010.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Legal settlement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27,360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57"/>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22"/>
                <w:szCs w:val="22"/>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29,138</w:t>
            </w:r>
          </w:p>
        </w:tc>
        <w:tc>
          <w:tcPr>
            <w:tcW w:w="120" w:type="dxa"/>
            <w:vAlign w:val="bottom"/>
          </w:tcPr>
          <w:p>
            <w:pPr>
              <w:spacing w:after="0"/>
              <w:rPr>
                <w:sz w:val="22"/>
                <w:szCs w:val="22"/>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increases in interest income for the second quarter and first half of 2011 from the same periods of 2010 are primarily due to increased interest rates in Australia and Poland and the impact of the third quarter 2010 acquisition of epay Brazil, which earns interest on cash collateral for bank guarantees.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increases in interest expense for the second quarter and first half of 2011 from the same periods of 2010 are primarily related to interest expense on capital leases and letter of credit fees incurred by epay Brazil.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The decrease in income is primarily the result of lower profitability of epay Malaysia.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first quarter of 2011, Euronet recorded $1.0 million from the settlement of a class action lawsuit related to losses on MoneyGram, Inc. stock we formerly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recorded a net foreign currency exchange gain of $3.7 million in the second quarter and $12.9 million in the first half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2011 compared to a net foreign currency loss of $9.3 million in the second quarter and $14.4 million in the first half of 2010.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12,491</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(10,131)</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12,294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2,360</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12,491</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18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12,937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(14,423)</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15,467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12,530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29,938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26,914</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(10,131)</w:t>
            </w:r>
          </w:p>
        </w:tc>
      </w:tr>
      <w:tr>
        <w:trPr>
          <w:trHeight w:val="229"/>
        </w:trPr>
        <w:tc>
          <w:tcPr>
            <w:tcW w:w="6580" w:type="dxa"/>
            <w:vAlign w:val="bottom"/>
            <w:gridSpan w:val="2"/>
          </w:tcPr>
          <w:p>
            <w:pPr>
              <w:ind w:left="40"/>
              <w:spacing w:after="0"/>
              <w:rPr>
                <w:sz w:val="20"/>
                <w:szCs w:val="20"/>
                <w:color w:val="auto"/>
              </w:rPr>
            </w:pPr>
            <w:r>
              <w:rPr>
                <w:rFonts w:ascii="Arial" w:cs="Arial" w:eastAsia="Arial" w:hAnsi="Arial"/>
                <w:sz w:val="18"/>
                <w:szCs w:val="18"/>
                <w:color w:val="auto"/>
                <w:w w:val="98"/>
              </w:rPr>
              <w:t>Adjust: Income tax (expense) benefit attributable to foreign currency exchange gain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180" w:type="dxa"/>
            <w:vAlign w:val="bottom"/>
          </w:tcPr>
          <w:p>
            <w:pPr>
              <w:spacing w:after="0"/>
              <w:rPr>
                <w:sz w:val="20"/>
                <w:szCs w:val="20"/>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7"/>
        </w:trPr>
        <w:tc>
          <w:tcPr>
            <w:tcW w:w="6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(10,507)</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Our effective tax rates were 35.7% and 136.2% for the three-month periods ended June 30, 2011 and 2010, respectively, and were 30.2% and 81.1% for the six-month periods ended June 30, 2011 and 2010, respectively. The effective tax rates were significantly influenced by the foreign currency exchange gains and losses in the respective periods. Excluding these items from pre-tax income, as well as the related tax effects for these items, our effective tax rates were 44.2% and 36.2% for the three months ended June 30, 2011 and 2010, respectively, and 43.0% and 39.0% for the six months ended June 30, 2011 and 2010, respectively.</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increases in the effective tax rates, as adjusted, for the second quarter and first half of 2011 compared to the applicable statutory rate of 35% are primarily related to our U.S. income tax positions. For the three- and six-month periods ended June 30, 2011,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in these periods.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the effective tax rate, as adjusted, for the second quarter of 2011 from the same period of 2010 is primarily due to a $1.0 million adjustment recorded in the second quarter of 2010 to the reserve related to deferred tax assets generated from prior U.S. net operating losses. The increase for the first half of 2011 from the same period of 2010 was also affected by a $0.8 million adjustment recorded in the first quarter of 2010 related to a foreign tax law change.</w:t>
      </w:r>
    </w:p>
    <w:p>
      <w:pPr>
        <w:spacing w:after="0" w:line="7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income attributable to noncontrolling interests was $0.4 million for the second quarter and $0.8 million for the first half of 2011 compared to $0.3 million for the second quarter and $1.0 million for the first half of 2010. Noncontrolling interests represents the elimination of net income or loss attributable to the minority shareholders’ portion of the following consolidated subsidiaries that are not wholly owned: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income attributable to Euronet Worldwide, Inc. was $11.9 million for the second quarter and $29.2 million for the first half of 2011 compared to a net loss of $1.5 million for the second quarter of 2010 and net income of $1.3 million for the first half of 2010. As more fully discussed above, the increase of</w:t>
      </w:r>
    </w:p>
    <w:p>
      <w:pPr>
        <w:ind w:right="200"/>
        <w:spacing w:after="0" w:line="253" w:lineRule="auto"/>
        <w:rPr>
          <w:sz w:val="20"/>
          <w:szCs w:val="20"/>
          <w:color w:val="auto"/>
        </w:rPr>
      </w:pPr>
      <w:r>
        <w:rPr>
          <w:rFonts w:ascii="Arial" w:cs="Arial" w:eastAsia="Arial" w:hAnsi="Arial"/>
          <w:sz w:val="18"/>
          <w:szCs w:val="18"/>
          <w:color w:val="auto"/>
        </w:rPr>
        <w:t>$27.9 million for the first half of 2011 as compared to the same period in 2010 was primarily the result of the $27.4 million increase in foreign currency exchange gains. Additionally, we recognized a gain on a legal settlement of $1.0 million during the first quarter of 2011, and operating income increased by $1.2 million and net interest expense decreased by $0.9 million in the first half of 2011 compared to the same period in 2010. These increases were partly offset by an increase in income tax expense of $2.8 million. Other items increased net income by $0.2 million during the first half of 2011 compared to the same period in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2011, we had working capital, which is calculated as the difference between total current assets and total current liabilities, of $198.1 million, compared to working capital of $156.7 million as of December 31, 2010. Our ratio of current assets to current liabilities was 1.37 as of June 30, 2011, compared to 1.27 as of December 31, 2010. The increase in working capital was primarily due to working capital produced by operations during the first half of 2011.</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June 30, 2011, working capital in the Money Transfer Segment was $82.6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majority of our cash and cash equivalents are held in jurisdictions outside of the U.S. and expected to be indefinitely reinvested for continued use in foreign operations. Repatriation of these assets to the U.S. could have negative tax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Cash flows provided by operating activities were $55.9 million for the first half of 2011 compared to $88.0 million for the first half of 2010. The decrease is primarily due to fluctuations in working capital primarily associated with the timing of the settlement processes with mobile operators in the epay Segment and with correspondents in the Money Transfer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flows used in investing activities were $21.3 million for the first half of 2011, compared to $14.6 million for the first half of 2010. Purchases of property and equipment used $16.7 million and $12.4 million of cash for the first half of 2011 and 2010, respectively. Additionally, the first half of 2011 included $3.4 million in cash used for acquisitions. Finally, cash used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and other investing activities totaled $1.1 million for the first half of 2011 and used $2.1 million for the first half of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Cash flows used in financing activities were $5.6 million during the first half of 2011 compared to $42.3 million during the first half of 2010. Our financing activities for the first half of 2011 consisted primarily of net repayments of debt obligations of $2.6 million compared to $42.7 million for the first half of 2010.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half of 2011 we had a total of $127.7 million in borrowings and $127.7 million in repayments under our revolving credit facility. During the first half of 2011, we used $1.0 million for repayments of debt obligations and $1.6 million for capital lease obligations. Additionally, we received cash of $1.9 million and $1.3 million from the issuance of shares in the first half of 2011 and 2010, respectively. During the first half of 2011, we paid $5.5 million in settlement of contingent consideration amounts recorded at the time of two different acquisitions. We paid $1.7 million of dividends to noncontrolling interests stockholders during the first half of 2010. Finally, in the first half of 2011, we received a $0.6 million equity contribution from the noncontrolling interest stockholder of our Pakistan subsidiary.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We have a $290 million secured credit facility consisting of a $190 million term loan due April 2014, which was fully drawn at closing, and a $100 million revolving credit facility due April 2012 (together, the “Credit Facility”). The term loan bears interest at LIBOR plus 200 basis points or prime plus 100 basis points and requires that we repay $1.9 million of the balance each year, with the remaining balance payable at the end of the term. Up front financing costs of $4.8 million were deferred and are being amortized over the terms of the respective loans.</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revolving credit facility bears interest at LIBOR or prime plus a margin that adjusts each quarter based upon our Consolidated Total Leverage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However, if we are unable to renew or replace our revolving credit facility by its April 2012 expiration, we would need to use other methods, that are likely to be most costly, to fund our working capital requirements.</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the first being October 15, 2012, under our $175 million 3.50% Convertible Debentures Due 2025, unless we are able to demonstrate that either: (i) we could borrow unsubordinated funded debt equal to the principal amount of the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As of June 30, 2011, we had borrowings of $126.0 million outstanding under the term loan. We had no borrowings and $41.8 million of stand-by letters of credit outstanding under the revolving credit facility as of June 30, 2011. The remaining $58.2 million under the revolving credit facility was available for borrowing. As of June 30, 2011, our weighted average interest rate was 2.3% under the term loan, excluding amortization of deferred financing costs.</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June 30, 2011 were primarily comprised of the $1.9 million annual repayment requirement under the term loan. Certain of our subsidiaries also have available credit lines and overdraft facilities to supplement short-term working capital requirements, when necessary, and there were $0.8 million outstanding under these facilities as of June 30, 2011.</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debentures have the option to require us to purchase their debentures at par on October 15, 2012, 2015 and 2020, or upon a change in control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maturity date, these debentures can be settled in cash or Euronet common stock, at our option, at predetermined conversion rates.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finance these potential repayments could have an adverse impact on our operations. These terms and other material terms and conditions applicable to the convertible debentures are set forth in the indenture agreement governing the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During the second quarter of 2011, we paid $6.4 million to the sellers of Telecomnet, Inc. and another smaller business in final settlement of the respective contingent consideration.</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2011 were $17.3 million. These capital 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2011 are currently estimated to be approximately $40 million to $50 million.</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125,000 of the approximately 588,000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Australia epay business has recently experienced year-over-year declines in the number of transactions it processes, which has reduced its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Continued economic and competitive pressures in Australia may negatively impact the epay Segment's profitability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2011, there were no material changes from the disclosure in our Annual Report on Form 10-K for the year ended December 31, 2010. To date, we are not aware of 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significant claims made by the indemnified parties or parties to whom we have provided guarantees on behalf of our subsidiaries and, accordingly, no liabilities have been recorded as of June 30, 2011. See also Note 9, Guarantees, to the unaudited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2011, there have been no material changes from the disclosures relating to contractual obligations contained in our Annual Report on Form 10-K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2010. We do not intend, and do not undertake, any obligation to update any forward looking statements to reflect future events or circumstances after the date of such statements.</w:t>
      </w:r>
    </w:p>
    <w:p>
      <w:pPr>
        <w:spacing w:after="0" w:line="185"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80"/>
        <w:spacing w:after="0" w:line="255" w:lineRule="auto"/>
        <w:rPr>
          <w:sz w:val="20"/>
          <w:szCs w:val="20"/>
          <w:color w:val="auto"/>
        </w:rPr>
      </w:pPr>
      <w:r>
        <w:rPr>
          <w:rFonts w:ascii="Arial" w:cs="Arial" w:eastAsia="Arial" w:hAnsi="Arial"/>
          <w:sz w:val="18"/>
          <w:szCs w:val="18"/>
          <w:color w:val="auto"/>
        </w:rPr>
        <w:t>As of June 30, 2011, our total debt outstanding was $295.5 million. Of this amount, $164.8 million, or 56% of our total debt obligations, relates to contingent convertible debentures having a fixed coupon rate. Our $175 million principal amount of contingent convertible debentures, issued in October 2005, accrue cash interest at a rate of 3.50% of the principal amount per annum. Based on quoted market prices, as of June 30, 2011, the fair value of our fixed rate convertible debentures was $175.7 million, compared to a carrying value of $164.8 million. Interest expense for these debentures, including accretion and amortization of deferred debt issuance costs, totals approximately $14.5 million per year, or a weighted average interest rate of 8.9% annually. Additionally, approximately $4.0 million, or 1% of our total debt obligations, relates to capitalized leases with fixed payment and interest terms that expire between 2011 and 2015.</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remaining $126.7 million, or 43%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$2.1 million. This computation excludes the potential additional $150.0 million under the term loan because of the limited circumstances under which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additional amounts would be available to us for borrowing.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six months ended June 30, 2011, 79%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June 30, 2011,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$40 million to $50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June 30, 2011, we had foreign currency forward contracts outstanding with a notional value of $60.5 million, primarily in euros and U.S. dollars, that were not designated as hedges and mature in a weighted average of 4.1 days. The fair value of these forward contracts as of June 30, 2011 was an unrealized loss of $0.5 million, which was partially offset by the unrealized gain on the related foreign currency receivables.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2011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discussion regarding litigation in Part I, Item 1 — Financial Statements, Note 11, Litigation and Contingencies, to the unaudited consolidated financial statements included elsewhere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2010,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2010 as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We acquired all of the stock of Ria Envia, Inc., the parent of CES, in April 2007. CES foreign exchange transactions between the U.S and the D.R. generated approximately 0.3% of our 2009 consolidated revenues. The Company and CES are fully cooperating with the DOJ in its investigation.</w:t>
      </w:r>
    </w:p>
    <w:p>
      <w:pPr>
        <w:spacing w:after="0" w:line="85"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04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Euronet Worldwide, Inc. Employee Stock Purchase Plan, as amended (1)</w:t>
            </w:r>
          </w:p>
        </w:tc>
      </w:tr>
      <w:tr>
        <w:trPr>
          <w:trHeight w:val="594"/>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Euronet Worldwide, Inc. Executive Annual Incentive Plan, as amended (1)</w:t>
            </w:r>
          </w:p>
        </w:tc>
      </w:tr>
      <w:tr>
        <w:trPr>
          <w:trHeight w:val="594"/>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280" w:hanging="1125"/>
        <w:spacing w:after="0" w:line="291"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June 30, 2011, formatted in XBRL (eXtensible Business Reporting Language): (i) Consolidated Balance Sheets at June 30, 2011 and December 31, 2010,</w:t>
      </w:r>
    </w:p>
    <w:p>
      <w:pPr>
        <w:ind w:left="1160" w:right="240"/>
        <w:spacing w:after="0" w:line="270" w:lineRule="auto"/>
        <w:rPr>
          <w:rFonts w:ascii="Arial" w:cs="Arial" w:eastAsia="Arial" w:hAnsi="Arial"/>
          <w:sz w:val="16"/>
          <w:szCs w:val="16"/>
          <w:color w:val="auto"/>
        </w:rPr>
      </w:pPr>
      <w:r>
        <w:rPr>
          <w:rFonts w:ascii="Arial" w:cs="Arial" w:eastAsia="Arial" w:hAnsi="Arial"/>
          <w:sz w:val="17"/>
          <w:szCs w:val="17"/>
          <w:color w:val="auto"/>
        </w:rPr>
        <w:t>(ii) Consolidated Statements of Income for the three and six months ended June 30, 2011 and 2010, (iii) Consolidated Statements of Comprehensive Income (Loss) for the three and six months ended June 30, 2011 and 2010, (iv) Consolidated Statements of Cash Flows for the six months ended June 30, 2011 and 2010, and (v) Notes to the Unaudited Consolidated Financial Statements.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117"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25" w:right="3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10.1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EURONET WORLDWIDE,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EMPLOYEE STOCK PURCHASE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right="280" w:firstLine="648"/>
        <w:spacing w:after="0" w:line="250" w:lineRule="auto"/>
        <w:rPr>
          <w:sz w:val="20"/>
          <w:szCs w:val="20"/>
          <w:color w:val="auto"/>
        </w:rPr>
      </w:pPr>
      <w:r>
        <w:rPr>
          <w:rFonts w:ascii="Arial" w:cs="Arial" w:eastAsia="Arial" w:hAnsi="Arial"/>
          <w:sz w:val="22"/>
          <w:szCs w:val="22"/>
          <w:color w:val="auto"/>
        </w:rPr>
        <w:t>1.01 Purpose. The Euronet Worldwide, Inc. Employee Stock Purchase Plan (the “Plan”) is intended to provide a method whereby employees of Euronet Worldwide Inc. (the “Company”) and its Eligible Subsidiary Companies (as defined below) will have an opportunity to acquire a proprietary interest in the Company through the purchase of shares of the Common Stock of the Company.</w:t>
      </w:r>
    </w:p>
    <w:p>
      <w:pPr>
        <w:spacing w:after="0" w:line="188" w:lineRule="exact"/>
        <w:rPr>
          <w:sz w:val="20"/>
          <w:szCs w:val="20"/>
          <w:color w:val="auto"/>
        </w:rPr>
      </w:pPr>
    </w:p>
    <w:p>
      <w:pPr>
        <w:ind w:right="420" w:firstLine="648"/>
        <w:spacing w:after="0" w:line="312" w:lineRule="auto"/>
        <w:rPr>
          <w:sz w:val="20"/>
          <w:szCs w:val="20"/>
          <w:color w:val="auto"/>
        </w:rPr>
      </w:pPr>
      <w:r>
        <w:rPr>
          <w:rFonts w:ascii="Arial" w:cs="Arial" w:eastAsia="Arial" w:hAnsi="Arial"/>
          <w:sz w:val="19"/>
          <w:szCs w:val="19"/>
          <w:color w:val="auto"/>
        </w:rPr>
        <w:t>1.02 Rules of Interpretation. It is the intention of the Company to have the Plan qualify as an “employee stock purchase plan” under Section 423 of the Internal Revenue Code of 1986, as amended (the “Code”). The provisions of the Plan shall be construed so as to extend and limit participation in a manner consistent with the requirements of that section of the Code.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2.01 “Board” shall mean the Board of Directors of the Company.</w:t>
      </w:r>
    </w:p>
    <w:p>
      <w:pPr>
        <w:spacing w:after="0" w:line="220" w:lineRule="exact"/>
        <w:rPr>
          <w:sz w:val="20"/>
          <w:szCs w:val="20"/>
          <w:color w:val="auto"/>
        </w:rPr>
      </w:pPr>
    </w:p>
    <w:p>
      <w:pPr>
        <w:ind w:right="200" w:firstLine="648"/>
        <w:spacing w:after="0" w:line="271" w:lineRule="auto"/>
        <w:rPr>
          <w:sz w:val="20"/>
          <w:szCs w:val="20"/>
          <w:color w:val="auto"/>
        </w:rPr>
      </w:pPr>
      <w:r>
        <w:rPr>
          <w:rFonts w:ascii="Arial" w:cs="Arial" w:eastAsia="Arial" w:hAnsi="Arial"/>
          <w:sz w:val="21"/>
          <w:szCs w:val="21"/>
          <w:color w:val="auto"/>
        </w:rPr>
        <w:t>2.02 “Compensation” shall mean the gross cash compensation (including, wage, salary and overtime earnings) paid by the Company or any Eligible Subsidiary Company to a participant in accordance with the terms of employment, but excluding all bonus payments, expense allowances and compensation paid in a form other than cash.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2.03 “Committee” shall mean the individuals described in Article XI.</w:t>
      </w:r>
    </w:p>
    <w:p>
      <w:pPr>
        <w:spacing w:after="0" w:line="220"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2.04 “Eligible Subsidiary Company” shall mean each Subsidiary Company the employees of which are entitled to participate in the Plan, as listed or referred to on Schedule 2.03 hereto, subject to the discretion of the Board or the Plan Representative at any time and from time to time to approve changes the designations within Schedule 2.03 from among a group consisting of Subsidiary Companies.</w:t>
      </w:r>
    </w:p>
    <w:p>
      <w:pPr>
        <w:spacing w:after="0" w:line="188"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2.05 “Employee” shall mean any person employed by the Company or any Eligible Subsidiary Company, including any full-time, part-time or temporary employee.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2.06 “Fair Market Value” shall mean as of any date, the value of Common Stock of the Company determined as follows:</w:t>
      </w:r>
    </w:p>
    <w:p>
      <w:pPr>
        <w:spacing w:after="0" w:line="254" w:lineRule="exact"/>
        <w:rPr>
          <w:sz w:val="20"/>
          <w:szCs w:val="20"/>
          <w:color w:val="auto"/>
        </w:rPr>
      </w:pPr>
    </w:p>
    <w:p>
      <w:pPr>
        <w:ind w:left="1300" w:right="180" w:hanging="320"/>
        <w:spacing w:after="0" w:line="263" w:lineRule="auto"/>
        <w:tabs>
          <w:tab w:leader="none" w:pos="1270" w:val="left"/>
        </w:tabs>
        <w:numPr>
          <w:ilvl w:val="0"/>
          <w:numId w:val="15"/>
        </w:numPr>
        <w:rPr>
          <w:rFonts w:ascii="Arial" w:cs="Arial" w:eastAsia="Arial" w:hAnsi="Arial"/>
          <w:sz w:val="21"/>
          <w:szCs w:val="21"/>
          <w:color w:val="auto"/>
        </w:rPr>
      </w:pPr>
      <w:r>
        <w:rPr>
          <w:rFonts w:ascii="Arial" w:cs="Arial" w:eastAsia="Arial" w:hAnsi="Arial"/>
          <w:sz w:val="21"/>
          <w:szCs w:val="21"/>
          <w:color w:val="auto"/>
        </w:rPr>
        <w:t>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on the date of such determination, as reported in The Wall Street Journal or such other source as the Board deems reliable;</w:t>
      </w:r>
    </w:p>
    <w:p>
      <w:pPr>
        <w:spacing w:after="0" w:line="175" w:lineRule="exact"/>
        <w:rPr>
          <w:rFonts w:ascii="Arial" w:cs="Arial" w:eastAsia="Arial" w:hAnsi="Arial"/>
          <w:sz w:val="21"/>
          <w:szCs w:val="21"/>
          <w:color w:val="auto"/>
        </w:rPr>
      </w:pPr>
    </w:p>
    <w:p>
      <w:pPr>
        <w:ind w:left="1280" w:hanging="300"/>
        <w:spacing w:after="0"/>
        <w:tabs>
          <w:tab w:leader="none" w:pos="12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If the Common Stock is regularly quoted by a recognized securities dealer but selling</w:t>
      </w:r>
    </w:p>
    <w:p>
      <w:pPr>
        <w:sectPr>
          <w:pgSz w:w="11900" w:h="16838" w:orient="portrait"/>
          <w:cols w:equalWidth="0" w:num="1">
            <w:col w:w="11420"/>
          </w:cols>
          <w:pgMar w:left="240" w:top="800" w:right="239" w:bottom="1440" w:gutter="0" w:footer="0" w:header="0"/>
        </w:sectPr>
      </w:pPr>
    </w:p>
    <w:bookmarkStart w:id="36" w:name="page37"/>
    <w:bookmarkEnd w:id="36"/>
    <w:p>
      <w:pPr>
        <w:ind w:left="1300" w:right="160"/>
        <w:spacing w:after="0" w:line="253" w:lineRule="auto"/>
        <w:rPr>
          <w:sz w:val="20"/>
          <w:szCs w:val="20"/>
          <w:color w:val="auto"/>
        </w:rPr>
      </w:pPr>
      <w:r>
        <w:rPr>
          <w:rFonts w:ascii="Arial" w:cs="Arial" w:eastAsia="Arial" w:hAnsi="Arial"/>
          <w:sz w:val="22"/>
          <w:szCs w:val="22"/>
          <w:color w:val="auto"/>
        </w:rPr>
        <w:t>prices are not reported, its Fair Market Value shall be the mean of the closing bid and asked prices for the Common Stock on the date of such determination, as reported in The Wall Street Journal or such other source as the Board deems reliable; or</w:t>
      </w:r>
    </w:p>
    <w:p>
      <w:pPr>
        <w:spacing w:after="0" w:line="186" w:lineRule="exact"/>
        <w:rPr>
          <w:sz w:val="20"/>
          <w:szCs w:val="20"/>
          <w:color w:val="auto"/>
        </w:rPr>
      </w:pPr>
    </w:p>
    <w:p>
      <w:pPr>
        <w:ind w:left="1300" w:right="80" w:hanging="320"/>
        <w:spacing w:after="0" w:line="263" w:lineRule="auto"/>
        <w:tabs>
          <w:tab w:leader="none" w:pos="127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thereof shall be determined in good faith by the Board.</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2.07 “Plan Representative” shall mean any person designated from time to time by the Committee to receive certain notices and take certain other administrative actions relating to participation in the Plan.</w:t>
      </w:r>
    </w:p>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2.08 “Subsidiary Company” shall mean any present or future corporation which is or becomes a “Subsidiary Company” of the Company as that term is defined in Section 424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ELIGIBILITY AND PARTICIPATION</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3.01 Initial Eligibility. Each Employee who shall have completed three consecutive months of employment with the Company or any corporation or entity acquired by the Company or any Eligible Subsidiary Company and shall be employed by the Company or any Eligible Subsidiary Company on the date his or her participation in the Plan is to become effective shall be eligible to participate in Offerings (as defined below) under the Plan which commence after such three-month period has concluded. Persons who are not Employees shall not be eligible to participate in the Plan.</w:t>
      </w:r>
    </w:p>
    <w:p>
      <w:pPr>
        <w:spacing w:after="0" w:line="1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3.02 Restrictions on Participation. Notwithstanding any provision of the Plan to the contrary, no Employee shall be granted an option to purchase shares of Common Stock under the Plan:</w:t>
      </w:r>
    </w:p>
    <w:p>
      <w:pPr>
        <w:spacing w:after="0" w:line="175" w:lineRule="exact"/>
        <w:rPr>
          <w:sz w:val="20"/>
          <w:szCs w:val="20"/>
          <w:color w:val="auto"/>
        </w:rPr>
      </w:pPr>
    </w:p>
    <w:p>
      <w:pPr>
        <w:ind w:left="1300" w:right="240" w:hanging="320"/>
        <w:spacing w:after="0" w:line="250" w:lineRule="auto"/>
        <w:tabs>
          <w:tab w:leader="none" w:pos="127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immediately after the grant, such Employee would own stock and/or hold outstanding options to purchase stock possessing 5% or more of the total combined voting power or value of all classes of stock of the Company (for purposes of this paragraph, the rules of Section 424(d) of the Code shall apply in determining stock ownership of any Employee); or</w:t>
      </w:r>
    </w:p>
    <w:p>
      <w:pPr>
        <w:spacing w:after="0" w:line="188" w:lineRule="exact"/>
        <w:rPr>
          <w:rFonts w:ascii="Arial" w:cs="Arial" w:eastAsia="Arial" w:hAnsi="Arial"/>
          <w:sz w:val="22"/>
          <w:szCs w:val="22"/>
          <w:color w:val="auto"/>
        </w:rPr>
      </w:pPr>
    </w:p>
    <w:p>
      <w:pPr>
        <w:jc w:val="both"/>
        <w:ind w:left="1300" w:right="420" w:hanging="320"/>
        <w:spacing w:after="0" w:line="250" w:lineRule="auto"/>
        <w:tabs>
          <w:tab w:leader="none" w:pos="1282" w:val="left"/>
        </w:tabs>
        <w:numPr>
          <w:ilvl w:val="0"/>
          <w:numId w:val="17"/>
        </w:numPr>
        <w:rPr>
          <w:rFonts w:ascii="Arial" w:cs="Arial" w:eastAsia="Arial" w:hAnsi="Arial"/>
          <w:sz w:val="22"/>
          <w:szCs w:val="22"/>
          <w:color w:val="auto"/>
        </w:rPr>
      </w:pPr>
      <w:r>
        <w:rPr>
          <w:rFonts w:ascii="Arial" w:cs="Arial" w:eastAsia="Arial" w:hAnsi="Arial"/>
          <w:sz w:val="22"/>
          <w:szCs w:val="22"/>
          <w:color w:val="auto"/>
        </w:rPr>
        <w:t>which permits such Employee's rights to purchase stock under all employee stock purchase plans (as that term is defined in Section 423(b) of the Code) of the Company to accrue at a rate which exceeds $25,000 of fair market value of the stock (determined at the time such option is granted) for each calendar year in which such option is outstanding at any time.</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3.03 Commencement of Participation. An eligible Employee may become a participant by completing an enrollment form provided by the Company and filing the completed form with the Plan Representative on or before the filing date set therefor by the Committee, which date shall be prior to the Offering Commencement Date for the next following Offering (as such terms are defined below), unless a later time for submission of the form is set by the Committee for all eligible Employees with respect to a given Offering Period. Payroll deductions for a participant shall commence on the next following Offering Commencement Date after the Employee's authorization for payroll deductions becomes effective and shall continue until termination of the Plan or the participant's earlier termination of participation in the Plan. Each participant in the Plan shall be deemed to continue participation until termination of the Plan or such participant's earlier termination of participation in the Plan pursuant to Article VIII below.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ectPr>
          <w:pgSz w:w="11900" w:h="16838" w:orient="portrait"/>
          <w:cols w:equalWidth="0" w:num="1">
            <w:col w:w="11420"/>
          </w:cols>
          <w:pgMar w:left="240" w:top="5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color w:val="auto"/>
        </w:rPr>
        <w:t>STOCK SUBJECT TO THE PLAN AND OFFERINGS</w:t>
      </w:r>
    </w:p>
    <w:p>
      <w:pPr>
        <w:spacing w:after="0" w:line="220"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4.01 Stock Subject to the Plan. Subject to the provisions of Section 12.04 of the Plan, the Board shall reserve for issuance under the Plan an aggregate of one million (1,000,000) shares of the Company's common stock (the “Common Stock”), which shares shall be authorized but unissued shares of Common Stock. If, on a given Offering Termination Date, the number of shares with respect to which options are to be exercised exceeds the number of shares then available under the Plan, the Committee shall make a pro rata allocation of the shares remaining available for purchase in as uniform manner as shall be practicable and as it shall determine to be equitable. The Board may from time to time reserve additional shares of authorized and unissued Common Stock for issuance pursuant to the Plan; provided, however, that at no time shall the number of shares of Common Stock reserved be greater than permitted by applicable law.</w:t>
      </w:r>
    </w:p>
    <w:p>
      <w:pPr>
        <w:spacing w:after="0" w:line="1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4.02 Offerings. The Plan shall be implemented by a series of Offerings of the Company's Common Stock (the “Offerings”) of three (3) months duration, with new Offerings commencing on or about January 1, April 1, July 1 and October 1 of each year (or at such other dates as the Committee shall determine); provided that the first Offering will be for the period commencing February 1, 2003 and ending March 31, 2003. The first day of each Offering shall be deemed the “Offering Commencement Date” and the last day the “Offering Termination Date” for such Offering. The Committee shall have the power to change the duration and/or the frequency of future Offerings without stockholder approval if such change is announced at least five (5) days prior to the beginning of the first Offering to be affected and the duration of such Offering does not exceed twenty-seven (27) months. Each Offering shall be in such form and shall contain such terms and conditions as the Committee shall deem appropriate, which shall comply with the requirements of Section 423(b)(5) of the Code that all Employees granted options to purchase shares of Common Stock under the Plan shall have the same rights and privileges. The Plan shall continue until terminated in accordance with Section 12.05.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PAYROLL DEDUCTIONS AND SUBSCRIPTIONS</w:t>
      </w:r>
    </w:p>
    <w:p>
      <w:pPr>
        <w:spacing w:after="0" w:line="20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5.01 Amount of Deduction. The form described in Section 3.03 will permit a participant to elect during each Offering (except Offerings as to which the participant is suspended from participating in accordance with Section 8.02) payroll deductions to occur in an amount determined by the participant. In addition, for each Eligible Subsidiary Company that establishes a sub-plan pursuant to Section 11.04(b), the Plan Representative may in its discretion permit employees of the Eligible Subsidiary Company to subscribe to pay the Company a fixed dollar amount in one payments completed on or before the Offering Termination Date. In all cases, the amount of each participant's payroll deductions or subscriptions may be limited in order to comply with the requirements of Section 3.02(b).</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5.02 Participant's Account. All payroll deductions and payments made for or by a participant pursuant to Section 5.01 shall be credited to an account established for such participant under the Plan.</w:t>
      </w:r>
    </w:p>
    <w:p>
      <w:pPr>
        <w:spacing w:after="0" w:line="17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5.03 Changes in Payroll Deductions and Payments. A participant may reduce or increase future payroll deductions or payments made pursuant to Section 5.01 by filing with the Plan Representative a form provided by the Company for such purpose. The effective date of any increase or reduction in future payroll deductions or payments pursuant to Section 5.01 will be the next Offering Commencement Date that both succeeds processing of the change form and involves an Offering in which the participant is eligible to participate, taking into account any suspension of participation that Section 8.02 requires. A participant's changed enrollment election pursuant to Section 5.01 shall remain in effect for successive Offerings unless terminated as provided in Section 8.01.</w:t>
      </w:r>
    </w:p>
    <w:p>
      <w:pPr>
        <w:sectPr>
          <w:pgSz w:w="11900" w:h="16838" w:orient="portrait"/>
          <w:cols w:equalWidth="0" w:num="1">
            <w:col w:w="11420"/>
          </w:cols>
          <w:pgMar w:left="240" w:top="59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GRANTING OF OPTION</w:t>
      </w:r>
    </w:p>
    <w:p>
      <w:pPr>
        <w:spacing w:after="0" w:line="20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6.01 Number of Option Shares. On or prior to the Offering Commencement Date, the Committee shall specify a maximum number of shares of Common Stock that may be purchased by each participant during the Offering subject to any adjustment pursuant to Section 12.04, the limitations of Section 3.02(b) and 4.01, and any suspensions of participation pursuant to Section</w:t>
      </w:r>
    </w:p>
    <w:p>
      <w:pPr>
        <w:spacing w:after="0" w:line="1"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color w:val="auto"/>
        </w:rPr>
        <w:t>8.02. For each Offering commencing on or after February 1, 2003, the maximum number of shares which may be purchased by each participant during the Offering shall not exceed 3,000 shares (subject to the discretion of the Plan Representative to increase or decrease this limit on a prospective basis, through advance written notice to Plan participants).</w:t>
      </w:r>
    </w:p>
    <w:p>
      <w:pPr>
        <w:spacing w:after="0" w:line="143"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6.02 Offering Price. The option price of Common Stock purchased with payroll deductions made during any Offering (the “Offering Price”) for a participant therein shall be the lesser of:</w:t>
      </w:r>
    </w:p>
    <w:p>
      <w:pPr>
        <w:spacing w:after="0" w:line="175" w:lineRule="exact"/>
        <w:rPr>
          <w:sz w:val="20"/>
          <w:szCs w:val="20"/>
          <w:color w:val="auto"/>
        </w:rPr>
      </w:pPr>
    </w:p>
    <w:p>
      <w:pPr>
        <w:ind w:left="1280" w:hanging="300"/>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85% of the Fair Market Value of the shares of Common Stock on the Offering Commencement Date, or</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85% of the Fair Market Value of the shares of Common Stock on the Offering Termination Date.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EXERCISE OF OPTION</w:t>
      </w:r>
    </w:p>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7.01 Automatic Exercise. Each Plan participant's option for the purchase of stock with payroll deductions (or payments pursuant to Section 5.01) made during any Offering will be deemed to have been exercised automatically on the applicable Offering Termination Date for the purchase of the number of shares of Common Stock which the accumulated payroll deductions and payments pursuant to Section 5.01 in the participant's account at the time will purchase at the applicable Offering Price (but not in excess of the number of shares for which outstanding options have been granted to the participant pursuant to Section 6.01).</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7.02 Withdrawal of Account. No participant in the Plan shall be entitled to withdraw any amount from the accumulated payroll deductions (and contributions pursuant to Section 5.01) in his or her account; provided, however, that a participant's accumulated payroll deductions (and contributions pursuant to Section 5.01) shall be refunded to the participant as and to the extent specified in Section 8.01 below upon termination of such participant's participation in the Plan.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7.03 Fractional Shares. Fractional shares of Common Stock may be issued under the Plan.</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7.04 Exercise of Options. During a participant's lifetime, options held by such participant shall be exercisable only by such participant.</w:t>
      </w:r>
    </w:p>
    <w:p>
      <w:pPr>
        <w:spacing w:after="0" w:line="175"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7.05 Delivery of Stock. As promptly as practicable after the Offering Termination Date of each Offering, the Company will deliver to each participant in such Offering, as appropriate, the shares of Common Stock purchased therein upon exercise of such participant's option. The Company may deliver such shares in certificated or book entry form, at the Company's sole election.</w:t>
      </w:r>
    </w:p>
    <w:p>
      <w:pPr>
        <w:spacing w:after="0" w:line="134"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7.06 Stock Transfer Restrictions. The Plan is intended to satisfy the requirements of Section 423 of the Code. A participant will not obtain the benefits of this provision if such participant disposes of</w:t>
      </w:r>
    </w:p>
    <w:p>
      <w:pPr>
        <w:sectPr>
          <w:pgSz w:w="11900" w:h="16838" w:orient="portrait"/>
          <w:cols w:equalWidth="0" w:num="1">
            <w:col w:w="11400"/>
          </w:cols>
          <w:pgMar w:left="240" w:top="807" w:right="259" w:bottom="1440" w:gutter="0" w:footer="0" w:header="0"/>
        </w:sectPr>
      </w:pPr>
    </w:p>
    <w:bookmarkStart w:id="39" w:name="page40"/>
    <w:bookmarkEnd w:id="39"/>
    <w:p>
      <w:pPr>
        <w:ind w:right="120"/>
        <w:spacing w:after="0" w:line="263" w:lineRule="auto"/>
        <w:rPr>
          <w:sz w:val="20"/>
          <w:szCs w:val="20"/>
          <w:color w:val="auto"/>
        </w:rPr>
      </w:pPr>
      <w:r>
        <w:rPr>
          <w:rFonts w:ascii="Arial" w:cs="Arial" w:eastAsia="Arial" w:hAnsi="Arial"/>
          <w:sz w:val="22"/>
          <w:szCs w:val="22"/>
          <w:color w:val="auto"/>
        </w:rPr>
        <w:t>shares of Common Stock acquired pursuant to the Plan within two (2) years from the Offering Commencement Date or within one (1) year from the date such Common Stock is purchased by the participant, whichever is later.</w:t>
      </w:r>
    </w:p>
    <w:p>
      <w:pPr>
        <w:spacing w:after="0" w:line="175"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WITHDRAWAL</w:t>
      </w:r>
    </w:p>
    <w:p>
      <w:pPr>
        <w:spacing w:after="0" w:line="202" w:lineRule="exact"/>
        <w:rPr>
          <w:sz w:val="20"/>
          <w:szCs w:val="20"/>
          <w:color w:val="auto"/>
        </w:rPr>
      </w:pPr>
    </w:p>
    <w:p>
      <w:pPr>
        <w:ind w:right="200" w:firstLine="648"/>
        <w:spacing w:after="0" w:line="292" w:lineRule="auto"/>
        <w:rPr>
          <w:sz w:val="20"/>
          <w:szCs w:val="20"/>
          <w:color w:val="auto"/>
        </w:rPr>
      </w:pPr>
      <w:r>
        <w:rPr>
          <w:rFonts w:ascii="Arial" w:cs="Arial" w:eastAsia="Arial" w:hAnsi="Arial"/>
          <w:sz w:val="19"/>
          <w:szCs w:val="19"/>
          <w:color w:val="auto"/>
        </w:rPr>
        <w:t>8.01 In General. A participant may stop participating in the Plan at any time by giving written notice to the Plan Representative. Upon processing of any such written notice, no further payroll deductions will be made from the participant's Compensation during such Offering or thereafter, unless and until such participant elects to resume participation in the Plan, in accordance with Section 8.02 hereof, by providing written notice to the Plan Representative pursuant to Section 3.03 above. Such participant's payroll deductions and payments accumulated pursuant to Section 5.01 prior to processing of such notice shall be applied toward purchasing shares of Common Stock in the then-current Offering as provided in Section 7.01 above. Any cash balance remaining after the purchase of shares in such Offering shall be refunded promptly to such participant.</w:t>
      </w:r>
    </w:p>
    <w:p>
      <w:pPr>
        <w:spacing w:after="0" w:line="151"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8.02 Effect on Subsequent Participation. A participant's withdrawal from an Offering pursuant to Section 8.01 (including as a deemed withdrawal a participant's failure to make all subscription payments required pursuant to Section 5.01 on or before an Offering Termination Date) will result in the participant's suspension from Plan participation for the remaining of the Offering and for the subsequent three Offerings. The participant's suspension will not thereafter have any effect upon such participant's eligibility to participate in any succeeding Offering or in any similar plan which may hereafter be adopted by the Company and for which such participant is otherwise eligible.</w:t>
      </w:r>
    </w:p>
    <w:p>
      <w:pPr>
        <w:spacing w:after="0" w:line="194" w:lineRule="exact"/>
        <w:rPr>
          <w:sz w:val="20"/>
          <w:szCs w:val="20"/>
          <w:color w:val="auto"/>
        </w:rPr>
      </w:pPr>
    </w:p>
    <w:p>
      <w:pPr>
        <w:ind w:right="600" w:firstLine="648"/>
        <w:spacing w:after="0" w:line="251" w:lineRule="auto"/>
        <w:rPr>
          <w:sz w:val="20"/>
          <w:szCs w:val="20"/>
          <w:color w:val="auto"/>
        </w:rPr>
      </w:pPr>
      <w:r>
        <w:rPr>
          <w:rFonts w:ascii="Arial" w:cs="Arial" w:eastAsia="Arial" w:hAnsi="Arial"/>
          <w:sz w:val="22"/>
          <w:szCs w:val="22"/>
          <w:color w:val="auto"/>
        </w:rPr>
        <w:t>8.03 Termination of Employment. Upon termination of a participant's employment with the Company or any Eligible Subsidiary Company (as the case may be) for any reason, including retirement or death, then -</w:t>
      </w:r>
    </w:p>
    <w:p>
      <w:pPr>
        <w:spacing w:after="0" w:line="2" w:lineRule="exact"/>
        <w:rPr>
          <w:sz w:val="20"/>
          <w:szCs w:val="20"/>
          <w:color w:val="auto"/>
        </w:rPr>
      </w:pPr>
    </w:p>
    <w:p>
      <w:pPr>
        <w:ind w:right="100" w:firstLine="656"/>
        <w:spacing w:after="0" w:line="258" w:lineRule="auto"/>
        <w:tabs>
          <w:tab w:leader="none" w:pos="906" w:val="left"/>
        </w:tabs>
        <w:numPr>
          <w:ilvl w:val="0"/>
          <w:numId w:val="19"/>
        </w:numPr>
        <w:rPr>
          <w:rFonts w:ascii="Arial" w:cs="Arial" w:eastAsia="Arial" w:hAnsi="Arial"/>
          <w:sz w:val="21"/>
          <w:szCs w:val="21"/>
          <w:color w:val="auto"/>
        </w:rPr>
      </w:pPr>
      <w:r>
        <w:rPr>
          <w:rFonts w:ascii="Arial" w:cs="Arial" w:eastAsia="Arial" w:hAnsi="Arial"/>
          <w:sz w:val="21"/>
          <w:szCs w:val="21"/>
          <w:color w:val="auto"/>
        </w:rPr>
        <w:t>any shares that the Company or the Plan holds for the participant pursuant to the Plan will be issued and delivered to the participant (or the participant's estate in the event the particiant is deceased) unless the Plan Representative determines in its discretion that the participant has before such employment termination date provided directions (in a form and manner acceptable to the Plan Representative) that are sufficient and timely to permit a transfer of such shares within the thirty-day period following the participant's termination of employment; and</w:t>
      </w:r>
    </w:p>
    <w:p>
      <w:pPr>
        <w:spacing w:after="0" w:line="183" w:lineRule="exact"/>
        <w:rPr>
          <w:rFonts w:ascii="Arial" w:cs="Arial" w:eastAsia="Arial" w:hAnsi="Arial"/>
          <w:sz w:val="21"/>
          <w:szCs w:val="21"/>
          <w:color w:val="auto"/>
        </w:rPr>
      </w:pPr>
    </w:p>
    <w:p>
      <w:pPr>
        <w:jc w:val="both"/>
        <w:ind w:right="40" w:firstLine="656"/>
        <w:spacing w:after="0" w:line="253" w:lineRule="auto"/>
        <w:tabs>
          <w:tab w:leader="none" w:pos="96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participant's payroll deductions and contributions accumulated pursuant to Section 5.01 prior to such termination, if any, shall be refunded to him or her, or, in the case of his or her death, to the person or persons entitled thereto under Section 12.01, and his or her participation in the Plan shall be deemed to be terminated.</w:t>
      </w:r>
    </w:p>
    <w:p>
      <w:pPr>
        <w:spacing w:after="0" w:line="267"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8.04 Hardship Withdrawal. Hardship distributions may be made without suspension of a participant's right to re-enroll in a future Offering (as otherwise required under Section 8.02). A participant will be considered to have a hardship if a distribution is necessary to pay --</w:t>
      </w:r>
    </w:p>
    <w:p>
      <w:pPr>
        <w:spacing w:after="0" w:line="29" w:lineRule="exact"/>
        <w:rPr>
          <w:sz w:val="20"/>
          <w:szCs w:val="20"/>
          <w:color w:val="auto"/>
        </w:rPr>
      </w:pPr>
    </w:p>
    <w:p>
      <w:pPr>
        <w:ind w:left="1300" w:right="380" w:hanging="320"/>
        <w:spacing w:after="0" w:line="23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color w:val="auto"/>
        </w:rPr>
        <w:t>any of the following expenses with respect to the participant, the participant's spouse or significant other, or a member of the participant's immediate family: uninsured medical expenses, or tuition or related expenses for the next 12 months of post-secondary education,</w:t>
      </w:r>
    </w:p>
    <w:p>
      <w:pPr>
        <w:spacing w:after="0" w:line="1" w:lineRule="exact"/>
        <w:rPr>
          <w:rFonts w:ascii="Arial" w:cs="Arial" w:eastAsia="Arial" w:hAnsi="Arial"/>
          <w:sz w:val="18"/>
          <w:szCs w:val="18"/>
          <w:color w:val="auto"/>
        </w:rPr>
      </w:pPr>
    </w:p>
    <w:p>
      <w:pPr>
        <w:ind w:left="1300" w:hanging="320"/>
        <w:spacing w:after="0" w:line="23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color w:val="auto"/>
        </w:rPr>
        <w:t>expenses associated with the purchase of the participant's principal residence,</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22"/>
          <w:szCs w:val="22"/>
          <w:color w:val="auto"/>
        </w:rPr>
        <w:t>the costs necessary to avoid foreclosure or eviction from the participant's principal</w:t>
      </w:r>
    </w:p>
    <w:p>
      <w:pPr>
        <w:sectPr>
          <w:pgSz w:w="11900" w:h="16838" w:orient="portrait"/>
          <w:cols w:equalWidth="0" w:num="1">
            <w:col w:w="11400"/>
          </w:cols>
          <w:pgMar w:left="240" w:top="591" w:right="259" w:bottom="1440" w:gutter="0" w:footer="0" w:header="0"/>
        </w:sectPr>
      </w:pPr>
    </w:p>
    <w:bookmarkStart w:id="40" w:name="page41"/>
    <w:bookmarkEnd w:id="40"/>
    <w:p>
      <w:pPr>
        <w:ind w:left="1300"/>
        <w:spacing w:after="0"/>
        <w:rPr>
          <w:sz w:val="20"/>
          <w:szCs w:val="20"/>
          <w:color w:val="auto"/>
        </w:rPr>
      </w:pPr>
      <w:r>
        <w:rPr>
          <w:rFonts w:ascii="Arial" w:cs="Arial" w:eastAsia="Arial" w:hAnsi="Arial"/>
          <w:sz w:val="22"/>
          <w:szCs w:val="22"/>
          <w:color w:val="auto"/>
        </w:rPr>
        <w:t>residence,</w:t>
      </w:r>
    </w:p>
    <w:p>
      <w:pPr>
        <w:spacing w:after="0" w:line="8" w:lineRule="exact"/>
        <w:rPr>
          <w:sz w:val="20"/>
          <w:szCs w:val="20"/>
          <w:color w:val="auto"/>
        </w:rPr>
      </w:pPr>
    </w:p>
    <w:p>
      <w:pPr>
        <w:ind w:left="1300" w:right="460" w:hanging="320"/>
        <w:spacing w:after="0" w:line="23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22"/>
          <w:szCs w:val="22"/>
          <w:color w:val="auto"/>
        </w:rPr>
        <w:t>any amount the participant requests within 90 days following the death of the participant's spouse or significant other,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9"/>
          <w:szCs w:val="19"/>
          <w:color w:val="auto"/>
        </w:rPr>
        <w:t>any amount the participant's designated beneficiary requests within 90 days following the death of the participant.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INTEREST</w:t>
      </w:r>
    </w:p>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9.01 Payment of Interest. No interest will be paid or allowed on any money paid into the Plan or credited to the account of or distributed to any participant Employee.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STOCK</w:t>
      </w:r>
    </w:p>
    <w:p>
      <w:pPr>
        <w:spacing w:after="0" w:line="202" w:lineRule="exact"/>
        <w:rPr>
          <w:sz w:val="20"/>
          <w:szCs w:val="20"/>
          <w:color w:val="auto"/>
        </w:rPr>
      </w:pPr>
    </w:p>
    <w:p>
      <w:pPr>
        <w:ind w:right="300" w:firstLine="648"/>
        <w:spacing w:after="0" w:line="287" w:lineRule="auto"/>
        <w:rPr>
          <w:sz w:val="20"/>
          <w:szCs w:val="20"/>
          <w:color w:val="auto"/>
        </w:rPr>
      </w:pPr>
      <w:r>
        <w:rPr>
          <w:rFonts w:ascii="Arial" w:cs="Arial" w:eastAsia="Arial" w:hAnsi="Arial"/>
          <w:sz w:val="21"/>
          <w:szCs w:val="21"/>
          <w:color w:val="auto"/>
        </w:rPr>
        <w:t>10.01 Participant's Interest in Option Stock. No participant will have any interest in shares of Common Stock covered by any option held by such participant until such option has been exercised as provided in Section 7.01 above.</w:t>
      </w:r>
    </w:p>
    <w:p>
      <w:pPr>
        <w:spacing w:after="0" w:line="152" w:lineRule="exact"/>
        <w:rPr>
          <w:sz w:val="20"/>
          <w:szCs w:val="20"/>
          <w:color w:val="auto"/>
        </w:rPr>
      </w:pPr>
    </w:p>
    <w:p>
      <w:pPr>
        <w:ind w:right="320" w:firstLine="648"/>
        <w:spacing w:after="0" w:line="302" w:lineRule="auto"/>
        <w:rPr>
          <w:sz w:val="20"/>
          <w:szCs w:val="20"/>
          <w:color w:val="auto"/>
        </w:rPr>
      </w:pPr>
      <w:r>
        <w:rPr>
          <w:rFonts w:ascii="Arial" w:cs="Arial" w:eastAsia="Arial" w:hAnsi="Arial"/>
          <w:sz w:val="19"/>
          <w:szCs w:val="19"/>
          <w:color w:val="auto"/>
        </w:rPr>
        <w:t>10.02 Registration of Stock. Shares of Common Stock purchased by a participant under the Plan will be registered in the name of the participant, or, if the participant so directs by written notice to the Plan Representative prior to the Offering Termination Date applicable thereto, in the names of the participant and one such other person as may be designated by the participant, as joint tenants with rights of survivorship or as tenants by the entireties, to the extent permitted by applicable law.</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10.03 Restrictions on Exercise. The Committee may, in its discretion, require as conditions to the exercise of any option that the shares of Common Stock reserved for issuance upon the exercise of such option shall have been duly listed, upon official notice of issuance, upon a stock exchange or market, and that either: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 a registration statement under the Securities Act of 1933, as amended, with respect to said shares shall be effective, or</w:t>
      </w:r>
    </w:p>
    <w:p>
      <w:pPr>
        <w:spacing w:after="0" w:line="241" w:lineRule="exact"/>
        <w:rPr>
          <w:sz w:val="20"/>
          <w:szCs w:val="20"/>
          <w:color w:val="auto"/>
        </w:rPr>
      </w:pPr>
    </w:p>
    <w:p>
      <w:pPr>
        <w:ind w:left="1260" w:hanging="374"/>
        <w:spacing w:after="0" w:line="328"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9"/>
          <w:szCs w:val="19"/>
          <w:color w:val="auto"/>
        </w:rPr>
        <w:t>the participant shall have represented at the time of purchase, in form and substance satisfactory to the Company, that it is his or her intention to purchase the shares for investment and not for resale or distribution.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ind w:right="360" w:firstLine="554"/>
        <w:spacing w:after="0" w:line="253" w:lineRule="auto"/>
        <w:rPr>
          <w:sz w:val="20"/>
          <w:szCs w:val="20"/>
          <w:color w:val="auto"/>
        </w:rPr>
      </w:pPr>
      <w:r>
        <w:rPr>
          <w:rFonts w:ascii="Arial" w:cs="Arial" w:eastAsia="Arial" w:hAnsi="Arial"/>
          <w:sz w:val="22"/>
          <w:szCs w:val="22"/>
          <w:color w:val="auto"/>
        </w:rPr>
        <w:t>11.01 Appointment of Committee. The Board shall appoint a committee (the “Committee”) to administer the Plan, which shall consist solely of no fewer than three “non-employee directors” (as defined in Rule 16b-3(a)(3) promulgated under the Securities Act of 1933, as amended).</w:t>
      </w:r>
    </w:p>
    <w:p>
      <w:pPr>
        <w:spacing w:after="0" w:line="186" w:lineRule="exact"/>
        <w:rPr>
          <w:sz w:val="20"/>
          <w:szCs w:val="20"/>
          <w:color w:val="auto"/>
        </w:rPr>
      </w:pPr>
    </w:p>
    <w:p>
      <w:pPr>
        <w:ind w:right="140" w:firstLine="554"/>
        <w:spacing w:after="0" w:line="297" w:lineRule="auto"/>
        <w:rPr>
          <w:sz w:val="20"/>
          <w:szCs w:val="20"/>
          <w:color w:val="auto"/>
        </w:rPr>
      </w:pPr>
      <w:r>
        <w:rPr>
          <w:rFonts w:ascii="Arial" w:cs="Arial" w:eastAsia="Arial" w:hAnsi="Arial"/>
          <w:sz w:val="19"/>
          <w:szCs w:val="19"/>
          <w:color w:val="auto"/>
        </w:rPr>
        <w:t>11.02 Authority of Committee. Subject to the express provisions of the Plan, the Committee shall have plenary authority in its discretion to interpret and construe any and all provision of the Plan, to adopt rules and regulations for administering the Plan, and to make all other determinations deemed necessary or advisable for administering the Plan. The Committee's determination of the foregoing matters shall be conclusive. Without regard to whether any participant rights may be considered to have been “adversely affected,” the Committee shall be entitled to limit the frequency and/or number of changes in the amount</w:t>
      </w:r>
    </w:p>
    <w:p>
      <w:pPr>
        <w:sectPr>
          <w:pgSz w:w="11900" w:h="16838" w:orient="portrait"/>
          <w:cols w:equalWidth="0" w:num="1">
            <w:col w:w="11400"/>
          </w:cols>
          <w:pgMar w:left="240" w:top="577" w:right="259" w:bottom="1440" w:gutter="0" w:footer="0" w:header="0"/>
        </w:sectPr>
      </w:pPr>
    </w:p>
    <w:bookmarkStart w:id="41" w:name="page42"/>
    <w:bookmarkEnd w:id="41"/>
    <w:p>
      <w:pPr>
        <w:spacing w:after="0" w:line="294" w:lineRule="auto"/>
        <w:rPr>
          <w:sz w:val="20"/>
          <w:szCs w:val="20"/>
          <w:color w:val="auto"/>
        </w:rPr>
      </w:pPr>
      <w:r>
        <w:rPr>
          <w:rFonts w:ascii="Arial" w:cs="Arial" w:eastAsia="Arial" w:hAnsi="Arial"/>
          <w:sz w:val="19"/>
          <w:szCs w:val="19"/>
          <w:color w:val="auto"/>
        </w:rPr>
        <w:t>withheld during an Offering,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that are consistent with the Plan.</w:t>
      </w:r>
    </w:p>
    <w:p>
      <w:pPr>
        <w:spacing w:after="0" w:line="150" w:lineRule="exact"/>
        <w:rPr>
          <w:sz w:val="20"/>
          <w:szCs w:val="20"/>
          <w:color w:val="auto"/>
        </w:rPr>
      </w:pPr>
    </w:p>
    <w:p>
      <w:pPr>
        <w:ind w:right="100" w:firstLine="554"/>
        <w:spacing w:after="0" w:line="292" w:lineRule="auto"/>
        <w:rPr>
          <w:sz w:val="20"/>
          <w:szCs w:val="20"/>
          <w:color w:val="auto"/>
        </w:rPr>
      </w:pPr>
      <w:r>
        <w:rPr>
          <w:rFonts w:ascii="Arial" w:cs="Arial" w:eastAsia="Arial" w:hAnsi="Arial"/>
          <w:sz w:val="19"/>
          <w:szCs w:val="19"/>
          <w:color w:val="auto"/>
        </w:rPr>
        <w:t>11.03 Rules Governing the Administration of the Committee. The Board may from time to time appoint members of the Committee in substitution for or in addition to members previously appointed and may fill vacancies, however caused, in the Committee. The Committee may select one of its members as its chairman, shall hold its meetings at such times and places as it shall deem advisable, and may hold telephonic meetings. All determinations of the Committee shall be made by a majority of its members. A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11.04 Rules For Foreign Jurisdictions And Non-423 Plan.</w:t>
      </w:r>
    </w:p>
    <w:p>
      <w:pPr>
        <w:spacing w:after="0" w:line="206" w:lineRule="exact"/>
        <w:rPr>
          <w:sz w:val="20"/>
          <w:szCs w:val="20"/>
          <w:color w:val="auto"/>
        </w:rPr>
      </w:pPr>
    </w:p>
    <w:p>
      <w:pPr>
        <w:ind w:left="660" w:right="20" w:firstLine="1293"/>
        <w:spacing w:after="0" w:line="245" w:lineRule="auto"/>
        <w:tabs>
          <w:tab w:leader="none" w:pos="2804" w:val="left"/>
        </w:tabs>
        <w:numPr>
          <w:ilvl w:val="1"/>
          <w:numId w:val="23"/>
        </w:numPr>
        <w:rPr>
          <w:rFonts w:ascii="Arial" w:cs="Arial" w:eastAsia="Arial" w:hAnsi="Arial"/>
          <w:sz w:val="17"/>
          <w:szCs w:val="17"/>
          <w:color w:val="auto"/>
        </w:rPr>
      </w:pPr>
      <w:r>
        <w:rPr>
          <w:rFonts w:ascii="Arial" w:cs="Arial" w:eastAsia="Arial" w:hAnsi="Arial"/>
          <w:sz w:val="21"/>
          <w:szCs w:val="21"/>
          <w:color w:val="auto"/>
        </w:rPr>
        <w:t>Local Rules and Procedures. The Company may adopt rules or procedures relating to the operation and administration of the Plan to accommodate the specific requirements of local laws and procedures. Without limiting the generality of the foregoing, the Company is specifically authorized to adopt rules and procedures regarding handling of payroll deductions, payment of interest, conversion of local currency, payroll tax, withholding procedures and handling of stock certificates which vary with local requirements.</w:t>
      </w:r>
    </w:p>
    <w:p>
      <w:pPr>
        <w:ind w:right="80" w:firstLine="1305"/>
        <w:spacing w:after="0" w:line="232" w:lineRule="auto"/>
        <w:tabs>
          <w:tab w:leader="none" w:pos="2155" w:val="left"/>
        </w:tabs>
        <w:numPr>
          <w:ilvl w:val="0"/>
          <w:numId w:val="24"/>
        </w:numPr>
        <w:rPr>
          <w:rFonts w:ascii="Arial" w:cs="Arial" w:eastAsia="Arial" w:hAnsi="Arial"/>
          <w:sz w:val="18"/>
          <w:szCs w:val="18"/>
          <w:color w:val="auto"/>
        </w:rPr>
      </w:pPr>
      <w:r>
        <w:rPr>
          <w:rFonts w:ascii="Arial" w:cs="Arial" w:eastAsia="Arial" w:hAnsi="Arial"/>
          <w:sz w:val="22"/>
          <w:szCs w:val="22"/>
          <w:color w:val="auto"/>
        </w:rPr>
        <w:t>Sub-Plans. The Company may also adopt sub-plans applicable to particular Subsidiary Companies or locations, which sub-plans may be designed to be outside the scope of Code section 423. The rules of such sub-plans may take precedence over other provisions of this Plan, but unless otherwise superseded by the specific terms of such sub-plan, the provisions of this Plan shall govern the operation of such sub-plan. Schedule 11.04(b) hereto designates all Subsidiary Companies that are establishing sub-plans as of the Effective Date. These Subsidiary Companies are becoming Eligible Subsidiary Companies as of the Effective Date for all purposes of the Plan except they are not adopting the Plan pursuant to Code section 423 and are therefore outside its scope.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right="80" w:firstLine="554"/>
        <w:spacing w:after="0" w:line="289" w:lineRule="auto"/>
        <w:rPr>
          <w:sz w:val="20"/>
          <w:szCs w:val="20"/>
          <w:color w:val="auto"/>
        </w:rPr>
      </w:pPr>
      <w:r>
        <w:rPr>
          <w:rFonts w:ascii="Arial" w:cs="Arial" w:eastAsia="Arial" w:hAnsi="Arial"/>
          <w:sz w:val="19"/>
          <w:szCs w:val="19"/>
          <w:color w:val="auto"/>
        </w:rPr>
        <w:t>12.01 Designation of Beneficiary. A participant may file with the Plan Representative a written designation of a beneficiary who is to receive any shares of Common Stock and/or cash under the Plan upon the participant's death. Such designation of beneficiary may be changed by the participant at any time by written notice to the Plan Representative. Upon the death of a participant and receipt by the Company of proof of identity and existence at the participant's death of a beneficiary validly designated by the participant under the Plan, and subject to Article VIII above concerning withdrawal from the Plan, the Company shall deliver such shares of Common Stock and/or cash to such beneficiary. In the event of the death of a participant lacking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discretion, may deliver such shares of</w:t>
      </w:r>
    </w:p>
    <w:p>
      <w:pPr>
        <w:sectPr>
          <w:pgSz w:w="11900" w:h="16838" w:orient="portrait"/>
          <w:cols w:equalWidth="0" w:num="1">
            <w:col w:w="11380"/>
          </w:cols>
          <w:pgMar w:left="240" w:top="591" w:right="279" w:bottom="1440" w:gutter="0" w:footer="0" w:header="0"/>
        </w:sectPr>
      </w:pPr>
    </w:p>
    <w:bookmarkStart w:id="42" w:name="page43"/>
    <w:bookmarkEnd w:id="42"/>
    <w:p>
      <w:pPr>
        <w:ind w:right="320"/>
        <w:spacing w:after="0" w:line="250" w:lineRule="auto"/>
        <w:rPr>
          <w:sz w:val="20"/>
          <w:szCs w:val="20"/>
          <w:color w:val="auto"/>
        </w:rPr>
      </w:pPr>
      <w:r>
        <w:rPr>
          <w:rFonts w:ascii="Arial" w:cs="Arial" w:eastAsia="Arial" w:hAnsi="Arial"/>
          <w:sz w:val="22"/>
          <w:szCs w:val="22"/>
          <w:color w:val="auto"/>
        </w:rPr>
        <w:t>Common Stock and/or cash to the spouse or to any one or more dependents of the participant, in each case without any further liability of the Company whatsoever under or relating to the Plan. No beneficiary shall, prior to the death of the participant by whom he or she has been designated, acquire any interest in the shares of Common Stock and/or cash credited to the participant under the Plan.</w:t>
      </w:r>
    </w:p>
    <w:p>
      <w:pPr>
        <w:spacing w:after="0" w:line="188" w:lineRule="exact"/>
        <w:rPr>
          <w:sz w:val="20"/>
          <w:szCs w:val="20"/>
          <w:color w:val="auto"/>
        </w:rPr>
      </w:pPr>
    </w:p>
    <w:p>
      <w:pPr>
        <w:ind w:right="100" w:firstLine="554"/>
        <w:spacing w:after="0" w:line="297" w:lineRule="auto"/>
        <w:rPr>
          <w:sz w:val="20"/>
          <w:szCs w:val="20"/>
          <w:color w:val="auto"/>
        </w:rPr>
      </w:pPr>
      <w:r>
        <w:rPr>
          <w:rFonts w:ascii="Arial" w:cs="Arial" w:eastAsia="Arial" w:hAnsi="Arial"/>
          <w:sz w:val="19"/>
          <w:szCs w:val="19"/>
          <w:color w:val="auto"/>
        </w:rPr>
        <w:t>12.02 Transferability. Neither payroll deductions or payments credited to any participant's account pursuant to Section 5.01 nor any option or rights with regard to the exercise of an option or to receive Common Stock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in its discretion, treat such act as an election to withdraw from participation in the Plan in accordance with Section 8.01.</w:t>
      </w:r>
    </w:p>
    <w:p>
      <w:pPr>
        <w:spacing w:after="0" w:line="147" w:lineRule="exact"/>
        <w:rPr>
          <w:sz w:val="20"/>
          <w:szCs w:val="20"/>
          <w:color w:val="auto"/>
        </w:rPr>
      </w:pPr>
    </w:p>
    <w:p>
      <w:pPr>
        <w:ind w:right="200" w:firstLine="554"/>
        <w:spacing w:after="0" w:line="343" w:lineRule="auto"/>
        <w:rPr>
          <w:sz w:val="20"/>
          <w:szCs w:val="20"/>
          <w:color w:val="auto"/>
        </w:rPr>
      </w:pPr>
      <w:r>
        <w:rPr>
          <w:rFonts w:ascii="Arial" w:cs="Arial" w:eastAsia="Arial" w:hAnsi="Arial"/>
          <w:sz w:val="19"/>
          <w:szCs w:val="19"/>
          <w:color w:val="auto"/>
        </w:rPr>
        <w:t>12.03 Use of Funds. All payroll deductions and payments received or held by the Company under the Plan may be used by the Company for any corporate purpose. The Company shall not be obligated to segregate such payroll deductions.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12.04 Adjustment Upon Changes in Capitalization.</w:t>
      </w:r>
    </w:p>
    <w:p>
      <w:pPr>
        <w:spacing w:after="0" w:line="220" w:lineRule="exact"/>
        <w:rPr>
          <w:sz w:val="20"/>
          <w:szCs w:val="20"/>
          <w:color w:val="auto"/>
        </w:rPr>
      </w:pPr>
    </w:p>
    <w:p>
      <w:pPr>
        <w:ind w:left="1300" w:hanging="320"/>
        <w:spacing w:after="0" w:line="288" w:lineRule="auto"/>
        <w:tabs>
          <w:tab w:leader="none" w:pos="127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while any options are outstanding under the Plan, the outstanding shares of Common Stock of the Company have increased, decreased, changed into, or been exchanged for a different number or kind of shares or securities of the Company through any reorganization, merger, recapitalization, reclassification, stock split, reverse stock split or similar transaction, appropriate and proportionate adjustments may be made by the Committee in the number and/or kind of shares which are subject to purchase under outstanding options and in the Offering Price or Prices applicable to such outstanding options. In addition, in any such event, the number and/or kind of shares which may be offered in the Offerings described in Article IV hereof shall also be proportionately adjusted. No such adjustments shall be made for or in respect of stock dividends. For purposes of this paragraph, any distribution of shares of Common Stock to shareholders in an amount aggregating 20% or more of the outstanding shares of Common Stock shall be deemed a stock split, and any distribution of shares aggregating less than 20% of the outstanding shares of Common Stock shall be deemed a stock dividend.</w:t>
      </w:r>
    </w:p>
    <w:p>
      <w:pPr>
        <w:spacing w:after="0" w:line="154" w:lineRule="exact"/>
        <w:rPr>
          <w:rFonts w:ascii="Arial" w:cs="Arial" w:eastAsia="Arial" w:hAnsi="Arial"/>
          <w:sz w:val="19"/>
          <w:szCs w:val="19"/>
          <w:color w:val="auto"/>
        </w:rPr>
      </w:pPr>
    </w:p>
    <w:p>
      <w:pPr>
        <w:ind w:left="1300" w:right="80" w:hanging="320"/>
        <w:spacing w:after="0" w:line="288" w:lineRule="auto"/>
        <w:tabs>
          <w:tab w:leader="none" w:pos="1282" w:val="left"/>
        </w:tabs>
        <w:numPr>
          <w:ilvl w:val="0"/>
          <w:numId w:val="25"/>
        </w:numPr>
        <w:rPr>
          <w:rFonts w:ascii="Arial" w:cs="Arial" w:eastAsia="Arial" w:hAnsi="Arial"/>
          <w:sz w:val="19"/>
          <w:szCs w:val="19"/>
          <w:color w:val="auto"/>
        </w:rPr>
      </w:pPr>
      <w:r>
        <w:rPr>
          <w:rFonts w:ascii="Arial" w:cs="Arial" w:eastAsia="Arial" w:hAnsi="Arial"/>
          <w:sz w:val="19"/>
          <w:szCs w:val="19"/>
          <w:color w:val="auto"/>
        </w:rPr>
        <w:t>Upon the dissolution or liquidation of the Company, or upon a reorganization, merger or consolidation of the Company with one or more corporations as a result of which the Company is not the surviving corporation, or upon a sale of substantially all of the property or capital stock of the Company to another corporation, the holder of each option then outstanding under the Plan will thereafter be entitled to receive at the next Offering Termination Date, upon the exercise of such option, for each share as to which such option shall be exercised, as nearly as reasonably may be determined, the cash, securities and/or property which a holder of one share of the Common Stock was entitled to receive upon and at the time of such transaction. The Board shall take such steps in connection with such transactions as the Board shall deem necessary to assure that the provisions of this Section 12.04 shall thereafter be applicable, as nearly as reasonably may be determined, in relation to the said cash, securities and/or property as to which each such holder of any such option might hereafter be entitled to receive.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12.05 Amendment and Termination.</w:t>
      </w:r>
    </w:p>
    <w:p>
      <w:pPr>
        <w:sectPr>
          <w:pgSz w:w="11900" w:h="16838" w:orient="portrait"/>
          <w:cols w:equalWidth="0" w:num="1">
            <w:col w:w="11380"/>
          </w:cols>
          <w:pgMar w:left="240" w:top="591" w:right="279" w:bottom="1440" w:gutter="0" w:footer="0" w:header="0"/>
        </w:sectPr>
      </w:pPr>
    </w:p>
    <w:bookmarkStart w:id="43" w:name="page44"/>
    <w:bookmarkEnd w:id="43"/>
    <w:p>
      <w:pPr>
        <w:ind w:left="1300" w:hanging="320"/>
        <w:spacing w:after="0" w:line="259" w:lineRule="auto"/>
        <w:tabs>
          <w:tab w:leader="none" w:pos="127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Board may at any time and for any reason terminate or amend the Plan. Except as provided in Section 12.04, no such termination can affect options previously granted, provided that an Offering may be terminated by the Board on any Offering Termination Date if the Board determinates that the termination of the Offering or the Plan is in the best interests of the Company and its stockholders. Except as provided in Section 12.04 and this Section 12.05, no amendment may make any change in any option theretofore granted that adversely affects the rights of any participant. To the extent necessary to comply with Section 423 of the Code (or any other applicable law, regulation or stock exchange rule), the Company shall obtain shareholder approval in such a manner and to such a degree as required.</w:t>
      </w:r>
    </w:p>
    <w:p>
      <w:pPr>
        <w:spacing w:after="0" w:line="184" w:lineRule="exact"/>
        <w:rPr>
          <w:rFonts w:ascii="Arial" w:cs="Arial" w:eastAsia="Arial" w:hAnsi="Arial"/>
          <w:sz w:val="21"/>
          <w:szCs w:val="21"/>
          <w:color w:val="auto"/>
        </w:rPr>
      </w:pPr>
    </w:p>
    <w:p>
      <w:pPr>
        <w:ind w:left="1300" w:right="20" w:hanging="320"/>
        <w:spacing w:after="0" w:line="271" w:lineRule="auto"/>
        <w:tabs>
          <w:tab w:leader="none" w:pos="1282" w:val="left"/>
        </w:tabs>
        <w:numPr>
          <w:ilvl w:val="0"/>
          <w:numId w:val="26"/>
        </w:numPr>
        <w:rPr>
          <w:rFonts w:ascii="Arial" w:cs="Arial" w:eastAsia="Arial" w:hAnsi="Arial"/>
          <w:sz w:val="21"/>
          <w:szCs w:val="21"/>
          <w:color w:val="auto"/>
        </w:rPr>
      </w:pPr>
      <w:r>
        <w:rPr>
          <w:rFonts w:ascii="Arial" w:cs="Arial" w:eastAsia="Arial" w:hAnsi="Arial"/>
          <w:sz w:val="21"/>
          <w:szCs w:val="21"/>
          <w:color w:val="auto"/>
        </w:rPr>
        <w:t>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w:t>
      </w:r>
    </w:p>
    <w:p>
      <w:pPr>
        <w:spacing w:after="0" w:line="167" w:lineRule="exact"/>
        <w:rPr>
          <w:rFonts w:ascii="Arial" w:cs="Arial" w:eastAsia="Arial" w:hAnsi="Arial"/>
          <w:sz w:val="21"/>
          <w:szCs w:val="21"/>
          <w:color w:val="auto"/>
        </w:rPr>
      </w:pPr>
    </w:p>
    <w:p>
      <w:pPr>
        <w:ind w:left="1620" w:right="520" w:hanging="315"/>
        <w:spacing w:after="0" w:line="263" w:lineRule="auto"/>
        <w:tabs>
          <w:tab w:leader="none" w:pos="1554"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altering the Offering Price for any Offering, including an Offering underway at the time of the change in the Offering;</w:t>
      </w:r>
    </w:p>
    <w:p>
      <w:pPr>
        <w:spacing w:after="0" w:line="174" w:lineRule="exact"/>
        <w:rPr>
          <w:rFonts w:ascii="Arial" w:cs="Arial" w:eastAsia="Arial" w:hAnsi="Arial"/>
          <w:sz w:val="22"/>
          <w:szCs w:val="22"/>
          <w:color w:val="auto"/>
        </w:rPr>
      </w:pPr>
    </w:p>
    <w:p>
      <w:pPr>
        <w:ind w:left="1620" w:right="680" w:hanging="315"/>
        <w:spacing w:after="0" w:line="263" w:lineRule="auto"/>
        <w:tabs>
          <w:tab w:leader="none" w:pos="1614" w:val="left"/>
        </w:tabs>
        <w:numPr>
          <w:ilvl w:val="1"/>
          <w:numId w:val="26"/>
        </w:numPr>
        <w:rPr>
          <w:rFonts w:ascii="Arial" w:cs="Arial" w:eastAsia="Arial" w:hAnsi="Arial"/>
          <w:sz w:val="22"/>
          <w:szCs w:val="22"/>
          <w:color w:val="auto"/>
        </w:rPr>
      </w:pPr>
      <w:r>
        <w:rPr>
          <w:rFonts w:ascii="Arial" w:cs="Arial" w:eastAsia="Arial" w:hAnsi="Arial"/>
          <w:sz w:val="22"/>
          <w:szCs w:val="22"/>
          <w:color w:val="auto"/>
        </w:rPr>
        <w:t>shortening any Offering so that Offering ends on a new Offering Termination Date, including an Offering underway at the time of the Board action; and</w:t>
      </w:r>
    </w:p>
    <w:p>
      <w:pPr>
        <w:spacing w:after="0" w:line="174" w:lineRule="exact"/>
        <w:rPr>
          <w:rFonts w:ascii="Arial" w:cs="Arial" w:eastAsia="Arial" w:hAnsi="Arial"/>
          <w:sz w:val="22"/>
          <w:szCs w:val="22"/>
          <w:color w:val="auto"/>
        </w:rPr>
      </w:pPr>
    </w:p>
    <w:p>
      <w:pPr>
        <w:ind w:left="1680" w:hanging="375"/>
        <w:spacing w:after="0"/>
        <w:tabs>
          <w:tab w:leader="none" w:pos="16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allocating shares.</w:t>
      </w:r>
    </w:p>
    <w:p>
      <w:pPr>
        <w:spacing w:after="0" w:line="220"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Such modifications or amendments shall not require stockholder approval or the consent of any participants.</w:t>
      </w:r>
    </w:p>
    <w:p>
      <w:pPr>
        <w:spacing w:after="0" w:line="220"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12.06 Effective Date. The Plan shall become effective as of February 1, 2003, regardless of whether or not the Plan receives approval by the holders of a majority of the shares of Common Stock present and represented at any special or annual meeting of the shareholders of the Company duly held within 12 months after adoption of the Plan (because such approval is being sought solely in order for the Plan to meet the requirements of Section 423 of the Code).</w:t>
      </w:r>
    </w:p>
    <w:p>
      <w:pPr>
        <w:spacing w:after="0" w:line="39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12.07 No Employment Rights. The Plan does not, directly or indirectly, create in any person any right with respect to continuation of employment by the Company or any Subsidiary Company, and it shall not be deemed to interfere in any way with the Company's or any Subsidiary Company's right to terminate, or otherwise modify, any employee's employment at any time.</w:t>
      </w:r>
    </w:p>
    <w:p>
      <w:pPr>
        <w:spacing w:after="0" w:line="134"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12.08 Effect of Plan. The provisions of the Plan shall, in accordance with its terms, be binding upon, and inure to the benefit of, all successors of each Employee participating in the Plan, including, without limitation, such Employee's estate and the executors, administrators or trustees thereof, heirs and legatees, and any receiver, trustee in bankruptcy or representative of creditors of such Employee.</w:t>
      </w:r>
    </w:p>
    <w:p>
      <w:pPr>
        <w:spacing w:after="0" w:line="188"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12.09 Governing Law. The law of the State of Delaware will govern all matters relating to this Plan except to the extent superseded by the federal laws of the United States.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2.03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Euronet Worldwide Inc. Employee Stock Purchase Plan</w:t>
      </w:r>
    </w:p>
    <w:p>
      <w:pPr>
        <w:sectPr>
          <w:pgSz w:w="11900" w:h="16838" w:orient="portrait"/>
          <w:cols w:equalWidth="0" w:num="1">
            <w:col w:w="11420"/>
          </w:cols>
          <w:pgMar w:left="240" w:top="591"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Eligible Subsidiary Companies</w:t>
      </w:r>
    </w:p>
    <w:p>
      <w:pPr>
        <w:spacing w:after="0" w:line="220"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Euronet USA Inc.</w:t>
      </w:r>
    </w:p>
    <w:p>
      <w:pPr>
        <w:spacing w:after="0" w:line="21"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PaySpot, Inc.</w:t>
      </w:r>
    </w:p>
    <w:p>
      <w:pPr>
        <w:spacing w:after="0" w:line="17"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Continental Exchange Solutions, Inc.</w:t>
      </w:r>
    </w:p>
    <w:p>
      <w:pPr>
        <w:spacing w:after="0" w:line="17"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RIA Telecommunications of New York, Inc.</w:t>
      </w:r>
    </w:p>
    <w:p>
      <w:pPr>
        <w:spacing w:after="0" w:line="17"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RIA Envia, Inc.</w:t>
      </w:r>
    </w:p>
    <w:p>
      <w:pPr>
        <w:spacing w:after="0" w:line="17"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Telecomnet, Inc.</w:t>
      </w:r>
    </w:p>
    <w:p>
      <w:pPr>
        <w:spacing w:after="0" w:line="17"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Continental Payment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Schedule 11.04(b) to</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Euronet Worldwide Inc. Employee Stock Purchase Plan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Eligible Subsidiary Companies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Adopting Sub-Plans:</w:t>
      </w:r>
    </w:p>
    <w:p>
      <w:pPr>
        <w:spacing w:after="0" w:line="188" w:lineRule="exact"/>
        <w:rPr>
          <w:sz w:val="20"/>
          <w:szCs w:val="20"/>
          <w:color w:val="auto"/>
        </w:rPr>
      </w:pPr>
    </w:p>
    <w:p>
      <w:pPr>
        <w:ind w:left="2080" w:hanging="77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22"/>
          <w:szCs w:val="22"/>
          <w:color w:val="auto"/>
        </w:rPr>
        <w:t>RIA Telecommunications of Canada Inc.</w:t>
      </w:r>
    </w:p>
    <w:p>
      <w:pPr>
        <w:spacing w:after="0" w:line="8" w:lineRule="exact"/>
        <w:rPr>
          <w:rFonts w:ascii="Arial" w:cs="Arial" w:eastAsia="Arial" w:hAnsi="Arial"/>
          <w:sz w:val="18"/>
          <w:szCs w:val="18"/>
          <w:color w:val="auto"/>
        </w:rPr>
      </w:pP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RIA de la Hispaniola, C.porA</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Envia Telecomunicaciones, S.A.</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Adminisztracios Szolgaltato Kft.</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Banktechnikai Szolgaltato Kft</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Bankomat 24 / Euronet Sp. z.o.o.</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Omega Logic Ltd.</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transact Elektronische Zahlungssysteme GmbH</w:t>
      </w:r>
    </w:p>
    <w:p>
      <w:pPr>
        <w:ind w:left="1440" w:hanging="784"/>
        <w:spacing w:after="0" w:line="230" w:lineRule="auto"/>
        <w:tabs>
          <w:tab w:leader="none" w:pos="144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EFT-Usluge d.o.o.</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Services GmbH</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Services, Spol. s.r.o.</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Services S.R.L.</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EFT Services Holding B.V.</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epay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Electronic Transactions Network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Gescoro Inc.</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e-pay (M) Sdn Bhd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PT G4S Euronet Nusantara</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epay Australia Pty.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EFT Usluge d.o.o.</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Brodos Romania S.R.L.</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RIA Financial Services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Europlanet d.o.o. Beograd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Services India Pvt.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ATX Software Limited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RIA Envia Financial Services GmbH</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epay New Zealand Ltd.</w:t>
      </w:r>
    </w:p>
    <w:p>
      <w:pPr>
        <w:ind w:left="1520" w:hanging="864"/>
        <w:spacing w:after="0" w:line="230"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Euronet Services Slovakia, spol. s r. o</w:t>
      </w:r>
    </w:p>
    <w:p>
      <w:pPr>
        <w:ind w:left="1520" w:hanging="864"/>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e-pay Holdings Ltd.</w:t>
      </w:r>
    </w:p>
    <w:p>
      <w:pPr>
        <w:sectPr>
          <w:pgSz w:w="11900" w:h="16838" w:orient="portrait"/>
          <w:cols w:equalWidth="0" w:num="1">
            <w:col w:w="10219"/>
          </w:cols>
          <w:pgMar w:left="240" w:top="591" w:right="1440" w:bottom="1440" w:gutter="0" w:footer="0" w:header="0"/>
        </w:sectPr>
      </w:pPr>
    </w:p>
    <w:bookmarkStart w:id="45" w:name="page46"/>
    <w:bookmarkEnd w:id="45"/>
    <w:p>
      <w:pPr>
        <w:ind w:left="864" w:hanging="864"/>
        <w:spacing w:after="0"/>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e-pay Australia Holdings Pty. Ltd.</w:t>
      </w:r>
    </w:p>
    <w:p>
      <w:pPr>
        <w:spacing w:after="0" w:line="8" w:lineRule="exact"/>
        <w:rPr>
          <w:rFonts w:ascii="Arial" w:cs="Arial" w:eastAsia="Arial" w:hAnsi="Arial"/>
          <w:sz w:val="18"/>
          <w:szCs w:val="18"/>
          <w:color w:val="auto"/>
        </w:rPr>
      </w:pP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Delta Euronet GmbH</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Italia S.R.L.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Business Holdings S.L.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Movilcarga S.L.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Telerecarga S.L.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Services LLC</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AG</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Bulgaria EOOD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Australia Pty.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Asia Holdings Limited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EWI Foreign Holdings Limited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China Co.,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Card Services S.A.</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Middle East W.L.L.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Essentis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Ukraine" Limited Liability Company</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Pay &amp; Transaction Services S.R.L.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France SAS</w:t>
      </w:r>
    </w:p>
    <w:p>
      <w:pPr>
        <w:ind w:left="864" w:hanging="864"/>
        <w:spacing w:after="0"/>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Spain Holdings S.L.</w:t>
      </w:r>
    </w:p>
    <w:p>
      <w:pPr>
        <w:spacing w:after="0" w:line="3" w:lineRule="exact"/>
        <w:rPr>
          <w:rFonts w:ascii="Arial" w:cs="Arial" w:eastAsia="Arial" w:hAnsi="Arial"/>
          <w:sz w:val="18"/>
          <w:szCs w:val="18"/>
          <w:color w:val="auto"/>
        </w:rPr>
      </w:pPr>
    </w:p>
    <w:p>
      <w:pPr>
        <w:ind w:left="864" w:hanging="864"/>
        <w:spacing w:after="0" w:line="219" w:lineRule="exact"/>
        <w:tabs>
          <w:tab w:leader="none" w:pos="864" w:val="left"/>
        </w:tabs>
        <w:numPr>
          <w:ilvl w:val="0"/>
          <w:numId w:val="30"/>
        </w:numPr>
        <w:rPr>
          <w:rFonts w:ascii="Arial" w:cs="Arial" w:eastAsia="Arial" w:hAnsi="Arial"/>
          <w:sz w:val="16"/>
          <w:szCs w:val="16"/>
          <w:color w:val="auto"/>
        </w:rPr>
      </w:pPr>
      <w:r>
        <w:rPr>
          <w:rFonts w:ascii="Arial" w:cs="Arial" w:eastAsia="Arial" w:hAnsi="Arial"/>
          <w:sz w:val="19"/>
          <w:szCs w:val="19"/>
          <w:color w:val="auto"/>
        </w:rPr>
        <w:t>Euronet Elektronik Ý</w:t>
      </w:r>
      <w:r>
        <w:rPr>
          <w:rFonts w:ascii="MS PGothic" w:cs="MS PGothic" w:eastAsia="MS PGothic" w:hAnsi="MS PGothic"/>
          <w:sz w:val="19"/>
          <w:szCs w:val="19"/>
          <w:color w:val="auto"/>
        </w:rPr>
        <w:t>☑</w:t>
      </w:r>
      <w:r>
        <w:rPr>
          <w:rFonts w:ascii="Arial" w:cs="Arial" w:eastAsia="Arial" w:hAnsi="Arial"/>
          <w:sz w:val="19"/>
          <w:szCs w:val="19"/>
          <w:color w:val="auto"/>
        </w:rPr>
        <w:t>lem Hizmetleri Limited Þirketi</w:t>
      </w:r>
    </w:p>
    <w:p>
      <w:pPr>
        <w:spacing w:after="0" w:line="24" w:lineRule="exact"/>
        <w:rPr>
          <w:rFonts w:ascii="Arial" w:cs="Arial" w:eastAsia="Arial" w:hAnsi="Arial"/>
          <w:sz w:val="16"/>
          <w:szCs w:val="16"/>
          <w:color w:val="auto"/>
        </w:rPr>
      </w:pP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New Zealand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Envia Financial Services Belgium</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de Centroamérica, S.A. de C.V.</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Prepaid Hellas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Puerto Rico, Inc.</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e-pay S.R.L.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ATX Middle East FZC</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Cashlink Bangladesh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Payment &amp; Card Services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Payment Services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epay France SAS</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XBA Szolgaltato Kft.</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Money Transfer Services Pvt. Ltd.</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Middle East, Africa &amp; Pakistan LLC</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Netherlands Holding B.V.</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Euronet Pakistan Holdings Inc.</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Telecom Net S.A. Logistica Digital</w:t>
      </w:r>
    </w:p>
    <w:p>
      <w:pPr>
        <w:ind w:left="864" w:hanging="864"/>
        <w:spacing w:after="0" w:line="230" w:lineRule="auto"/>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Sweden AB</w:t>
      </w:r>
    </w:p>
    <w:p>
      <w:pPr>
        <w:ind w:left="864" w:hanging="864"/>
        <w:spacing w:after="0"/>
        <w:tabs>
          <w:tab w:leader="none" w:pos="864" w:val="left"/>
        </w:tabs>
        <w:numPr>
          <w:ilvl w:val="0"/>
          <w:numId w:val="30"/>
        </w:numPr>
        <w:rPr>
          <w:rFonts w:ascii="Arial" w:cs="Arial" w:eastAsia="Arial" w:hAnsi="Arial"/>
          <w:sz w:val="18"/>
          <w:szCs w:val="18"/>
          <w:color w:val="auto"/>
        </w:rPr>
      </w:pPr>
      <w:r>
        <w:rPr>
          <w:rFonts w:ascii="Arial" w:cs="Arial" w:eastAsia="Arial" w:hAnsi="Arial"/>
          <w:sz w:val="22"/>
          <w:szCs w:val="22"/>
          <w:color w:val="auto"/>
        </w:rPr>
        <w:t>RIA Financial Services Ireland Ltd.</w:t>
      </w:r>
    </w:p>
    <w:p>
      <w:pPr>
        <w:sectPr>
          <w:pgSz w:w="11900" w:h="16838" w:orient="portrait"/>
          <w:cols w:equalWidth="0" w:num="1">
            <w:col w:w="9563"/>
          </w:cols>
          <w:pgMar w:left="896" w:top="577" w:right="1440" w:bottom="1440" w:gutter="0" w:footer="0" w:header="0"/>
        </w:sectPr>
      </w:pPr>
    </w:p>
    <w:bookmarkStart w:id="46" w:name="page47"/>
    <w:bookmarkEnd w:id="46"/>
    <w:p>
      <w:pPr>
        <w:ind w:left="7780"/>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EURONET WORLDWIDE,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ANNUAL INCENTIVE PLAN</w:t>
      </w:r>
    </w:p>
    <w:p>
      <w:pPr>
        <w:spacing w:after="0" w:line="18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OBJECTIVE</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The Euronet Worldwide, Inc. Executive Annual Incentive Plan (the "Incentive Plan") is designed to reward value creation</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by providing competitive incentives for the achievement of annual financial performance goals. By providing market-competitive target awards, the Plan supports the attraction and retention of senior executive talent critical to achieving the strategic business objectives of Euronet Worldwide, Inc (the "Corporation"). The Incentive Plan is also intended to secure the full deductibility of bonus compensation payable to the Corporation's Chief Executive Officer and the four highest compensated executive officers (collectively the "Covered Employees") whose compensation is required to be reported in the Corporation's proxy statement and all compensation payable hereunder to such persons is intended to qualify as "performance-based compensation" as described in Section 162(m)(4)(C) of the Internal Revenue Code of 1986, as amended (the "Code").</w:t>
      </w:r>
    </w:p>
    <w:p>
      <w:pPr>
        <w:spacing w:after="0" w:line="14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ELIGIBILITY AND PARTICIPATION</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Only those executive officers of the Corporation who are selected by the Compensation Committee (the "Committee") of</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Corporation's Board of Directors (the "Board") shall be eligible to participate in the Incentive Plan. Prior to or at the time performance objectives are established for an "Incentive Period", as defined below, the Committee will designate in writing which executive officers and key employees among those who may be eligible to participate in the Incentive Plan shall in fact be participants for such Incentive Period.</w:t>
      </w:r>
    </w:p>
    <w:p>
      <w:pPr>
        <w:spacing w:after="0" w:line="18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22"/>
          <w:szCs w:val="22"/>
          <w:color w:val="auto"/>
        </w:rPr>
        <w:t>PLAN YEAR, INCENTIVE PERIODS AND INCENTIVE OBJECTIVES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The fiscal year of the Incentive Plan (the "Plan Year") shall be the fiscal year beginning on January 1 and ending on</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December 31. The performance period (the "Incentive Period") with respect to which target awards and bonuses may be payable under the Incentive Plan shall generally be the Plan Year, provided that the Committee shall have the authority to designate different Incentive Periods under the Incentive Plan.</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Within the first ninety (90) days of each Incentive Period the Committee shall establish in writing, with respect to such Incentive Period, one or more performance goals, a specific target objective or objectives with respect to such performance goals and an objective formula or method for computing the amount of bonus compensation payable to each participant under the Incentive Plan if the performance goals are attained. Notwithstanding the foregoing sentence, for any Incentive Period, such goals, objectives and compensation formulae or methods must be (i) established within that number of days, beginning on the first day of such Incentive Period, which is no more than twenty-five percent (25%) of the total number of days in such Incentive Period and</w:t>
      </w:r>
    </w:p>
    <w:p>
      <w:pPr>
        <w:spacing w:after="0" w:line="1" w:lineRule="exact"/>
        <w:rPr>
          <w:sz w:val="20"/>
          <w:szCs w:val="20"/>
          <w:color w:val="auto"/>
        </w:rPr>
      </w:pPr>
    </w:p>
    <w:p>
      <w:pPr>
        <w:ind w:firstLine="8"/>
        <w:spacing w:after="0" w:line="246" w:lineRule="auto"/>
        <w:tabs>
          <w:tab w:leader="none" w:pos="365" w:val="left"/>
        </w:tabs>
        <w:numPr>
          <w:ilvl w:val="0"/>
          <w:numId w:val="34"/>
        </w:numPr>
        <w:rPr>
          <w:rFonts w:ascii="Arial" w:cs="Arial" w:eastAsia="Arial" w:hAnsi="Arial"/>
          <w:sz w:val="22"/>
          <w:szCs w:val="22"/>
          <w:color w:val="auto"/>
        </w:rPr>
      </w:pPr>
      <w:r>
        <w:rPr>
          <w:rFonts w:ascii="Arial" w:cs="Arial" w:eastAsia="Arial" w:hAnsi="Arial"/>
          <w:sz w:val="22"/>
          <w:szCs w:val="22"/>
          <w:color w:val="auto"/>
        </w:rPr>
        <w:t>established such that the outcome of the goal or objective is substantially uncertain at the time the Committee actually establishes the goal or objective.</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Incentive goals shall be based upon one or more of the following business criteria for the Corporation as a whole or any of its subsidiaries, operating divisions or other operating units:</w:t>
      </w:r>
    </w:p>
    <w:p>
      <w:pPr>
        <w:spacing w:after="0" w:line="175" w:lineRule="exact"/>
        <w:rPr>
          <w:sz w:val="20"/>
          <w:szCs w:val="20"/>
          <w:color w:val="auto"/>
        </w:rPr>
      </w:pPr>
    </w:p>
    <w:p>
      <w:pPr>
        <w:ind w:left="1100" w:hanging="444"/>
        <w:spacing w:after="0"/>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Earnings (either in the aggregate or on a per-Share basis);</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Growth or rate of growth in earnings (either in the aggregate or on a per-Share basis);</w:t>
      </w:r>
    </w:p>
    <w:p>
      <w:pPr>
        <w:spacing w:after="0" w:line="233" w:lineRule="exact"/>
        <w:rPr>
          <w:rFonts w:ascii="Arial" w:cs="Arial" w:eastAsia="Arial" w:hAnsi="Arial"/>
          <w:sz w:val="22"/>
          <w:szCs w:val="22"/>
          <w:color w:val="auto"/>
        </w:rPr>
      </w:pPr>
    </w:p>
    <w:p>
      <w:pPr>
        <w:ind w:left="1220" w:hanging="564"/>
        <w:spacing w:after="0"/>
        <w:tabs>
          <w:tab w:leader="none" w:pos="12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Net income or loss (either in the aggregate or on a per-Share basis);</w:t>
      </w:r>
    </w:p>
    <w:p>
      <w:pPr>
        <w:spacing w:after="0" w:line="233" w:lineRule="exact"/>
        <w:rPr>
          <w:rFonts w:ascii="Arial" w:cs="Arial" w:eastAsia="Arial" w:hAnsi="Arial"/>
          <w:sz w:val="22"/>
          <w:szCs w:val="22"/>
          <w:color w:val="auto"/>
        </w:rPr>
      </w:pPr>
    </w:p>
    <w:p>
      <w:pPr>
        <w:ind w:left="1200" w:hanging="544"/>
        <w:spacing w:after="0"/>
        <w:tabs>
          <w:tab w:leader="none" w:pos="12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Cash flow provided by operations, either in the aggregate or on a per-Share basis;</w:t>
      </w:r>
    </w:p>
    <w:p>
      <w:pPr>
        <w:sectPr>
          <w:pgSz w:w="11900" w:h="16838" w:orient="portrait"/>
          <w:cols w:equalWidth="0" w:num="1">
            <w:col w:w="11420"/>
          </w:cols>
          <w:pgMar w:left="240" w:top="584" w:right="239" w:bottom="1440" w:gutter="0" w:footer="0" w:header="0"/>
        </w:sectPr>
      </w:pPr>
    </w:p>
    <w:bookmarkStart w:id="47" w:name="page48"/>
    <w:bookmarkEnd w:id="47"/>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Growth or rate of growth in cash flow (either in the aggregate or on a per-Share basis);</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Free cash flow (either in the aggregate on a per-Share basis);</w:t>
      </w:r>
    </w:p>
    <w:p>
      <w:pPr>
        <w:spacing w:after="0" w:line="233" w:lineRule="exact"/>
        <w:rPr>
          <w:rFonts w:ascii="Arial" w:cs="Arial" w:eastAsia="Arial" w:hAnsi="Arial"/>
          <w:sz w:val="22"/>
          <w:szCs w:val="22"/>
          <w:color w:val="auto"/>
        </w:rPr>
      </w:pPr>
    </w:p>
    <w:p>
      <w:pPr>
        <w:ind w:left="1300" w:right="20" w:hanging="644"/>
        <w:spacing w:after="0" w:line="276" w:lineRule="auto"/>
        <w:tabs>
          <w:tab w:leader="none" w:pos="1339"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Reductions in expense levels, determined either on a Corporation-wide basis or in respect of any one or more business units;</w:t>
      </w:r>
    </w:p>
    <w:p>
      <w:pPr>
        <w:spacing w:after="0" w:line="160" w:lineRule="exact"/>
        <w:rPr>
          <w:rFonts w:ascii="Arial" w:cs="Arial" w:eastAsia="Arial" w:hAnsi="Arial"/>
          <w:sz w:val="22"/>
          <w:szCs w:val="22"/>
          <w:color w:val="auto"/>
        </w:rPr>
      </w:pPr>
    </w:p>
    <w:p>
      <w:pPr>
        <w:ind w:left="1260" w:hanging="604"/>
        <w:spacing w:after="0"/>
        <w:tabs>
          <w:tab w:leader="none" w:pos="1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Operating and maintenance cost management and employee productivity;</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Stockholder returns (including return on assets, investments, equity, or gross sales);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Return measures (including return on assets, equity, or sales);</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Growth or rate of growth in return measures (including return on assets, equity, or sales);</w:t>
      </w:r>
    </w:p>
    <w:p>
      <w:pPr>
        <w:spacing w:after="0" w:line="233" w:lineRule="exact"/>
        <w:rPr>
          <w:rFonts w:ascii="Arial" w:cs="Arial" w:eastAsia="Arial" w:hAnsi="Arial"/>
          <w:sz w:val="22"/>
          <w:szCs w:val="22"/>
          <w:color w:val="auto"/>
        </w:rPr>
      </w:pPr>
    </w:p>
    <w:p>
      <w:pPr>
        <w:ind w:left="1300" w:hanging="644"/>
        <w:spacing w:after="0" w:line="358" w:lineRule="auto"/>
        <w:tabs>
          <w:tab w:leader="none" w:pos="1271"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Share price (including attainment of a specified per-Share price during the Incentive Period; growth measures and total stockholder return or attainment by the Shares of a specified price for a specified period of time);</w:t>
      </w:r>
    </w:p>
    <w:p>
      <w:pPr>
        <w:spacing w:after="0" w:line="90" w:lineRule="exact"/>
        <w:rPr>
          <w:rFonts w:ascii="Arial" w:cs="Arial" w:eastAsia="Arial" w:hAnsi="Arial"/>
          <w:sz w:val="19"/>
          <w:szCs w:val="19"/>
          <w:color w:val="auto"/>
        </w:rPr>
      </w:pPr>
    </w:p>
    <w:p>
      <w:pPr>
        <w:jc w:val="both"/>
        <w:ind w:left="1300" w:hanging="644"/>
        <w:spacing w:after="0" w:line="278" w:lineRule="auto"/>
        <w:tabs>
          <w:tab w:leader="none" w:pos="1318" w:val="left"/>
        </w:tabs>
        <w:numPr>
          <w:ilvl w:val="0"/>
          <w:numId w:val="36"/>
        </w:numPr>
        <w:rPr>
          <w:rFonts w:ascii="Arial" w:cs="Arial" w:eastAsia="Arial" w:hAnsi="Arial"/>
          <w:sz w:val="21"/>
          <w:szCs w:val="21"/>
          <w:color w:val="auto"/>
        </w:rPr>
      </w:pPr>
      <w:r>
        <w:rPr>
          <w:rFonts w:ascii="Arial" w:cs="Arial" w:eastAsia="Arial" w:hAnsi="Arial"/>
          <w:sz w:val="21"/>
          <w:szCs w:val="21"/>
          <w:color w:val="auto"/>
        </w:rPr>
        <w:t>Strategic business criteria, consisting of one or more objectives based on meeting specified revenue, market share, market penetration, geographic business expansion goals, objectively identified project milestones, production volume levels, cost targets, and goals relating to acquisitions or divestitures; and/or</w:t>
      </w:r>
    </w:p>
    <w:p>
      <w:pPr>
        <w:spacing w:after="0" w:line="160" w:lineRule="exact"/>
        <w:rPr>
          <w:rFonts w:ascii="Arial" w:cs="Arial" w:eastAsia="Arial" w:hAnsi="Arial"/>
          <w:sz w:val="21"/>
          <w:szCs w:val="21"/>
          <w:color w:val="auto"/>
        </w:rPr>
      </w:pPr>
    </w:p>
    <w:p>
      <w:pPr>
        <w:ind w:left="1260" w:hanging="604"/>
        <w:spacing w:after="0"/>
        <w:tabs>
          <w:tab w:leader="none" w:pos="1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Achievement of business or operational goals such as market share and/or business development;</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provided that applicable incentive goals may be applied on a pre- or post-tax basis; and provided further that the Committee may, when the applicable incentive goals are established, provide that the formula for such goals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Target award levels are approved by the Committee and may be a percentage of the executive's base salary based on organizational responsibilities and market-compilation bonus levels based on industry data. In addition, to the extent consistent with the goal of providing for deductibility under Section 162(m) of the Code, performance goals may be based upon a participant's attainment of personal objectives with respect to any of the foregoing performance goals: negotiating transactions and sales, business unit/department performance, profit margins, reduction of certain accounts receivable or achievement of subsidiary or departmental budgets or developing long-term business goals. Measurements of the Corporation's or a participant's performance against the performance goals established by the Committee shall be objectively determinable and, unless otherwise established by the Committee when the incentive goals are established, to the extent they are expressed in standard accounting terms, they shall be determined according to generally accepted accounting principles ("GAAP") as in existence on the date on which the performance goals are established and without regard to any changes in such principles after such date. Individual incentive awards reflect a mix of the Corporation's and business unit/department performance along with individual discretionary factors; the current actual mix for each executive will be determined based upon his/her role and contribution to the organization.</w:t>
      </w:r>
    </w:p>
    <w:p>
      <w:pPr>
        <w:spacing w:after="0" w:line="1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Due to the possibility that the specific targets related to a specific performance goal or objective may be confidential commercial or business information, and the release of which to the public may have an</w:t>
      </w:r>
    </w:p>
    <w:p>
      <w:pPr>
        <w:sectPr>
          <w:pgSz w:w="11900" w:h="16838" w:orient="portrait"/>
          <w:cols w:equalWidth="0" w:num="1">
            <w:col w:w="11420"/>
          </w:cols>
          <w:pgMar w:left="240" w:top="591" w:right="2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adverse affect on the Corporation, such information has been intentionally omitted from the Plan as confidential information.</w:t>
      </w:r>
    </w:p>
    <w:p>
      <w:pPr>
        <w:spacing w:after="0" w:line="24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2"/>
          <w:szCs w:val="22"/>
          <w:color w:val="auto"/>
        </w:rPr>
        <w:t>DETERMINATION OF BONUS AWARDS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As soon as practicable after the end of each Incentive Period, the Committee shall certify in writing to what extent the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Corporation and the participants have achieved the performance goals or goals for such Incentive Period, including the specific target objective or objectives and the satisfaction of any other material terms of the bonus award and the Committee shall calculate the amount of each participant's bonus for such Incentive Period based upon the performance goals, objectives and computation formulae or methods for such Incentive Period. The Committee shall have no discretion to increase the amount of any participant's bonus as so determined, but may reduce the amount of or totally eliminate such bonus, if it determines, in its absolute and sole discretion, that such a reduction or elimination is appropriate in order to reflect the participant's performance or unanticipated factors.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 participant's bonus for any Plan Year shall exceed the lesser of 600% of the participant's base annual salary as in effect as of the last day of such Plan Year or $6,000,000.</w:t>
      </w:r>
    </w:p>
    <w:p>
      <w:pPr>
        <w:spacing w:after="0" w:line="16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22"/>
          <w:szCs w:val="22"/>
          <w:color w:val="auto"/>
        </w:rPr>
        <w:t>PAYMENT OF AWARDS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Approved bonus awards shall be payable by the Corporation to each participant, or to his estate in the event of his death, as</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color w:val="auto"/>
        </w:rPr>
        <w:t>soon as practicable after the end of each Incentive Period and after the Committee has certified in writing that the relevant performance goals were achieved. Bonus awards may be payable in cash or in an equivalent number of shares of the Corporation's common stock issued pursuant to and under one or more of the Corporation's stockholder-approved stock incentive plans.</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bonus award that would otherwise be payable to a participant who is not employed by the Corporation or one of its subsidiaries on the last day of a Incentive Period shall be prorated, or not paid, in accordance with rules and regulations adopted by the Committee for the administration of the Incentive Plan.</w:t>
      </w:r>
    </w:p>
    <w:p>
      <w:pPr>
        <w:spacing w:after="0" w:line="17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22"/>
          <w:szCs w:val="22"/>
          <w:color w:val="auto"/>
        </w:rPr>
        <w:t>OTHER TERMS AND CONDITIONS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Unless otherwise permitted under Section 162(m) of the Code, no bonus awards shall be paid under the Incentive Plan</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unless and until the material terms (within the meaning of Section 162(m)(4)(C) of the Code) of the Incentive Plan, including the business criteria described above in Section 3 of the Incentive Plan, are disclosed to the Corporation's stockholders and are approved by the stockholders by a majority of votes cast in person or by proxy (including abstentions to the extent abstentions are counted as voting under applicable state law). The Incentive Plan will submitted to the stockholders for reapproval if the business criteria stated above in Section 3 are materially changed and, in any event, will be submitted to be reapproved by stockholders after five years since the last time stockholder approval was received.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 person shall have any legal claim to be granted an award under the Incentive Plan and the Committee shall have no obligation to treat participants uniformly. Except as may be otherwise required by law, bonus awards under the Incentive Plan shall not be subject in any manner to anticipation, alienation, sale, transfer, assignment, pledge, encumbrance, charge, garnishment, execution, or levy of any kind, either voluntary or involuntary. Bonuses awarded under the Incentive Plan shall be payable from the general assets of the Corporation and no participant shall have any claim with respect to any specific assets of the Corporation.</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Neither the Incentive Plan nor any action taken under the Incentive Plan shall be construed as giving any employee the right to be retained in the employ of the Corporation or any subsidiary or to maintain any participant's compensation at any level.</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Corporation or any of its subsidiaries may deduct from any award any applicable withholding</w:t>
      </w:r>
    </w:p>
    <w:p>
      <w:pPr>
        <w:sectPr>
          <w:pgSz w:w="11900" w:h="16838" w:orient="portrait"/>
          <w:cols w:equalWidth="0" w:num="1">
            <w:col w:w="11420"/>
          </w:cols>
          <w:pgMar w:left="240" w:top="591"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taxes or any amounts owed by the executive of the Corporation or any of its subsidiaries.</w:t>
      </w:r>
    </w:p>
    <w:p>
      <w:pPr>
        <w:spacing w:after="0" w:line="20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22"/>
          <w:szCs w:val="22"/>
          <w:color w:val="auto"/>
        </w:rPr>
        <w:t>ADMINISTRATION</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All members of the Committee shall be persons who qualify as "outside directors" as defined under Section 162(m)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Code. Until changed by the Board, the Committee of the Board shall constitute the Committee hereunder.</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Committee shall have full power and authority to administer and interpret the provisions of the Incentive Plan and to adopt such rules, regulations, agreements, guidelines and instruments for the administration of the Incentive Plan and for the conduct of its business as the Committee deems necessary or advisable.</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Except with respect to matters which under Section 162(m)(4)(C) of the Code are required to be determined in the sole and absolute discretion of the Committee, the Committee shall have full power to delegate to any officer or employee of the Corporation the authority to administer and interpret the procedural aspects of the Incentive Plan, subject to the Incentive Plan's terms, including adopting and enforcing rules to decide procedural and administrative issues.</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Committee may rely on opinions, reports or statements of officers or employees of the Corporation or any subsidiary thereof and of company counsel (inside or retained counsel), public accountants and other professional or expert persons.</w:t>
      </w:r>
    </w:p>
    <w:p>
      <w:pPr>
        <w:spacing w:after="0" w:line="1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Board reserves the right to amend or terminate the Incentive Plan in whole or in part at any time. Unless otherwise prohibited by applicable law, any amendment required to conform the Incentive Plan to the requirements of Section 162(m) of the Code may be made by the Committee. No amendment may be made to the class of individuals who are eligible to participate in the Incentive Plan, the performance criteria specified in Section 3 or the maximum bonus payable to any participant without stockholder approval unless stockholder approval is not required in order for bonuses paid to Covered Employees to constitute qualified performance-based compensation under Section 162(m) of the Code.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 member of the Committee shall be liable for any action taken or omitted to be taken or for any determination made by him or her in good faith with respect to the Incentive Plan, and the Corporation shall indemnify and hold harmless each member of the Committee against any cost or expense (including counsel fees) or liability (including any sum paid in settlement of a claim with the approval of the Committee) arising out of any fact or omission in connection with the administration or interpretation of the Incentive Plan, unless arising out of such person's own fraud or bad faith.</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place of administration of the Incentive Plan shall be in the State of Kansas and the validity, construction, interpretation, administration and effect of the Incentive Plan and the rules, regulations and rights relating to the Incentive Plan, shall be determined solely in accordance with the laws of the State of Delaware.</w:t>
      </w:r>
    </w:p>
    <w:p>
      <w:pPr>
        <w:sectPr>
          <w:pgSz w:w="11900" w:h="16838" w:orient="portrait"/>
          <w:cols w:equalWidth="0" w:num="1">
            <w:col w:w="11420"/>
          </w:cols>
          <w:pgMar w:left="240" w:top="591" w:right="2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60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24"/>
                <w:szCs w:val="24"/>
                <w:color w:val="auto"/>
              </w:rPr>
            </w:pPr>
          </w:p>
        </w:tc>
      </w:tr>
      <w:tr>
        <w:trPr>
          <w:trHeight w:val="26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r>
      <w:tr>
        <w:trPr>
          <w:trHeight w:val="228"/>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subsidiaries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18,753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42,035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11,490</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6,148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13,089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12,217</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received</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5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Noncontrolling interest in pretax income of subsidiaries that have not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57"/>
        </w:trPr>
        <w:tc>
          <w:tcPr>
            <w:tcW w:w="5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incurred fixed charges</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(1,123)</w:t>
            </w:r>
          </w:p>
        </w:tc>
      </w:tr>
      <w:tr>
        <w:trPr>
          <w:trHeight w:val="297"/>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24,875</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8,349</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54,591</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22,584</w:t>
            </w:r>
          </w:p>
        </w:tc>
      </w:tr>
      <w:tr>
        <w:trPr>
          <w:trHeight w:val="237"/>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10,506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9,985</w:t>
            </w: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w:t>
            </w:r>
          </w:p>
        </w:tc>
      </w:tr>
      <w:tr>
        <w:trPr>
          <w:trHeight w:val="297"/>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6,525</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6,148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13,089</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12,217</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5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80" w:right="1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R"/>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decimal"/>
      <w:start w:val="10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3"/>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lvl w:ilvl="1">
      <w:lvlJc w:val="left"/>
      <w:lvlText w:val="(%2)"/>
      <w:numFmt w:val="lowerLetter"/>
      <w:start w:val="1"/>
    </w:lvl>
  </w:abstractNum>
  <w:abstractNum w:abstractNumId="23">
    <w:nsid w:val="614FD4A1"/>
    <w:multiLevelType w:val="hybridMultilevel"/>
    <w:lvl w:ilvl="0">
      <w:lvlJc w:val="left"/>
      <w:lvlText w:val="(%1)"/>
      <w:numFmt w:val="lowerLetter"/>
      <w:start w:val="2"/>
    </w:lvl>
    <w:lvl w:ilvl="1">
      <w:lvlJc w:val="left"/>
      <w:lvlText w:val="%2"/>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lvl w:ilvl="1">
      <w:lvlJc w:val="left"/>
      <w:lvlText w:val="(%2)"/>
      <w:numFmt w:val="lowerRoman"/>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lvl w:ilvl="1">
      <w:lvlJc w:val="left"/>
      <w:lvlText w:val="%2."/>
      <w:numFmt w:val="decimal"/>
      <w:start w:val="1"/>
    </w:lvl>
  </w:abstractNum>
  <w:abstractNum w:abstractNumId="28">
    <w:nsid w:val="3804823E"/>
    <w:multiLevelType w:val="hybridMultilevel"/>
    <w:lvl w:ilvl="0">
      <w:lvlJc w:val="left"/>
      <w:lvlText w:val="%1."/>
      <w:numFmt w:val="decimal"/>
      <w:start w:val="2"/>
    </w:lvl>
    <w:lvl w:ilvl="1">
      <w:lvlJc w:val="left"/>
      <w:lvlText w:val="%2"/>
      <w:numFmt w:val="decimal"/>
      <w:start w:val="1"/>
    </w:lvl>
  </w:abstractNum>
  <w:abstractNum w:abstractNumId="29">
    <w:nsid w:val="77465F01"/>
    <w:multiLevelType w:val="hybridMultilevel"/>
    <w:lvl w:ilvl="0">
      <w:lvlJc w:val="left"/>
      <w:lvlText w:val="%1."/>
      <w:numFmt w:val="decimal"/>
      <w:start w:val="30"/>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lowerRoman"/>
      <w:start w:val="2"/>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lowerRoman"/>
      <w:start w:val="5"/>
    </w:lvl>
  </w:abstractNum>
  <w:abstractNum w:abstractNumId="36">
    <w:nsid w:val="580BD78F"/>
    <w:multiLevelType w:val="hybridMultilevel"/>
    <w:lvl w:ilvl="0">
      <w:lvlJc w:val="left"/>
      <w:lvlText w:val="%1."/>
      <w:numFmt w:val="decimal"/>
      <w:start w:val="4"/>
    </w:lvl>
  </w:abstractNum>
  <w:abstractNum w:abstractNumId="37">
    <w:nsid w:val="153EA438"/>
    <w:multiLevelType w:val="hybridMultilevel"/>
    <w:lvl w:ilvl="0">
      <w:lvlJc w:val="left"/>
      <w:lvlText w:val="%1."/>
      <w:numFmt w:val="decimal"/>
      <w:start w:val="5"/>
    </w:lvl>
  </w:abstractNum>
  <w:abstractNum w:abstractNumId="38">
    <w:nsid w:val="3855585C"/>
    <w:multiLevelType w:val="hybridMultilevel"/>
    <w:lvl w:ilvl="0">
      <w:lvlJc w:val="left"/>
      <w:lvlText w:val="%1."/>
      <w:numFmt w:val="decimal"/>
      <w:start w:val="6"/>
    </w:lvl>
  </w:abstractNum>
  <w:abstractNum w:abstractNumId="39">
    <w:nsid w:val="70A64E2A"/>
    <w:multiLevelType w:val="hybridMultilevel"/>
    <w:lvl w:ilvl="0">
      <w:lvlJc w:val="left"/>
      <w:lvlText w:val="%1."/>
      <w:numFmt w:val="decimal"/>
      <w:start w:val="7"/>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2019-12-10T15:39:41Z</dcterms:created>
  <dcterms:modified xsi:type="dcterms:W3CDTF">2019-12-10T15:39:41Z</dcterms:modified>
</cp:coreProperties>
</file>