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2011</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001-31648</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EURONET WORLDWIDE,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2480" w:type="dxa"/>
            <w:vAlign w:val="bottom"/>
            <w:gridSpan w:val="2"/>
          </w:tcPr>
          <w:p>
            <w:pPr>
              <w:jc w:val="center"/>
              <w:ind w:right="1488"/>
              <w:spacing w:after="0"/>
              <w:rPr>
                <w:sz w:val="20"/>
                <w:szCs w:val="20"/>
                <w:color w:val="auto"/>
              </w:rPr>
            </w:pPr>
            <w:r>
              <w:rPr>
                <w:rFonts w:ascii="Arial" w:cs="Arial" w:eastAsia="Arial" w:hAnsi="Arial"/>
                <w:sz w:val="14"/>
                <w:szCs w:val="14"/>
                <w:b w:val="1"/>
                <w:bCs w:val="1"/>
                <w:color w:val="auto"/>
                <w:w w:val="98"/>
              </w:rPr>
              <w:t>DELAWARE</w:t>
            </w:r>
          </w:p>
        </w:tc>
        <w:tc>
          <w:tcPr>
            <w:tcW w:w="4620" w:type="dxa"/>
            <w:vAlign w:val="bottom"/>
            <w:gridSpan w:val="2"/>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18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rPr>
              <w:t>3500 COLLEGE BOULEVARD</w:t>
            </w:r>
          </w:p>
        </w:tc>
        <w:tc>
          <w:tcPr>
            <w:tcW w:w="4620" w:type="dxa"/>
            <w:vAlign w:val="bottom"/>
            <w:gridSpan w:val="2"/>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9"/>
              </w:rPr>
              <w:t>LEAWOOD, KANSAS</w:t>
            </w: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jc w:val="right"/>
              <w:ind w:right="688"/>
              <w:spacing w:after="0"/>
              <w:rPr>
                <w:sz w:val="20"/>
                <w:szCs w:val="20"/>
                <w:color w:val="auto"/>
              </w:rPr>
            </w:pPr>
            <w:r>
              <w:rPr>
                <w:rFonts w:ascii="Arial" w:cs="Arial" w:eastAsia="Arial" w:hAnsi="Arial"/>
                <w:sz w:val="14"/>
                <w:szCs w:val="14"/>
                <w:b w:val="1"/>
                <w:bCs w:val="1"/>
                <w:color w:val="auto"/>
              </w:rPr>
              <w:t>(913) 327-4200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1"/>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2"/>
              </w:rPr>
              <w:t>Common Stock, $0.02 par value</w:t>
            </w:r>
          </w:p>
        </w:tc>
        <w:tc>
          <w:tcPr>
            <w:tcW w:w="18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Preferred Stock Purchase Rights</w:t>
            </w:r>
          </w:p>
        </w:tc>
        <w:tc>
          <w:tcPr>
            <w:tcW w:w="18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9" w:lineRule="exact"/>
        <w:rPr>
          <w:sz w:val="20"/>
          <w:szCs w:val="20"/>
          <w:color w:val="auto"/>
        </w:rPr>
      </w:pPr>
    </w:p>
    <w:p>
      <w:pPr>
        <w:ind w:left="3520" w:right="360" w:hanging="4997"/>
        <w:spacing w:after="0" w:line="247" w:lineRule="exact"/>
        <w:tabs>
          <w:tab w:leader="none" w:pos="35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1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 of June 30, 2011, the aggregate market value of the voting and non-voting common equity held by non-affiliates of the registrant was approximately $745.4 million. The aggregate market value was determined based on the closing price of the Common Stock on June 30, 2011.</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At February 26, 2012, the registrant had 50,521,152 shares of common stock (the “Common Stock”) outstanding.</w:t>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registrant's Proxy Statement for its 2012 Annual Meeting of Stockholders, which will be filed with the Securities and Exchange Commission no later than 120 days after December 31, 2011,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740" w:type="dxa"/>
            <w:vAlign w:val="bottom"/>
            <w:gridSpan w:val="28"/>
          </w:tcPr>
          <w:p>
            <w:pPr>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740" w:type="dxa"/>
            <w:vAlign w:val="bottom"/>
            <w:gridSpan w:val="28"/>
          </w:tcPr>
          <w:p>
            <w:pPr>
              <w:ind w:left="40"/>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6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ITEM 1. BUSINESS</w:t>
              </w:r>
            </w:hyperlink>
          </w:p>
        </w:tc>
        <w:tc>
          <w:tcPr>
            <w:tcW w:w="66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8"/>
          </w:tcPr>
          <w:p>
            <w:pPr>
              <w:spacing w:after="0"/>
              <w:rPr>
                <w:rFonts w:ascii="Arial" w:cs="Arial" w:eastAsia="Arial" w:hAnsi="Arial"/>
                <w:sz w:val="18"/>
                <w:szCs w:val="18"/>
                <w:b w:val="1"/>
                <w:bCs w:val="1"/>
                <w:color w:val="0000FF"/>
                <w:w w:val="99"/>
              </w:rPr>
            </w:pPr>
            <w:hyperlink w:anchor="page18">
              <w:r>
                <w:rPr>
                  <w:rFonts w:ascii="Arial" w:cs="Arial" w:eastAsia="Arial" w:hAnsi="Arial"/>
                  <w:sz w:val="18"/>
                  <w:szCs w:val="18"/>
                  <w:b w:val="1"/>
                  <w:bCs w:val="1"/>
                  <w:color w:val="0000FF"/>
                  <w:w w:val="99"/>
                </w:rPr>
                <w:t>ITEM 1A. RISK FACTORS</w:t>
              </w:r>
            </w:hyperlink>
          </w:p>
        </w:tc>
        <w:tc>
          <w:tcPr>
            <w:tcW w:w="8400" w:type="dxa"/>
            <w:vAlign w:val="bottom"/>
            <w:gridSpan w:val="18"/>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14"/>
          </w:tcPr>
          <w:p>
            <w:pPr>
              <w:spacing w:after="0"/>
              <w:rPr>
                <w:rFonts w:ascii="Arial" w:cs="Arial" w:eastAsia="Arial" w:hAnsi="Arial"/>
                <w:sz w:val="18"/>
                <w:szCs w:val="18"/>
                <w:b w:val="1"/>
                <w:bCs w:val="1"/>
                <w:color w:val="0000FF"/>
                <w:w w:val="99"/>
              </w:rPr>
            </w:pPr>
            <w:hyperlink w:anchor="page33">
              <w:r>
                <w:rPr>
                  <w:rFonts w:ascii="Arial" w:cs="Arial" w:eastAsia="Arial" w:hAnsi="Arial"/>
                  <w:sz w:val="18"/>
                  <w:szCs w:val="18"/>
                  <w:b w:val="1"/>
                  <w:bCs w:val="1"/>
                  <w:color w:val="0000FF"/>
                  <w:w w:val="99"/>
                </w:rPr>
                <w:t>ITEM 1B. UNRESOLVED STAFF COMMENTS</w:t>
              </w:r>
            </w:hyperlink>
          </w:p>
        </w:tc>
        <w:tc>
          <w:tcPr>
            <w:tcW w:w="6780" w:type="dxa"/>
            <w:vAlign w:val="bottom"/>
            <w:gridSpan w:val="1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7"/>
          </w:tcPr>
          <w:p>
            <w:pPr>
              <w:spacing w:after="0"/>
              <w:rPr>
                <w:rFonts w:ascii="Arial" w:cs="Arial" w:eastAsia="Arial" w:hAnsi="Arial"/>
                <w:sz w:val="18"/>
                <w:szCs w:val="18"/>
                <w:b w:val="1"/>
                <w:bCs w:val="1"/>
                <w:color w:val="0000FF"/>
                <w:w w:val="98"/>
              </w:rPr>
            </w:pPr>
            <w:hyperlink w:anchor="page33">
              <w:r>
                <w:rPr>
                  <w:rFonts w:ascii="Arial" w:cs="Arial" w:eastAsia="Arial" w:hAnsi="Arial"/>
                  <w:sz w:val="18"/>
                  <w:szCs w:val="18"/>
                  <w:b w:val="1"/>
                  <w:bCs w:val="1"/>
                  <w:color w:val="0000FF"/>
                  <w:w w:val="98"/>
                </w:rPr>
                <w:t>ITEM 2. PROPERTIES</w:t>
              </w:r>
            </w:hyperlink>
          </w:p>
        </w:tc>
        <w:tc>
          <w:tcPr>
            <w:tcW w:w="1940" w:type="dxa"/>
            <w:vAlign w:val="bottom"/>
            <w:gridSpan w:val="7"/>
          </w:tcPr>
          <w:p>
            <w:pPr>
              <w:spacing w:after="0"/>
              <w:rPr>
                <w:sz w:val="21"/>
                <w:szCs w:val="21"/>
                <w:color w:val="auto"/>
              </w:rPr>
            </w:pPr>
          </w:p>
        </w:tc>
        <w:tc>
          <w:tcPr>
            <w:tcW w:w="6780" w:type="dxa"/>
            <w:vAlign w:val="bottom"/>
            <w:gridSpan w:val="1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3. LEGAL PROCEEDINGS</w:t>
              </w:r>
            </w:hyperlink>
          </w:p>
        </w:tc>
        <w:tc>
          <w:tcPr>
            <w:tcW w:w="7860" w:type="dxa"/>
            <w:vAlign w:val="bottom"/>
            <w:gridSpan w:val="1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11"/>
          </w:tcPr>
          <w:p>
            <w:pPr>
              <w:spacing w:after="0"/>
              <w:rPr>
                <w:rFonts w:ascii="Arial" w:cs="Arial" w:eastAsia="Arial" w:hAnsi="Arial"/>
                <w:sz w:val="18"/>
                <w:szCs w:val="18"/>
                <w:b w:val="1"/>
                <w:bCs w:val="1"/>
                <w:color w:val="0000FF"/>
                <w:w w:val="98"/>
              </w:rPr>
            </w:pPr>
            <w:hyperlink w:anchor="page34">
              <w:r>
                <w:rPr>
                  <w:rFonts w:ascii="Arial" w:cs="Arial" w:eastAsia="Arial" w:hAnsi="Arial"/>
                  <w:sz w:val="18"/>
                  <w:szCs w:val="18"/>
                  <w:b w:val="1"/>
                  <w:bCs w:val="1"/>
                  <w:color w:val="0000FF"/>
                  <w:w w:val="98"/>
                </w:rPr>
                <w:t>ITEM 4. MINE SAFETY DISCLOSURES</w:t>
              </w:r>
            </w:hyperlink>
          </w:p>
        </w:tc>
        <w:tc>
          <w:tcPr>
            <w:tcW w:w="7320" w:type="dxa"/>
            <w:vAlign w:val="bottom"/>
            <w:gridSpan w:val="15"/>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740" w:type="dxa"/>
            <w:vAlign w:val="bottom"/>
            <w:gridSpan w:val="28"/>
          </w:tcPr>
          <w:p>
            <w:pPr>
              <w:ind w:left="40"/>
              <w:spacing w:after="0"/>
              <w:rPr>
                <w:rFonts w:ascii="Arial" w:cs="Arial" w:eastAsia="Arial" w:hAnsi="Arial"/>
                <w:sz w:val="18"/>
                <w:szCs w:val="18"/>
                <w:color w:val="0000FF"/>
              </w:rPr>
            </w:pPr>
            <w:hyperlink w:anchor="page34">
              <w:r>
                <w:rPr>
                  <w:rFonts w:ascii="Arial" w:cs="Arial" w:eastAsia="Arial" w:hAnsi="Arial"/>
                  <w:sz w:val="18"/>
                  <w:szCs w:val="18"/>
                  <w:color w:val="0000FF"/>
                </w:rPr>
                <w:t>PART II</w:t>
              </w:r>
            </w:hyperlink>
          </w:p>
        </w:tc>
        <w:tc>
          <w:tcPr>
            <w:tcW w:w="66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5. MARKET FOR REGISTRANT'S COMMON EQUITY, RELATED STOCKHOLDER MATTERS AND ISSUER</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280" w:type="dxa"/>
            <w:vAlign w:val="bottom"/>
            <w:tcBorders>
              <w:top w:val="single" w:sz="8" w:color="0000FF"/>
            </w:tcBorders>
            <w:gridSpan w:val="11"/>
          </w:tcPr>
          <w:p>
            <w:pPr>
              <w:spacing w:after="0" w:line="196" w:lineRule="exact"/>
              <w:rPr>
                <w:rFonts w:ascii="Arial" w:cs="Arial" w:eastAsia="Arial" w:hAnsi="Arial"/>
                <w:sz w:val="18"/>
                <w:szCs w:val="18"/>
                <w:b w:val="1"/>
                <w:bCs w:val="1"/>
                <w:color w:val="0000FF"/>
                <w:w w:val="99"/>
              </w:rPr>
            </w:pPr>
            <w:hyperlink w:anchor="page34">
              <w:r>
                <w:rPr>
                  <w:rFonts w:ascii="Arial" w:cs="Arial" w:eastAsia="Arial" w:hAnsi="Arial"/>
                  <w:sz w:val="18"/>
                  <w:szCs w:val="18"/>
                  <w:b w:val="1"/>
                  <w:bCs w:val="1"/>
                  <w:color w:val="0000FF"/>
                  <w:w w:val="99"/>
                </w:rPr>
                <w:t>PURCHASES OF EQUITY SECURITIES</w:t>
              </w:r>
            </w:hyperlink>
          </w:p>
        </w:tc>
        <w:tc>
          <w:tcPr>
            <w:tcW w:w="5340" w:type="dxa"/>
            <w:vAlign w:val="bottom"/>
            <w:tcBorders>
              <w:top w:val="single" w:sz="8" w:color="0000FF"/>
            </w:tcBorders>
            <w:gridSpan w:val="8"/>
          </w:tcPr>
          <w:p>
            <w:pPr>
              <w:spacing w:after="0"/>
              <w:rPr>
                <w:sz w:val="17"/>
                <w:szCs w:val="17"/>
                <w:color w:val="auto"/>
              </w:rPr>
            </w:pPr>
          </w:p>
        </w:tc>
        <w:tc>
          <w:tcPr>
            <w:tcW w:w="1140" w:type="dxa"/>
            <w:vAlign w:val="bottom"/>
            <w:gridSpan w:val="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SELECTED FINANCIAL DATA</w:t>
              </w:r>
            </w:hyperlink>
          </w:p>
        </w:tc>
        <w:tc>
          <w:tcPr>
            <w:tcW w:w="66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24"/>
          </w:tcPr>
          <w:p>
            <w:pPr>
              <w:spacing w:after="0"/>
              <w:rPr>
                <w:rFonts w:ascii="Arial" w:cs="Arial" w:eastAsia="Arial" w:hAnsi="Arial"/>
                <w:sz w:val="18"/>
                <w:szCs w:val="18"/>
                <w:b w:val="1"/>
                <w:bCs w:val="1"/>
                <w:color w:val="0000FF"/>
                <w:w w:val="99"/>
              </w:rPr>
            </w:pPr>
            <w:hyperlink w:anchor="page37">
              <w:r>
                <w:rPr>
                  <w:rFonts w:ascii="Arial" w:cs="Arial" w:eastAsia="Arial" w:hAnsi="Arial"/>
                  <w:sz w:val="18"/>
                  <w:szCs w:val="18"/>
                  <w:b w:val="1"/>
                  <w:bCs w:val="1"/>
                  <w:color w:val="0000FF"/>
                  <w:w w:val="99"/>
                </w:rPr>
                <w:t>ITEM 7. MANAGEMENT’S DISCUSSION AND ANALYSIS OF FINANCIAL CONDITION AND RESULTS OF OPERATIONS</w:t>
              </w:r>
            </w:hyperlink>
          </w:p>
        </w:tc>
        <w:tc>
          <w:tcPr>
            <w:tcW w:w="560" w:type="dxa"/>
            <w:vAlign w:val="bottom"/>
            <w:gridSpan w:val="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24"/>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ITEM 7A. QUANTITATIVE AND QUALITATIVE DISCLOSURES ABOUT MARKET RISK</w:t>
              </w:r>
            </w:hyperlink>
          </w:p>
        </w:tc>
        <w:tc>
          <w:tcPr>
            <w:tcW w:w="560" w:type="dxa"/>
            <w:vAlign w:val="bottom"/>
            <w:gridSpan w:val="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80" w:type="dxa"/>
            <w:vAlign w:val="bottom"/>
            <w:gridSpan w:val="18"/>
          </w:tcPr>
          <w:p>
            <w:pPr>
              <w:spacing w:after="0"/>
              <w:rPr>
                <w:rFonts w:ascii="Arial" w:cs="Arial" w:eastAsia="Arial" w:hAnsi="Arial"/>
                <w:sz w:val="18"/>
                <w:szCs w:val="18"/>
                <w:b w:val="1"/>
                <w:bCs w:val="1"/>
                <w:color w:val="0000FF"/>
                <w:w w:val="99"/>
              </w:rPr>
            </w:pPr>
            <w:hyperlink w:anchor="page65">
              <w:r>
                <w:rPr>
                  <w:rFonts w:ascii="Arial" w:cs="Arial" w:eastAsia="Arial" w:hAnsi="Arial"/>
                  <w:sz w:val="18"/>
                  <w:szCs w:val="18"/>
                  <w:b w:val="1"/>
                  <w:bCs w:val="1"/>
                  <w:color w:val="0000FF"/>
                  <w:w w:val="99"/>
                </w:rPr>
                <w:t>ITEM 8. FINANCIAL STATEMENTS AND SUPPLEMENTARY DATA</w:t>
              </w:r>
            </w:hyperlink>
          </w:p>
        </w:tc>
        <w:tc>
          <w:tcPr>
            <w:tcW w:w="1700" w:type="dxa"/>
            <w:vAlign w:val="bottom"/>
            <w:gridSpan w:val="2"/>
          </w:tcPr>
          <w:p>
            <w:pPr>
              <w:spacing w:after="0"/>
              <w:rPr>
                <w:sz w:val="21"/>
                <w:szCs w:val="21"/>
                <w:color w:val="auto"/>
              </w:rPr>
            </w:pPr>
          </w:p>
        </w:tc>
        <w:tc>
          <w:tcPr>
            <w:tcW w:w="3280" w:type="dxa"/>
            <w:vAlign w:val="bottom"/>
            <w:gridSpan w:val="6"/>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0" w:type="dxa"/>
            <w:vAlign w:val="bottom"/>
            <w:tcBorders>
              <w:bottom w:val="single" w:sz="8" w:color="0000FF"/>
            </w:tcBorders>
            <w:gridSpan w:val="25"/>
          </w:tcPr>
          <w:p>
            <w:pPr>
              <w:spacing w:after="0"/>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ITEM 9. CHANGES IN AND DISAGREEMENTS WITH ACCOUNTANTS ON ACCOUNTING AND FINANCIAL DISCLOSURE</w:t>
              </w:r>
            </w:hyperlink>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103</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Borders>
              <w:bottom w:val="single" w:sz="8" w:color="0000FF"/>
            </w:tcBorders>
            <w:gridSpan w:val="13"/>
          </w:tcPr>
          <w:p>
            <w:pPr>
              <w:spacing w:after="0"/>
              <w:rPr>
                <w:rFonts w:ascii="Arial" w:cs="Arial" w:eastAsia="Arial" w:hAnsi="Arial"/>
                <w:sz w:val="18"/>
                <w:szCs w:val="18"/>
                <w:b w:val="1"/>
                <w:bCs w:val="1"/>
                <w:color w:val="0000FF"/>
                <w:w w:val="98"/>
              </w:rPr>
            </w:pPr>
            <w:hyperlink w:anchor="page105">
              <w:r>
                <w:rPr>
                  <w:rFonts w:ascii="Arial" w:cs="Arial" w:eastAsia="Arial" w:hAnsi="Arial"/>
                  <w:sz w:val="18"/>
                  <w:szCs w:val="18"/>
                  <w:b w:val="1"/>
                  <w:bCs w:val="1"/>
                  <w:color w:val="0000FF"/>
                  <w:w w:val="98"/>
                </w:rPr>
                <w:t>ITEM 9A. CONTROLS AND PROCEDURES</w:t>
              </w:r>
            </w:hyperlink>
          </w:p>
        </w:tc>
        <w:tc>
          <w:tcPr>
            <w:tcW w:w="700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ITEM 9B. OTHER INFORMATION</w:t>
              </w:r>
            </w:hyperlink>
          </w:p>
        </w:tc>
        <w:tc>
          <w:tcPr>
            <w:tcW w:w="7720" w:type="dxa"/>
            <w:vAlign w:val="bottom"/>
            <w:gridSpan w:val="1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50"/>
        </w:trPr>
        <w:tc>
          <w:tcPr>
            <w:tcW w:w="10740" w:type="dxa"/>
            <w:vAlign w:val="bottom"/>
            <w:gridSpan w:val="28"/>
          </w:tcPr>
          <w:p>
            <w:pPr>
              <w:ind w:left="40"/>
              <w:spacing w:after="0"/>
              <w:rPr>
                <w:rFonts w:ascii="Arial" w:cs="Arial" w:eastAsia="Arial" w:hAnsi="Arial"/>
                <w:sz w:val="18"/>
                <w:szCs w:val="18"/>
                <w:color w:val="0000FF"/>
              </w:rPr>
            </w:pPr>
            <w:hyperlink w:anchor="page106">
              <w:r>
                <w:rPr>
                  <w:rFonts w:ascii="Arial" w:cs="Arial" w:eastAsia="Arial" w:hAnsi="Arial"/>
                  <w:sz w:val="18"/>
                  <w:szCs w:val="18"/>
                  <w:color w:val="0000FF"/>
                </w:rPr>
                <w:t>PART III</w:t>
              </w:r>
            </w:hyperlink>
          </w:p>
        </w:tc>
        <w:tc>
          <w:tcPr>
            <w:tcW w:w="660" w:type="dxa"/>
            <w:vAlign w:val="bottom"/>
            <w:gridSpan w:val="4"/>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105</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ITEM 10. DIRECTORS, EXECUTIVE OFFICERS AND CORPORATE GOVERNANCE</w:t>
              </w:r>
            </w:hyperlink>
          </w:p>
        </w:tc>
        <w:tc>
          <w:tcPr>
            <w:tcW w:w="660" w:type="dxa"/>
            <w:vAlign w:val="bottom"/>
            <w:gridSpan w:val="4"/>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920" w:type="dxa"/>
            <w:vAlign w:val="bottom"/>
            <w:tcBorders>
              <w:top w:val="single" w:sz="8" w:color="0000FF"/>
            </w:tcBorders>
            <w:gridSpan w:val="19"/>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ITEM 11. EXECUTIVE COMPENSATION</w:t>
              </w:r>
            </w:hyperlink>
          </w:p>
        </w:tc>
        <w:tc>
          <w:tcPr>
            <w:tcW w:w="364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0" w:type="dxa"/>
            <w:vAlign w:val="bottom"/>
            <w:tcBorders>
              <w:right w:val="single" w:sz="8" w:color="0000FF"/>
            </w:tcBorders>
            <w:gridSpan w:val="7"/>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20" w:type="dxa"/>
            <w:vAlign w:val="bottom"/>
            <w:tcBorders>
              <w:bottom w:val="single" w:sz="8" w:color="0000FF"/>
            </w:tcBorders>
            <w:gridSpan w:val="22"/>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ITEM 12. SECURITY OWNERSHIP OF CERTAIN BENEFICIAL OWNERS AND MANAGEMENT AND RELATED</w:t>
              </w:r>
            </w:hyperlink>
          </w:p>
        </w:tc>
        <w:tc>
          <w:tcPr>
            <w:tcW w:w="134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bottom w:val="single" w:sz="8" w:color="0000FF"/>
            </w:tcBorders>
            <w:gridSpan w:val="7"/>
          </w:tcPr>
          <w:p>
            <w:pPr>
              <w:spacing w:after="0" w:line="196" w:lineRule="exact"/>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STOCKHOLDER MATTERS</w:t>
              </w:r>
            </w:hyperlink>
          </w:p>
        </w:tc>
        <w:tc>
          <w:tcPr>
            <w:tcW w:w="720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bottom w:val="single" w:sz="8" w:color="0000FF"/>
            </w:tcBorders>
            <w:gridSpan w:val="3"/>
          </w:tcPr>
          <w:p>
            <w:pPr>
              <w:jc w:val="right"/>
              <w:spacing w:after="0" w:line="196" w:lineRule="exact"/>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900" w:type="dxa"/>
            <w:vAlign w:val="bottom"/>
            <w:tcBorders>
              <w:bottom w:val="single" w:sz="8" w:color="0000FF"/>
            </w:tcBorders>
            <w:gridSpan w:val="21"/>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ITEM 13. CERTAIN RELATIONSHIPS AND RELATED TRANSACTIONS, AND DIRECTOR INDEPENDENCE</w:t>
              </w:r>
            </w:hyperlink>
          </w:p>
        </w:tc>
        <w:tc>
          <w:tcPr>
            <w:tcW w:w="166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40" w:type="dxa"/>
            <w:vAlign w:val="bottom"/>
            <w:tcBorders>
              <w:bottom w:val="single" w:sz="8" w:color="0000FF"/>
            </w:tcBorders>
            <w:gridSpan w:val="16"/>
          </w:tcPr>
          <w:p>
            <w:pPr>
              <w:spacing w:after="0"/>
              <w:rPr>
                <w:rFonts w:ascii="Arial" w:cs="Arial" w:eastAsia="Arial" w:hAnsi="Arial"/>
                <w:sz w:val="18"/>
                <w:szCs w:val="18"/>
                <w:b w:val="1"/>
                <w:bCs w:val="1"/>
                <w:color w:val="0000FF"/>
                <w:w w:val="99"/>
              </w:rPr>
            </w:pPr>
            <w:hyperlink w:anchor="page106">
              <w:r>
                <w:rPr>
                  <w:rFonts w:ascii="Arial" w:cs="Arial" w:eastAsia="Arial" w:hAnsi="Arial"/>
                  <w:sz w:val="18"/>
                  <w:szCs w:val="18"/>
                  <w:b w:val="1"/>
                  <w:bCs w:val="1"/>
                  <w:color w:val="0000FF"/>
                  <w:w w:val="99"/>
                </w:rPr>
                <w:t>ITEM 14. PRINCIPAL ACCOUNTING FEES AND SERVICES</w:t>
              </w:r>
            </w:hyperlink>
          </w:p>
        </w:tc>
        <w:tc>
          <w:tcPr>
            <w:tcW w:w="5620" w:type="dxa"/>
            <w:vAlign w:val="bottom"/>
            <w:gridSpan w:val="10"/>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50"/>
        </w:trPr>
        <w:tc>
          <w:tcPr>
            <w:tcW w:w="10740" w:type="dxa"/>
            <w:vAlign w:val="bottom"/>
            <w:gridSpan w:val="28"/>
          </w:tcPr>
          <w:p>
            <w:pPr>
              <w:ind w:left="40"/>
              <w:spacing w:after="0"/>
              <w:rPr>
                <w:rFonts w:ascii="Arial" w:cs="Arial" w:eastAsia="Arial" w:hAnsi="Arial"/>
                <w:sz w:val="18"/>
                <w:szCs w:val="18"/>
                <w:color w:val="0000FF"/>
              </w:rPr>
            </w:pPr>
            <w:hyperlink w:anchor="page106">
              <w:r>
                <w:rPr>
                  <w:rFonts w:ascii="Arial" w:cs="Arial" w:eastAsia="Arial" w:hAnsi="Arial"/>
                  <w:sz w:val="18"/>
                  <w:szCs w:val="18"/>
                  <w:color w:val="0000FF"/>
                </w:rPr>
                <w:t>PART IV</w:t>
              </w:r>
            </w:hyperlink>
          </w:p>
        </w:tc>
        <w:tc>
          <w:tcPr>
            <w:tcW w:w="660" w:type="dxa"/>
            <w:vAlign w:val="bottom"/>
            <w:gridSpan w:val="4"/>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105</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920" w:type="dxa"/>
            <w:vAlign w:val="bottom"/>
            <w:gridSpan w:val="14"/>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40" w:type="dxa"/>
            <w:vAlign w:val="bottom"/>
            <w:tcBorders>
              <w:bottom w:val="single" w:sz="8" w:color="0000FF"/>
            </w:tcBorders>
            <w:gridSpan w:val="17"/>
          </w:tcPr>
          <w:p>
            <w:pPr>
              <w:spacing w:after="0"/>
              <w:rPr>
                <w:rFonts w:ascii="Arial" w:cs="Arial" w:eastAsia="Arial" w:hAnsi="Arial"/>
                <w:sz w:val="18"/>
                <w:szCs w:val="18"/>
                <w:b w:val="1"/>
                <w:bCs w:val="1"/>
                <w:color w:val="0000FF"/>
              </w:rPr>
            </w:pPr>
            <w:hyperlink w:anchor="page107">
              <w:r>
                <w:rPr>
                  <w:rFonts w:ascii="Arial" w:cs="Arial" w:eastAsia="Arial" w:hAnsi="Arial"/>
                  <w:sz w:val="18"/>
                  <w:szCs w:val="18"/>
                  <w:b w:val="1"/>
                  <w:bCs w:val="1"/>
                  <w:color w:val="0000FF"/>
                </w:rPr>
                <w:t>ITEM 15. EXHIBITS AND FINANCIAL STATEMENT SCHEDULES</w:t>
              </w:r>
            </w:hyperlink>
          </w:p>
        </w:tc>
        <w:tc>
          <w:tcPr>
            <w:tcW w:w="5120" w:type="dxa"/>
            <w:vAlign w:val="bottom"/>
            <w:gridSpan w:val="9"/>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106</w:t>
              </w:r>
            </w:hyperlink>
          </w:p>
        </w:tc>
      </w:tr>
      <w:tr>
        <w:trPr>
          <w:trHeight w:val="291"/>
        </w:trPr>
        <w:tc>
          <w:tcPr>
            <w:tcW w:w="40" w:type="dxa"/>
            <w:vAlign w:val="bottom"/>
          </w:tcPr>
          <w:p>
            <w:pPr>
              <w:spacing w:after="0"/>
              <w:rPr>
                <w:sz w:val="24"/>
                <w:szCs w:val="24"/>
                <w:color w:val="auto"/>
              </w:rPr>
            </w:pPr>
          </w:p>
        </w:tc>
        <w:tc>
          <w:tcPr>
            <w:tcW w:w="10700" w:type="dxa"/>
            <w:vAlign w:val="bottom"/>
            <w:gridSpan w:val="27"/>
          </w:tcPr>
          <w:p>
            <w:pPr>
              <w:ind w:left="20"/>
              <w:spacing w:after="0"/>
              <w:rPr>
                <w:sz w:val="20"/>
                <w:szCs w:val="20"/>
                <w:color w:val="auto"/>
              </w:rPr>
            </w:pPr>
            <w:r>
              <w:rPr>
                <w:rFonts w:ascii="Arial" w:cs="Arial" w:eastAsia="Arial" w:hAnsi="Arial"/>
                <w:sz w:val="18"/>
                <w:szCs w:val="18"/>
                <w:color w:val="auto"/>
              </w:rPr>
              <w:t>EX-12.1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EX-21.1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EX-23.1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Euronet Worldwide, Inc. (“Euronet,” the “Company,” “we” or “us”) is a leading global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principal business segments as of December 31, 2011:</w:t>
      </w:r>
    </w:p>
    <w:p>
      <w:pPr>
        <w:spacing w:after="0" w:line="225" w:lineRule="exact"/>
        <w:rPr>
          <w:sz w:val="20"/>
          <w:szCs w:val="20"/>
          <w:color w:val="auto"/>
        </w:rPr>
      </w:pPr>
    </w:p>
    <w:p>
      <w:pPr>
        <w:ind w:left="200" w:right="140" w:firstLine="648"/>
        <w:spacing w:after="0" w:line="255" w:lineRule="auto"/>
        <w:rPr>
          <w:sz w:val="20"/>
          <w:szCs w:val="20"/>
          <w:color w:val="auto"/>
        </w:rPr>
      </w:pPr>
      <w:r>
        <w:rPr>
          <w:rFonts w:ascii="Arial" w:cs="Arial" w:eastAsia="Arial" w:hAnsi="Arial"/>
          <w:sz w:val="18"/>
          <w:szCs w:val="18"/>
          <w:color w:val="auto"/>
        </w:rPr>
        <w:t>The EFT Processing Segment processes transactions for a network of 14,224 ATMs and approximately 57,000 POS terminals across Europe, the Middle East and Asia Pacific. We provide comprehensive electronic payment solutions consisting of ATM network participation; outsourced ATM and POS management solutions; credit and debit card outsourcing; card issuing and merchant acquiring services. In addition to our core business, we offer a variety of value added services, including advertising, Customer Relationship Management (“CRM”), currency conversion, mobile top-up, bill payment, fraud management and foreign remittance payout. Through this segment, we also offer a suite of integrated electronic financial transaction (“EFT”) software solutions for electronic payment and transaction delivery systems. In 2011, the EFT Processing Segment accounted for approximately 17% of Euronet's consolidated revenues.</w:t>
      </w:r>
    </w:p>
    <w:p>
      <w:pPr>
        <w:spacing w:after="0" w:line="189" w:lineRule="exact"/>
        <w:rPr>
          <w:sz w:val="20"/>
          <w:szCs w:val="20"/>
          <w:color w:val="auto"/>
        </w:rPr>
      </w:pPr>
    </w:p>
    <w:p>
      <w:pPr>
        <w:ind w:left="200" w:firstLine="648"/>
        <w:spacing w:after="0" w:line="257" w:lineRule="auto"/>
        <w:rPr>
          <w:sz w:val="20"/>
          <w:szCs w:val="20"/>
          <w:color w:val="auto"/>
        </w:rPr>
      </w:pPr>
      <w:r>
        <w:rPr>
          <w:rFonts w:ascii="Arial" w:cs="Arial" w:eastAsia="Arial" w:hAnsi="Arial"/>
          <w:sz w:val="18"/>
          <w:szCs w:val="18"/>
          <w:color w:val="auto"/>
        </w:rPr>
        <w:t>The epay Segment provides electronic distribution of prepaid mobile airtime and other electronic payment products and collection services for various payment products, cards and services. We operate a network that includes approximately 615,000 POS terminals that enable electronic processing of prepaid mobile airtime “top-up” services in Europe, the Middle East, Asia Pacific, North America and South America. Through this segment, we believe we are the world's leading international network for distribution of prepaid mobile airtime. In 2011, the epay Segment accounted for approximately 58% of Euronet's consolidated revenues.</w:t>
      </w:r>
    </w:p>
    <w:p>
      <w:pPr>
        <w:spacing w:after="0" w:line="188" w:lineRule="exact"/>
        <w:rPr>
          <w:sz w:val="20"/>
          <w:szCs w:val="20"/>
          <w:color w:val="auto"/>
        </w:rPr>
      </w:pPr>
    </w:p>
    <w:p>
      <w:pPr>
        <w:ind w:left="200" w:right="40" w:firstLine="648"/>
        <w:spacing w:after="0" w:line="273" w:lineRule="auto"/>
        <w:rPr>
          <w:sz w:val="20"/>
          <w:szCs w:val="20"/>
          <w:color w:val="auto"/>
        </w:rPr>
      </w:pPr>
      <w:r>
        <w:rPr>
          <w:rFonts w:ascii="Arial" w:cs="Arial" w:eastAsia="Arial" w:hAnsi="Arial"/>
          <w:sz w:val="17"/>
          <w:szCs w:val="17"/>
          <w:color w:val="auto"/>
        </w:rPr>
        <w:t>The Money Transfer Segment provides global consumer-to-consumer money transfer services. We offer this service through a network of sending agents and Company-owned stores (primarily in North America and Europe), disbursing money transfers through a worldwide correspondent network that includes approximately 146,000 locations. In addition to money transfers, we also offer customers bill payment services (primarily in the U.S.), payment alternatives such as money orders and prepaid debit cards, comprehensive check cashing services for a wide variety of issued checks, and competitive foreign currency exchange services. We are one of the largest global money transfer companies in terms of revenues and volumes. In 2011, the Money Transfer Segment accounted for approximately 25% of Euronet's consolidated revenues.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Euronet conducts business globally, serving customers in approximately 150 countries. We have eleven transaction processing centers, including four in Europe, two in Asia Pacific, two in the United States and one in the Middle East. We also maintain 45 business offices that are located in 32 countries. The corporate offices are located in Leawood, Kansas, USA.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by setting up a processing center in Budapest, Hungary and installing our first ATMs in Hungary, followed by Poland and Germany in 1996. Euronet was reorganized on March 6,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were doing business in Hungary, Poland, Germany, the Czech Republic, and Croatia.</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since our software segment primarily supports our EFT service offerings and processing centers. Expansion continued, and by 2010, Euronet's network of ATMs had expanded to include Greece, Slovakia, Romania, Bulgaria, Serbia, Ukraine, the Middle East, India and China.</w:t>
      </w:r>
    </w:p>
    <w:p>
      <w:pPr>
        <w:spacing w:after="0" w:line="188"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2010,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2007, we established the Money Transfer Segment after completing the acquisition of Los Angeles-based Ria, one of the largest global money transfer companies in terms of revenues and volumes. Established in 1987, Ria originates and terminates transactions through a network of sending agents and Company-owned stores located around the world. In November 2009, Ria obtained a payment services license from the U.K. Financial Services Authority ("FSA"), which allowed Ria to operate under one license and one regulator for all European countries. The license also facilitated expansion into new markets through the sales of money transfers through agents in countries where the use of agents was not previously permitted. In addition to expanding the money transfer network, the segment expanded its product portfolio to offer complementary non-money transfer products such as bill payment and check cashing, and prepaid services in conjunction with the epay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Developments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2011, Euronet completed the closing of an amended and expanded five-year, $355 million senior secured credit facility. The Credit Facility consists of a $275 million revolving line of credit and an $80 million term loan. Euronet has the option to increase the Credit Facility by up to an additional $205 million by requesting additional commitments from existing or new lenders. The new facility provides flexibility and liquidity for short-term cash requirements, strategic growth initiatives and for general corporate purposes.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2011, Euronet completed the acquisition of a leading German incentive company, cadooz Holding GmbH ("cadooz"). cadooz is Germany's largest full-service provider of vouchers, innovative merchandise and incentive solutions, serving more than 3,000 corporate customers across a range of industries in Germany, Austria and Poland. Euronet intends to leverage cadooz's marketing and promotional capabilities across all three existing Euronet segments and to expand the products offered by cadooz. Euronet also intends to expand cadooz's opportunities in Austria and Poland through Euronet's retail and bank customers.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fourth quarter 2011, Euronet completed two acquisitions in the EFT division. In November 2011, Euronet acquired 535 ATMs from Diebold's cash4you network. Acquiring these ATMs expanded Euronet's retail and banking relationships in Poland. Additionally, Euronet acquired Smart PayNetwork, a Romanian-based company that provides integrated ATM outsourcing services, card issuing and acquiring and POS merchant servicing solutions to financial institutions in Romania. The acquisition included 734 ATMs,2,560 POS terminals, and about a dozen new banking relationships.</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Bank card association rules provide a process by which loss and expense arising from such breaches is allocated among card issuers, acquirers and service providers such as Euronet. The Company expects that some claims may be asserted against it under such rules or under its agreements with acquiring banks. However, the Company believes that any liability under such claims will be limited by a number of factors including the fact that the majority of cards processed by the affected business were EMV compliant chip and PIN cards to which such rules either do not apply or apply a lower level of liability. Losses from fraudulent card activity appear to have been limited to magnetic stripe transactions processed on the affected systems. In addition, the Company maintains insurance to cover the financial exposure for response costs, losses by card issuers and fines or penalties from such incidents.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the Company is unable to predict the possible range of loss, if any, associated with the resolution of claims against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jc w:val="both"/>
        <w:ind w:right="200"/>
        <w:spacing w:after="0" w:line="264" w:lineRule="auto"/>
        <w:rPr>
          <w:sz w:val="20"/>
          <w:szCs w:val="20"/>
          <w:color w:val="auto"/>
        </w:rPr>
      </w:pPr>
      <w:r>
        <w:rPr>
          <w:rFonts w:ascii="Arial" w:cs="Arial" w:eastAsia="Arial" w:hAnsi="Arial"/>
          <w:sz w:val="18"/>
          <w:szCs w:val="18"/>
          <w:color w:val="auto"/>
        </w:rPr>
        <w:t>it in connection with the breach, since no claims have been asserted against it yet and information concerning loss levels has not been communicated by the card associations to Euronet. However, the Company does not at this time expect the net financial impact of loss or expense from the breach after insurance recovery to be material.</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continuing to take aggressive measures to strengthen its security controls, and is working closely with international card associations and law enforcement in this regard.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the breach were $0.4 million in the fourth quarter of 2011.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EFT Processing Segment provides comprehensive electronic payment solutions consisting of ATM network participation; outsourced ATM and POS management solutions; credit and debit card outsourcing; card issuing and merchant acquiring services. In addition to our core business, we offer a variety of value added services, including advertising, CRM, currency conversion, mobile top-up, bill payment, fraud management and foreign remittance payout. We provide these services either through our Euronet-owned ATMs or through contracts under which we operate ATMs on behalf of financial institutions. Through this segment, we also offer a suite of integrated EFT software solutions for electronic payment and transaction delivery systems.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 source of revenue generated by our ATM network is recurring monthly management fees and transaction-based fees. We receive fixed monthly fees under many of our outsourced management contracts. The EFT Processing Segment also has revenues from POS operations and merchant management, card network management (for credit, debit, prepaid and loyalty cards), prepaid mobile airtime recharge on ATMs and ATM advertising. We primarily service financial institutions in the developing markets of Central, Eastern and Southern Europe (Hungary, Poland, the Czech Republic, Croatia, Romania, Slovakia, Serbia, Greece, Bulgaria and Ukraine), the Middle East and Asia Pacific (India, China and Pakistan), as well as certain developed countries of Western Europe. As of December 31, 2011, we operated 14,224 ATMs compared to 10,786 at December 31, 2010. The increase was largely due to acquisitions in Romania and Poland, growth in our India and China markets, and expansion of our Independent ATM Deployed (IAD) networks in several Eastern European countries.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monitor the number of transactions made by cardholders on our ATM network. These include cash withdrawals, balance inquiries, deposits, prepaid mobile airtime recharge purchases and certain denied (unauthorized) transactions. We do not bill certain transactions on our network to financial institutions, and we have excluded these transactions for reporting purposes. The number of transactions processed over our entire ATM network has increased over the last five years at a compound annual growth rate (“CAGR”) of approximately 13% as indicated in the following table:</w:t>
      </w:r>
    </w:p>
    <w:p>
      <w:pPr>
        <w:spacing w:after="0" w:line="32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2007</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2008</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r>
      <w:tr>
        <w:trPr>
          <w:trHeight w:val="20"/>
        </w:trPr>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64"/>
        </w:trPr>
        <w:tc>
          <w:tcPr>
            <w:tcW w:w="390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8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672</w:t>
            </w:r>
          </w:p>
        </w:tc>
        <w:tc>
          <w:tcPr>
            <w:tcW w:w="4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4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r>
    </w:tbl>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Martinsried, Germany; Mumbai, India; Beijing, China; and Karachi, Pakistan. They are staffed 24 hours a day, seven days a week and consist of production IBM iSeries computers, which run the Euronet Integrated Transaction Management (“ITM”)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Euronet offers outsourced management services to financial institutions, retailers, mobile phone operators and other organizations using our processing centers' electronic financial transaction processing software. Our outsourced management services include management of existing ATM networks, development of new ATM networks, management of POS networks,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ind w:right="20"/>
        <w:spacing w:after="0" w:line="297" w:lineRule="auto"/>
        <w:rPr>
          <w:sz w:val="20"/>
          <w:szCs w:val="20"/>
          <w:color w:val="auto"/>
        </w:rPr>
      </w:pPr>
      <w:r>
        <w:rPr>
          <w:rFonts w:ascii="Arial" w:cs="Arial" w:eastAsia="Arial" w:hAnsi="Arial"/>
          <w:sz w:val="16"/>
          <w:szCs w:val="16"/>
          <w:color w:val="auto"/>
        </w:rPr>
        <w:t>management of automated deposit terminals, management of credit and debit card databases and other financial processing services. These services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Our Euronet-branded ATM networks, also known as Independent ATM Deployed (IAD) networks, are primarily managed by a processing center that uses our internally developed ITM core software solution.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4"/>
          <w:szCs w:val="24"/>
          <w:color w:val="auto"/>
          <w:vertAlign w:val="superscript"/>
        </w:rPr>
        <w:t>®</w:t>
      </w:r>
      <w:r>
        <w:rPr>
          <w:rFonts w:ascii="Arial" w:cs="Arial" w:eastAsia="Arial" w:hAnsi="Arial"/>
          <w:sz w:val="17"/>
          <w:szCs w:val="17"/>
          <w:color w:val="auto"/>
        </w:rPr>
        <w:t>, Visa</w:t>
      </w:r>
      <w:r>
        <w:rPr>
          <w:rFonts w:ascii="Arial" w:cs="Arial" w:eastAsia="Arial" w:hAnsi="Arial"/>
          <w:sz w:val="24"/>
          <w:szCs w:val="24"/>
          <w:color w:val="auto"/>
          <w:vertAlign w:val="superscript"/>
        </w:rPr>
        <w:t>®</w:t>
      </w:r>
      <w:r>
        <w:rPr>
          <w:rFonts w:ascii="Arial" w:cs="Arial" w:eastAsia="Arial" w:hAnsi="Arial"/>
          <w:sz w:val="17"/>
          <w:szCs w:val="17"/>
          <w:color w:val="auto"/>
        </w:rPr>
        <w:t>, MasterCard</w:t>
      </w:r>
      <w:r>
        <w:rPr>
          <w:rFonts w:ascii="Arial" w:cs="Arial" w:eastAsia="Arial" w:hAnsi="Arial"/>
          <w:sz w:val="24"/>
          <w:szCs w:val="24"/>
          <w:color w:val="auto"/>
          <w:vertAlign w:val="superscript"/>
        </w:rPr>
        <w:t>®</w:t>
      </w:r>
      <w:r>
        <w:rPr>
          <w:rFonts w:ascii="Arial" w:cs="Arial" w:eastAsia="Arial" w:hAnsi="Arial"/>
          <w:sz w:val="17"/>
          <w:szCs w:val="17"/>
          <w:color w:val="auto"/>
        </w:rPr>
        <w:t>, Diners Club International</w:t>
      </w:r>
      <w:r>
        <w:rPr>
          <w:rFonts w:ascii="Arial" w:cs="Arial" w:eastAsia="Arial" w:hAnsi="Arial"/>
          <w:sz w:val="24"/>
          <w:szCs w:val="24"/>
          <w:color w:val="auto"/>
          <w:vertAlign w:val="superscript"/>
        </w:rPr>
        <w:t>®</w:t>
      </w:r>
      <w:r>
        <w:rPr>
          <w:rFonts w:ascii="Arial" w:cs="Arial" w:eastAsia="Arial" w:hAnsi="Arial"/>
          <w:sz w:val="17"/>
          <w:szCs w:val="17"/>
          <w:color w:val="auto"/>
        </w:rPr>
        <w:t>, Discover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China Union Pay, as well as international ATM networks such as PULSE</w:t>
      </w:r>
      <w:r>
        <w:rPr>
          <w:rFonts w:ascii="Arial" w:cs="Arial" w:eastAsia="Arial" w:hAnsi="Arial"/>
          <w:sz w:val="24"/>
          <w:szCs w:val="24"/>
          <w:color w:val="auto"/>
          <w:vertAlign w:val="superscript"/>
        </w:rPr>
        <w:t>®</w:t>
      </w:r>
      <w:r>
        <w:rPr>
          <w:rFonts w:ascii="Arial" w:cs="Arial" w:eastAsia="Arial" w:hAnsi="Arial"/>
          <w:sz w:val="17"/>
          <w:szCs w:val="17"/>
          <w:color w:val="auto"/>
        </w:rPr>
        <w:t>. This ability is accomplished through our agreements and relationships with these institutions, international credit and debit card issuers and international card associations.</w:t>
      </w:r>
    </w:p>
    <w:p>
      <w:pPr>
        <w:spacing w:after="0" w:line="20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from our customers for four types of ATM transactions:</w:t>
      </w:r>
    </w:p>
    <w:p>
      <w:pPr>
        <w:spacing w:after="0" w:line="225" w:lineRule="exact"/>
        <w:rPr>
          <w:sz w:val="20"/>
          <w:szCs w:val="20"/>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Euronet is generally liable for the cash in the ATM networks.</w:t>
      </w:r>
    </w:p>
    <w:p>
      <w:pPr>
        <w:spacing w:after="0" w:line="19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mobile top-up, currency conversion, fraud management, bill payment, CRM, foreign remittance payout, and advertising. We are committed to the ongoing development of innovative new products and services to offer our EFT processing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offer a suite of integrated software solutions for electronic payments and transaction delivery systems. We generate revenue for our software products from licensing, professional services and maintenance fees for software and sales of related hardware, primarily to financial institutions around the world. We have been able to enter into agreements under which we contribute the right to use our ITM software in lieu of cash as our initial capital contributions to new transaction processing joint ventures. Such contributions permit us to enter new markets without significant cash outlays.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 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ITM software is used by processing centers in our EFT Processing Segment, resulting in cost savings and added value compared to third-party license and maintenance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value-added (or complementary) services across our existing customer base, including advertising, fraud management, currency conversion, bill payment, prepaid mobile top-up, CRM and foreign remittance payout.</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services agreements and continued development of our credit and debit card outsourcing business should provide continued growth while minimizing our capital investment.</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continually strive to make our own ATM networks more efficient by eliminating underperforming ATMs and installing ATMs in more desirable locations. We will make selective additions to our own ATM network if we see market demand and profit opportunities. 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EFT Processing Segment's line of services is strengthened through complementary services offered by our epay Segment, where we provide prepaid mobile airtime top-up services through POS terminals. We will continue to expand our technology and business methods into other markets where we operate and further leverage our relationships with mobile phone operators and financial institutions to facilitate that expansion.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is significantly impacted by seasonality during the fourth quarter and first quarter of each year due to higher transaction levels during the holiday season and lower levels after the holiday season. We have estimated that, absent significant fluctuations in foreign currency exchange rates or unusual circumstances, such as the impact of new acquisitions 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ind w:right="20"/>
        <w:spacing w:after="0" w:line="264" w:lineRule="auto"/>
        <w:rPr>
          <w:sz w:val="20"/>
          <w:szCs w:val="20"/>
          <w:color w:val="auto"/>
        </w:rPr>
      </w:pPr>
      <w:r>
        <w:rPr>
          <w:rFonts w:ascii="Arial" w:cs="Arial" w:eastAsia="Arial" w:hAnsi="Arial"/>
          <w:sz w:val="18"/>
          <w:szCs w:val="18"/>
          <w:color w:val="auto"/>
        </w:rPr>
        <w:t>unusually high levels of growth due to market factors, the overall revenue realized in the EFT Processing Segment is likely to be approximately 5% to 10% lower during the first quarter of each year than in the fourth quarter of the year. We have historically experienced minimal differences between the second and third quarters of each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 individual customer of the EFT Processing Segment makes up greater than 10% of consolidated total revenues. In India, we have contracts with government-owned banks to provide certain ATM services, including mobile airtime recharge services. Additionally, certain government-owned banks are members of our shared ATM network in India.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independent ATM deployment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currently offer prepaid mobile airtime top-up services and other prepaid and payment products on a network of approximately 615,000 POS terminals across approximately 293,000 retailer locations in Europe, the Middle East, Asia Pacific, North America and South America. We are the world's leading international network for distribution of prepaid mobile airtime (top-up). Our processing centers for the epay Segment are located in Basildon, U.K.; Martinsried, Germany; Milan, Italy; and Kansas City, Missouri, USA.</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Since 2003, we have continually expanded our prepaid business in new and existing markets by drawing upon our depth of experience to build and expand relationships with mobile phone operators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epay Segment generates commissions or processing fees received from telecommunications service providers for the sale and distribution of prepaid mobile airtime, which is a significant source of revenue for this segment. We also generate revenue as commissions earned from the distribution of electronic payment products referenced in the preceding paragraph.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Through “postpaid” accounts, where usage is billed at the end of each billing period; and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Through “prepaid” accounts, where customers pay in advance by crediting their accounts prior to usage.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 Prior to 2004, scratch cards were the predominant method of crediting mobile phone accounts in most developed markets. However, a shift has occurred in these markets and electronic top-up is now the predominant method.</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ind w:right="120"/>
        <w:spacing w:after="0" w:line="342" w:lineRule="auto"/>
        <w:rPr>
          <w:sz w:val="20"/>
          <w:szCs w:val="20"/>
          <w:color w:val="auto"/>
        </w:rPr>
      </w:pPr>
      <w:r>
        <w:rPr>
          <w:rFonts w:ascii="Arial" w:cs="Arial" w:eastAsia="Arial" w:hAnsi="Arial"/>
          <w:sz w:val="16"/>
          <w:szCs w:val="16"/>
          <w:color w:val="auto"/>
        </w:rPr>
        <w:t>purchased.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Second,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payment and settlement with the retailer are the same as described above.</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our growing network of distributors, generally referred to as Independent Sales Organizations (“ISOs”) that contract with retailers in their network to distribute prepaid mobile airtime or other content from their POS terminals. We continue to increase our focus on direct relationships with chains of supermarkets, convenience stores, petrol stations, and other larger scale retailers, where we can negotiate agreements with the merchant on a multi-year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or the retailer's electronic cash register (ECR) system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on each transaction that is withheld from the payments made to the mobile phone operator, and we share that commission with the retailers.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provide our prepaid services through POS terminals installed in retail outlets or, in the case of major retailers, through direct connections between their electronic cash register (ECR) systems and our processing centers. In markets where we operate proprietary technology (the U.K., Australia, Poland, Ireland, New Zealand, Spain, Greece, India, Italy, Brazil and the U.S.), we generally own and maintain the POS terminals. In Germany, Austria and Romania,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POS network can be used for the distribution of other products and services. Although prepaid mobile airtime is the primary product distributed through our epay Segment, additional products include long distance calling card plans, prepaid Internet plans, debit cards, gift cards, prepaid vouchers, transport payments, lottery payments, bill payment and digital content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ind w:right="80"/>
        <w:spacing w:after="0" w:line="286" w:lineRule="auto"/>
        <w:rPr>
          <w:sz w:val="20"/>
          <w:szCs w:val="20"/>
          <w:color w:val="auto"/>
        </w:rPr>
      </w:pPr>
      <w:r>
        <w:rPr>
          <w:rFonts w:ascii="Arial" w:cs="Arial" w:eastAsia="Arial" w:hAnsi="Arial"/>
          <w:sz w:val="17"/>
          <w:szCs w:val="17"/>
          <w:color w:val="auto"/>
        </w:rPr>
        <w:t>such as music, games and software. With our acquisition of cadooz, we also distribute vouchers and physical gifts. In certain locations, the terminals used for prepaid services can also be used for electronic funds transfer to process credit and debit card payments for retail merchandise. For 2011, gross profit from products other than prepaid mobile airtime comprised approximately 19% of the epay Segment's gross profit.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number of transactions processed on our entire POS network has increased over the last five years at a CAGR of approximately 14% as indicated in the following table:</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2007</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2008</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2011</w:t>
            </w:r>
          </w:p>
        </w:tc>
      </w:tr>
      <w:tr>
        <w:trPr>
          <w:trHeight w:val="20"/>
        </w:trPr>
        <w:tc>
          <w:tcPr>
            <w:tcW w:w="7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020" w:type="dxa"/>
            <w:vAlign w:val="bottom"/>
            <w:gridSpan w:val="2"/>
          </w:tcPr>
          <w:p>
            <w:pPr>
              <w:spacing w:after="0"/>
              <w:rPr>
                <w:sz w:val="20"/>
                <w:szCs w:val="20"/>
                <w:color w:val="auto"/>
              </w:rPr>
            </w:pPr>
            <w:r>
              <w:rPr>
                <w:rFonts w:ascii="Arial" w:cs="Arial" w:eastAsia="Arial" w:hAnsi="Arial"/>
                <w:sz w:val="18"/>
                <w:szCs w:val="18"/>
                <w:color w:val="auto"/>
              </w:rPr>
              <w:t>Prepaid processing transactions per year</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8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713</w:t>
            </w:r>
          </w:p>
        </w:tc>
        <w:tc>
          <w:tcPr>
            <w:tcW w:w="4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4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global strategy for the epay Segment is to grow market share by defending mature markets, focusing expansion activity in growth markets and adding positive operating income in all other developing markets.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to maintaining and growing market share in prepaid mobile airtime top-up, our growth strategy is achieved through the introduction of new products and content. New product initiatives focus on products outside of prepaid mobile airtime top-up and processing, including gift card malls, prepaid debit cards, transport and digital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include Apple and Microsoft.</w:t>
      </w:r>
    </w:p>
    <w:p>
      <w:pPr>
        <w:spacing w:after="0" w:line="1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Telecommunications companies and retail companies have a substantial opportunity to increase revenue by diversifying the products and services currently offered to their merchant base. epay is deploying additional content through its POS network to retailers and distributors all over the world. The reach, capabilities and quality of the epay network are appealing as a global distribution channel. We are one of the largest worldwide multi-country operators, and have a distinct competitive advantage from the existing relationships that we maintain with mobile phone operators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 We expect that, absent significant fluctuations in foreign currency exchange rates or unusual circumstances, such as the impact of new acquisitions or unusually high levels of growth due to market factors, the overall revenue realized is likely to be approximately 5% lower during the first quarter than in the fourth quarter of the year. We have historically experienced minimal differences between the second and third quarters of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No individual customer of our epay Segment makes up greater than 10% of consolidated total revenues. epay has a contract for the technology and distribution infrastructure for six state-owned lotteries in Germany. In addition, epay has contracts with the state of Florida's (USA) Turnpike partners, the Transport for London in the U.K. and Queensland Motorways in Australia. In New Zealand, we have a contract with Glo Bug prepaid power to allow customers to purchase prepaid power through various retail locations. Through Glo Bug, we have a contract with Mercury Energy, the power provider, which is a subsidiary of the government-owned enterprise, Mighty River Power. In Germany, cadooz has a contract with Deutsche Bahn, which is majority owned by the German State. We also have a contract for the distribution of mobile airtime with a Saudi company which, during 2011, was purchased by the Saudi government. There are no other government contracts in the epay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of their own through which they offer top-up services for their own products.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our size and market share are competitive advantages in many markets. In addition, our platforms are a competitive advantage. We have extremely flexible technical platforms that enable us to tailor POS solutions to individual merchant and mobile operator requirements where appropriate. Our platforms are also able to provide value added services other than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right="240"/>
        <w:spacing w:after="0" w:line="264" w:lineRule="auto"/>
        <w:rPr>
          <w:sz w:val="20"/>
          <w:szCs w:val="20"/>
          <w:color w:val="auto"/>
        </w:rPr>
      </w:pPr>
      <w:r>
        <w:rPr>
          <w:rFonts w:ascii="Arial" w:cs="Arial" w:eastAsia="Arial" w:hAnsi="Arial"/>
          <w:sz w:val="18"/>
          <w:szCs w:val="18"/>
          <w:color w:val="auto"/>
        </w:rPr>
        <w:t>processing which makes us a more valuable partner to the mobile operators and merchants. We have begun to introduce new digital products into the marketplace. Many of these products are ones our competitors do not have and in many countries, these are new products. We are capitalizing on being the first to market and only distributor of these products.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recharge transaction), breadth of products and up-time offered on the system. Major retailers with high volumes are in a position to demand a larger share of the commission, which increases the amount of competition among service providers. We are seeing signs that some mobile operators may wish to expand their own distribution networks of prepaid time, and in doing so, they may become our competitors. Additionally, prepaid mobile airtime top-up is now being performed on-line or via mobile devices which provides other alternatives for consumers to 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provide consumer-to-consumer money transfer services through a global network of more than 146,000 locations. Transfers are originated through sending agents in approximately 22 countries, with money transfer delivery completed in 136 countries. The initiation of money transfers occurs through retail agents or Company-owned stores, while the delivery of money transfers can occur with bank correspondents, retailer agents or from certain ATMs. Transferred funds are delivered in local foreign currency.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entire network has increased over the last four years at a CAGR of approximately 11% as indicated in the following table:</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5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2008</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w w:val="83"/>
              </w:rPr>
              <w:t>2010</w:t>
            </w:r>
          </w:p>
        </w:tc>
        <w:tc>
          <w:tcPr>
            <w:tcW w:w="44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2011</w:t>
            </w:r>
          </w:p>
        </w:tc>
      </w:tr>
      <w:tr>
        <w:trPr>
          <w:trHeight w:val="20"/>
        </w:trPr>
        <w:tc>
          <w:tcPr>
            <w:tcW w:w="7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4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540" w:type="dxa"/>
            <w:vAlign w:val="bottom"/>
            <w:gridSpan w:val="3"/>
          </w:tcPr>
          <w:p>
            <w:pPr>
              <w:jc w:val="right"/>
              <w:ind w:right="420"/>
              <w:spacing w:after="0"/>
              <w:rPr>
                <w:sz w:val="20"/>
                <w:szCs w:val="20"/>
                <w:color w:val="auto"/>
              </w:rPr>
            </w:pPr>
            <w:r>
              <w:rPr>
                <w:rFonts w:ascii="Arial" w:cs="Arial" w:eastAsia="Arial" w:hAnsi="Arial"/>
                <w:sz w:val="18"/>
                <w:szCs w:val="18"/>
                <w:color w:val="auto"/>
              </w:rPr>
              <w:t>17.8</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19.1</w:t>
            </w:r>
          </w:p>
        </w:tc>
        <w:tc>
          <w:tcPr>
            <w:tcW w:w="1140" w:type="dxa"/>
            <w:vAlign w:val="bottom"/>
            <w:gridSpan w:val="3"/>
          </w:tcPr>
          <w:p>
            <w:pPr>
              <w:ind w:left="400"/>
              <w:spacing w:after="0"/>
              <w:rPr>
                <w:sz w:val="20"/>
                <w:szCs w:val="20"/>
                <w:color w:val="auto"/>
              </w:rPr>
            </w:pPr>
            <w:r>
              <w:rPr>
                <w:rFonts w:ascii="Arial" w:cs="Arial" w:eastAsia="Arial" w:hAnsi="Arial"/>
                <w:sz w:val="18"/>
                <w:szCs w:val="18"/>
                <w:color w:val="auto"/>
              </w:rPr>
              <w:t>21.1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24.3</w:t>
            </w:r>
          </w:p>
        </w:tc>
      </w:tr>
    </w:tbl>
    <w:p>
      <w:pPr>
        <w:spacing w:after="0" w:line="200" w:lineRule="exact"/>
        <w:rPr>
          <w:sz w:val="20"/>
          <w:szCs w:val="20"/>
          <w:color w:val="auto"/>
        </w:rPr>
      </w:pPr>
    </w:p>
    <w:p>
      <w:pPr>
        <w:spacing w:after="0" w:line="24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sending agent network includes a variety of agents, including large/medium size regional retailers, convenience stores, bodegas, multi-service shops and phone centers, which are predominantly found in areas with a large immigrant population. Each money transfer transaction is processed using the Company's proprietary software system and checked for security, completeness and compliance with federal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 for the Money Transfer Segment is located in Buena Park, California, USA, and we operate call centers in Buena Park, California; Antiguo Cuscatlán, El Salvador; and Madrid, Spain and provide multi-lingual customer service for both our agents and consumers.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and Company-owned stores: via computer (“Ria Online”), by phone (“TeleRia”), and card-based over a POS terminal (“Rialink”).</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an on-line transaction, customers provide the required information to the agent who enters the data into our on-line platform via a computer using a unique username and password. The real-time on-line connection we maintain with the agent enables the agent to generate a receipt and complete the transaction.</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Through our TeleRia service, customers connect to our call center from a telephone available at an agent location or Ria store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Transactions through Rialink are similar to on-line transactions, but are initiated over a POS terminal once the customer has completed a one-time enrollment over the phone with our customer service representative. Rialink has shown good results in high volume stores and agent locations due to the speed, efficiency and ease of use of the POS transfer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money transfers, we also offer customers bill payment services, payment alternatives such as money orders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prepaid debit cards, comprehensive check cashing services for a wide variety of issued checks, along with competitive foreign currency exchange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services are all offered through our Company-owned stores while select services are offered through our agents in certain markets.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Ria money orders are widely recognized and exchanged throughout the United States, South America, and around the world. Our check cashing services cover payroll and personal checks, cashier checks, tax refund checks, government checks, insurance drafts and money orders. Our bill payment services offer timely posting of customer bills for over 100 companies, including electric and gas utilities and telephone/wireless companies. Bill payment services are offered primarily in the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 in the Money Transfer Segment is primarily derived through the charging of a transaction fee, as well as a margin earned from purchasing foreign currency at wholesale exchange rates and selling the foreign currency to consumers at retail exchange rates. Sending agents and receiving agents (bank correspondents or retailers) each earn fees for cash collection and distribution services. Euronet recognizes these fees as direct operating costs at the time of sale.</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volumes. Our Money Transfer Segment processed approximately $7.0 billion in money transfers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Money Transfer Segment's strategy is to increase the volume of money transfers processed by leveraging our existing banking and merchant/retailer relationships to expand our agent and payer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Ria's stores and agents, and offering our money transfer services at select prepaid retail locations in key markets. We will continue to make investments in our systems to support this growth.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No individual customer of our Money Transfer Segment makes up greater than 10% of consolidated total revenues. The Money Transfer Segment maintains correspondent relationships with a number of financial institutions whose ownership includes governments of the correspondents' countries of origin. Those countries include Brazil, Cape Verde, Costa Rica, Cote d'Ivoire, Croatia, Ecuador, Egypt, Eritrea, Ethiopia, Ghana, Guatemala, Guyana, Hungary, Indonesia, Mali, Mexico, Mongolia, Pakistan, Philippines, Poland, Romania, Senegal, Serbia, Slovenia, Togo, Tunisia, Uganda, Ukraine and Vietnam.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$3.7 million, $3.6 million and $3.3 million in 2011, 2010 and 2009, respectively. Development costs that were capitalized totaled $2.6 million, $2.2 million and $1.3 million in 2011, 2010 and 2009, respectively.</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approximately 3,800, 3,100 and 2,700 employees as of December 31, 2011, 2010, and 2009, respectively.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2011 and we consider relations with our employees to be good.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below, certain of our business activities are subject to regulation in some of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Certain of our businesses, including in particular, our money transfer services, merchant acquiring, certain card services and bill payment are subject to the Payment Services Directive (“PSD”) initiative. The PSD initiative requires a license to be obtained to perform certain defined "payment services" in a European country and such license may be extended throughout the European Economic Area Member States ("member states") through “passporting.” Conditions of obtaining the license include minimum capital requirements, establishment of procedures for safeguarding of funds, and certain governance and reporting requirements. In addition, certain regulations relating to internal controls and the conduct of business, in particular, consumer disclosure requirements and certain rules regarding the timing and settlement of payments, must be met. We have obtained authorization as a payment institution in the U.K., Germany and Spain, and are complying with these requirements. We are applying for additional payment services licenses. To date, we have passported our U.K. authorization to thirteen host member states operating under the PSD.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businesses involve the maintenance of electronic accounts. In Europe, such businesses require an "e-money"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460"/>
        <w:spacing w:after="0" w:line="277" w:lineRule="auto"/>
        <w:rPr>
          <w:sz w:val="20"/>
          <w:szCs w:val="20"/>
          <w:color w:val="auto"/>
        </w:rPr>
      </w:pPr>
      <w:r>
        <w:rPr>
          <w:rFonts w:ascii="Arial" w:cs="Arial" w:eastAsia="Arial" w:hAnsi="Arial"/>
          <w:sz w:val="18"/>
          <w:szCs w:val="18"/>
          <w:color w:val="auto"/>
        </w:rPr>
        <w:t>license and we have obtained an e-money license in the U.K. That license imposes certain requirements similar to those of the payment services license, including minimum capital requirements, consumer disclosure and internal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a number of states will choose to perform examinations off-site.</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Regulatory bodies in the U.S. and abroad may impose additional rules on the conduct of our Money Transfer Segment that could have a significant impact on our operations and our agent network. In this regard, the U.S. federal government has proposed new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protections for senders of remittance transfers. On January 20, 2012, the Consumer Financial Protection Bureau, established under the Dodd-Frank Act on July 21, 2011 with authority to implement the new consumer protective measures, adopted a new rule designed to increase protections for consumers sending money to foreign countries. This new rule, to become effective February 7, 2013, provides new protections, including disclosures and error resolution and cancellation rights, to consumers who send remittance transfers abroad.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U.S. and certain foreign countries in which we operate. These laws require us to turn over property held by the Company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relevant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Company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both"/>
        <w:ind w:right="220"/>
        <w:spacing w:after="0" w:line="259" w:lineRule="auto"/>
        <w:rPr>
          <w:sz w:val="20"/>
          <w:szCs w:val="20"/>
          <w:color w:val="auto"/>
        </w:rPr>
      </w:pPr>
      <w:r>
        <w:rPr>
          <w:rFonts w:ascii="Arial" w:cs="Arial" w:eastAsia="Arial" w:hAnsi="Arial"/>
          <w:sz w:val="18"/>
          <w:szCs w:val="18"/>
          <w:color w:val="auto"/>
        </w:rPr>
        <w:t>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comply with the GLBA and state privacy provisions. In addition, we comply with the Directive using the safe harbor permitted by the Directive by filing with the U.S. Department of Commerce, publicly declaring our privacy policy for information collected outside of the U.S., posting our privacy policy on our Web site and requiring our agents in the European Union to notify customers of the privacy policy.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Bribery Act in the United Kingdom, thus potentially exposing us to liability and potential penalties in multiple jurisdictions. The anti-corruption provisions of the FCPA are enforced by the United States Department of Justice. In addition, the Securities and Exchange Commission requires strict compliance with certain accounting and internal control standards set forth under the FCPA. Because our services are offered in many countries throughout the world, we face a higher risk associated with FCPA, United Kingdom Bribery Act and other similar laws than many other companies. Any determination that we have violated these laws could have an adverse effect on our business, financial position and results of operations. Failure to comply with the FCPA and other laws can expose the Company and/or individual employees to potentially severe criminal and civil penalties. Such penalties may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brand names of “Ria,” "Ria Financial Services" and “Ria Envia,”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epay Segment, we have filed trademark applications for the “epay” brand in the U.S., U.K., the European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Union (“E.U.”) through a Community Trademark application, Brazil, India, Australia and New Zealand. The epay trademark has issued to registration in the U.S., U.K., the E.U., Australia and New Zealand. The trademark applications in the other jurisdictions are still pending. We also hold trademarks for our prepaid operating subsidiaries in other jurisdictions, including PaySpot, Inc. in the U.S. We cannot be certain that we are entitled to use the epay trademark in any markets other than those in which we have registered the trademark. We have filed patent applications for some of our POS recharge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28, 2012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3"/>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55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3"/>
              <w:spacing w:after="0"/>
              <w:rPr>
                <w:sz w:val="20"/>
                <w:szCs w:val="20"/>
                <w:color w:val="auto"/>
              </w:rPr>
            </w:pPr>
            <w:r>
              <w:rPr>
                <w:rFonts w:ascii="Arial" w:cs="Arial" w:eastAsia="Arial" w:hAnsi="Arial"/>
                <w:sz w:val="18"/>
                <w:szCs w:val="18"/>
                <w:color w:val="auto"/>
                <w:w w:val="89"/>
              </w:rPr>
              <w:t>45</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54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Pr>
          <w:p>
            <w:pPr>
              <w:jc w:val="center"/>
              <w:ind w:left="233"/>
              <w:spacing w:after="0"/>
              <w:rPr>
                <w:sz w:val="20"/>
                <w:szCs w:val="20"/>
                <w:color w:val="auto"/>
              </w:rPr>
            </w:pPr>
            <w:r>
              <w:rPr>
                <w:rFonts w:ascii="Arial" w:cs="Arial" w:eastAsia="Arial" w:hAnsi="Arial"/>
                <w:sz w:val="18"/>
                <w:szCs w:val="18"/>
                <w:color w:val="auto"/>
                <w:w w:val="89"/>
              </w:rPr>
              <w:t>57</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41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Managing Director, Money Transfer Segment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3"/>
              <w:spacing w:after="0"/>
              <w:rPr>
                <w:sz w:val="20"/>
                <w:szCs w:val="20"/>
                <w:color w:val="auto"/>
              </w:rPr>
            </w:pPr>
            <w:r>
              <w:rPr>
                <w:rFonts w:ascii="Arial" w:cs="Arial" w:eastAsia="Arial" w:hAnsi="Arial"/>
                <w:sz w:val="18"/>
                <w:szCs w:val="18"/>
                <w:color w:val="auto"/>
                <w:w w:val="89"/>
              </w:rPr>
              <w:t>48</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w w:val="94"/>
              </w:rPr>
              <w:t>Senior Vice President - Managing Director, Europe EFT Processing Segment</w:t>
            </w:r>
          </w:p>
        </w:tc>
      </w:tr>
    </w:tbl>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MICHAEL J. BROWN, Chairman and Chief Executive Officer. Mr. Brown is one of the founders of Euronet and has served as our Chairman of the Board and Chief Executive Officer since 1996.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9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7" w:name="page18"/>
    <w:bookmarkEnd w:id="17"/>
    <w:p>
      <w:pPr>
        <w:ind w:right="360"/>
        <w:spacing w:after="0" w:line="264" w:lineRule="auto"/>
        <w:rPr>
          <w:sz w:val="20"/>
          <w:szCs w:val="20"/>
          <w:color w:val="auto"/>
        </w:rPr>
      </w:pPr>
      <w:r>
        <w:rPr>
          <w:rFonts w:ascii="Arial" w:cs="Arial" w:eastAsia="Arial" w:hAnsi="Arial"/>
          <w:sz w:val="18"/>
          <w:szCs w:val="18"/>
          <w:color w:val="auto"/>
        </w:rPr>
        <w:t>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JUAN C. BIANCHI, Executive Vice President - Managing Director,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NIKOS FOUNTAS, Senior Vice President - Managing Director, Europe EFT Processing Segment.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his current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Directors or Certain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January 2011, Charles T. Piper, formerly Managing Director - epay Segment, left the Company.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Web 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Exchange Act on our Web site free of charge as soon as reasonably practicable after these documents are electronically filed with, or furnished to, the SEC. The information on our Web site is not, and shall not be deemed to be, a part of this report or incorporated into any other filings we make with the SEC. In addition, our SEC filings are made available via the SEC's EDGAR filing system accessible at www.sec.gov.</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 site at www.euronetworldwide.com in the “Investor Relations”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 The risks and uncertainties described below are not necessarily organized in order of priority or probability.</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recent growth is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6" w:lineRule="exact"/>
        <w:rPr>
          <w:rFonts w:ascii="Arial" w:cs="Arial" w:eastAsia="Arial" w:hAnsi="Arial"/>
          <w:sz w:val="18"/>
          <w:szCs w:val="18"/>
          <w:color w:val="auto"/>
        </w:rPr>
      </w:pPr>
    </w:p>
    <w:p>
      <w:pPr>
        <w:ind w:left="500" w:right="200" w:hanging="316"/>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and other electronic payment services; and (iv) our money transfer and bill payment services. The continued expansion and development of our ATM business will depend on various factors including the following:</w:t>
      </w:r>
    </w:p>
    <w:p>
      <w:pPr>
        <w:spacing w:after="0" w:line="181" w:lineRule="exact"/>
        <w:rPr>
          <w:sz w:val="20"/>
          <w:szCs w:val="20"/>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ATM services in our current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68" w:lineRule="exact"/>
        <w:rPr>
          <w:sz w:val="20"/>
          <w:szCs w:val="20"/>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install ATMs in an efficient and timely manner;</w:t>
      </w:r>
    </w:p>
    <w:p>
      <w:pPr>
        <w:sectPr>
          <w:pgSz w:w="11900" w:h="16838" w:orient="portrait"/>
          <w:cols w:equalWidth="0" w:num="1">
            <w:col w:w="11420"/>
          </w:cols>
          <w:pgMar w:left="240" w:top="121" w:right="239" w:bottom="1440" w:gutter="0" w:footer="0" w:header="0"/>
        </w:sectPr>
      </w:pPr>
    </w:p>
    <w:bookmarkStart w:id="19" w:name="page20"/>
    <w:bookmarkEnd w:id="19"/>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expansion of our business into new countries as currently planned;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additional card acceptance and ATM outsourcing agreements with banks;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renew existing agreements with customers;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obtain sufficient numbers of ATMs on a timely basis;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financing for the expansion.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several months.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currently offer prepaid mobile airtime top-up and other electronic payment services in Europe, the Middle East, Asia Pacific, North America and South America. We plan to expand in these and other markets by taking advantage of our existing relationships with mobile phone operators, banks and retailers and by offering additional electronic payment products. This expansion will depend on various factors, including the following:</w:t>
      </w:r>
    </w:p>
    <w:p>
      <w:pPr>
        <w:spacing w:after="0" w:line="166" w:lineRule="exact"/>
        <w:rPr>
          <w:sz w:val="20"/>
          <w:szCs w:val="20"/>
          <w:color w:val="auto"/>
        </w:rPr>
      </w:pPr>
    </w:p>
    <w:p>
      <w:pPr>
        <w:ind w:left="500" w:hanging="31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236" w:lineRule="exact"/>
        <w:rPr>
          <w:rFonts w:ascii="Arial" w:cs="Arial" w:eastAsia="Arial" w:hAnsi="Arial"/>
          <w:sz w:val="17"/>
          <w:szCs w:val="17"/>
          <w:color w:val="auto"/>
        </w:rPr>
      </w:pPr>
    </w:p>
    <w:p>
      <w:pPr>
        <w:ind w:left="500" w:right="30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acceptance and popularity of additional electronic payment products such as prepaid gift and debit cards, prepaid vouchers, transport payments, lottery payments and bill payments;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the number of prepaid mobile phone users;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for the expansion.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recessionary economic environment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 In addition, the recessionary economic environment could reduce the level of transactions taking place on our networks, which will have a negative impact on our business.</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0" w:name="page21"/>
    <w:bookmarkEnd w:id="20"/>
    <w:p>
      <w:pPr>
        <w:ind w:right="360"/>
        <w:spacing w:after="0" w:line="259" w:lineRule="auto"/>
        <w:rPr>
          <w:sz w:val="20"/>
          <w:szCs w:val="20"/>
          <w:color w:val="auto"/>
        </w:rPr>
      </w:pPr>
      <w:r>
        <w:rPr>
          <w:rFonts w:ascii="Arial" w:cs="Arial" w:eastAsia="Arial" w:hAnsi="Arial"/>
          <w:sz w:val="18"/>
          <w:szCs w:val="18"/>
          <w:color w:val="auto"/>
        </w:rPr>
        <w:t>quarter, during which transaction levels are generally the lowest we experience during the year, which reduces the level of revenues that we record. Additionally, in the Money Transfer Segment, we experience increased transaction levels during the May through October timeframe coinciding with the increase in worker migration patterns. As a result of these seasonal variations, our quarterly operating results may fluctuate materially and could lead to volatility in the price of our shares.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Concerns over the slow economic recovery, level of U.S. national debt and structural deficits, European sovereign debt crisis, the U.S. mortgage market, inflation levels, energy costs and geopolitical issues have contributed to increased volatility and diminished expectations for the economy and the markets going forward. These factors, combined with volatile oil prices, reduced business and consumer confidence and continued high unemployment, have negatively impacted the world economy. A prolonged economic downturn or recession could materially impact our results from operations. A recessionary economic environment could have a negative impact on mobile phone operators,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indirect exposure to the European sovereign debt crisis.</w:t>
      </w:r>
    </w:p>
    <w:p>
      <w:pPr>
        <w:spacing w:after="0" w:line="22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Although Euronet has no direct investments in European sovereign debt, we are indirectly exposed to its risks. Many of the customers of our EFT Segment are banks who may hold investments in European sovereign debt. To the extent those customers are negatively impacted by those investments, they may be less able to pay amounts owed to us or renew service agreements with us. Such developments could negatively affect our business. Further, to the extent that sovereign debt concerns depress economic activity, it may negatively impact the number of transactions processed on our epay and money transfer networks, resulting in lower revenue.</w:t>
      </w:r>
    </w:p>
    <w:p>
      <w:pPr>
        <w:spacing w:after="0" w:line="18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a substantial amount of indebtedness. As of December 31, 2011, total liabilities were $979.6 million, of which $161.7 million represents long-term debt obligations, and total assets were $1,506.3 million. Of our total long-term debt obligations, $165.2 million is comprised of contingently convertible debentures that, in certain situations, could be settled in stock.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68" w:lineRule="exact"/>
        <w:rPr>
          <w:sz w:val="20"/>
          <w:szCs w:val="20"/>
          <w:color w:val="auto"/>
        </w:rPr>
      </w:pPr>
    </w:p>
    <w:p>
      <w:pPr>
        <w:ind w:left="50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ectPr>
          <w:pgSz w:w="11900" w:h="16838" w:orient="portrait"/>
          <w:cols w:equalWidth="0" w:num="1">
            <w:col w:w="11400"/>
          </w:cols>
          <w:pgMar w:left="240" w:top="125" w:right="259" w:bottom="1440" w:gutter="0" w:footer="0" w:header="0"/>
        </w:sectPr>
      </w:pPr>
    </w:p>
    <w:bookmarkStart w:id="21" w:name="page22"/>
    <w:bookmarkEnd w:id="21"/>
    <w:p>
      <w:pPr>
        <w:ind w:left="500" w:right="26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20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Holders of the 3.50% debentures have the option to require us to purchase their debentures at par on October 15, 2012, 2015 and 2020, or upon a change in control of the Company.</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Restrictive covenants in our credit facilities may adversely affect us. The Credit Facility contains three financial covenants that we must meet as defined in the agreement: (1) Consolidated Total Leverage Ratio, (2) Consolidated Senior Secured Leverage Ratio and (3) Consolidated Fixed Charge Coverage Ratio.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due to the recent economic crisis.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recent uncertainty in the credit markets could affect our ability to obtain debt financing on reasonable terms.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the event we were to require additional debt financing in the future, the ongoing uncertainty in the credit markets, including the European sovereign debt crisis,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$79.0 million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of operations.</w:t>
      </w:r>
    </w:p>
    <w:p>
      <w:pPr>
        <w:spacing w:after="0" w:line="177"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We may be required to recognize additional impairment charges related to long-lived assets and goodwill recorded in connection with our acquisitions.</w:t>
      </w:r>
    </w:p>
    <w:p>
      <w:pPr>
        <w:spacing w:after="0" w:line="16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total assets include approximately $588.5 million, or 39%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2010, we determined that certain goodwill assets of our epay businesses in the U.K., Spain and Romania were impaired and we recorded $70.9 million of non-cash impairment charges. If operating results in any of our key markets, including the U.S., U.K., Germany, Spain, Australia or Brazil,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The processes and systems we employ may be subject to patent protection by other parties.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have subsidiaries in Central and Eastern Europe, the Middle East, Asia Pacific and South America.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example, currently there are no limitations on the repatriation of profits from any of the countries in which we have subsidiaries,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corporate, contract, property, insolvency, competition, securities and other laws and regulations in Central Europe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16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3" w:name="page24"/>
    <w:bookmarkEnd w:id="23"/>
    <w:p>
      <w:pPr>
        <w:jc w:val="both"/>
        <w:ind w:right="520"/>
        <w:spacing w:after="0" w:line="289" w:lineRule="auto"/>
        <w:rPr>
          <w:sz w:val="20"/>
          <w:szCs w:val="20"/>
          <w:color w:val="auto"/>
        </w:rPr>
      </w:pPr>
      <w:r>
        <w:rPr>
          <w:rFonts w:ascii="Arial" w:cs="Arial" w:eastAsia="Arial" w:hAnsi="Arial"/>
          <w:sz w:val="17"/>
          <w:szCs w:val="17"/>
          <w:b w:val="1"/>
          <w:bCs w:val="1"/>
          <w:color w:val="auto"/>
        </w:rPr>
        <w:t>As allowable under the Internal Revenue Code (the “Code”), the interest deduction from our convertible debentures is based on a comparable interest rate for a traditional, nonconvertible, fixed rate debt instrument with similar terms. This allowable deduction is in excess of the stated interest rate. This deduction may be deferred, limited or eliminated under certain conditions.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our convertible debentures and ultimately sustained, our deductions attributable to the convertible debentures could be limited to the stated interest thereon. The scope of application of the anti-abuse regulations is unclear. However, we are of the view that the application of the contingent payment debt instrument regulations ("Contingent Debt Regulations") described in U.S. Treasury Regulations Section 1.1275-4 to our convertible debentures is a reasonable result such that the anti-abuse regulation should not apply. If a contrary position was asserted and ultimately sustained, our tax deductions would be severely diminished with a resulting adverse effect on our cash flow and ability to service the convertible debentures.</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Under the Code, no deduction is allowed for interest expense in excess of $5 million on convertible subordinated indebtedness incurred to acquire stock or assets of another corporation reduced by any interest paid on other obligations which have provided consideration for an acquisition of stock in another corporation. If a significant portion of the proceeds from the issuance of the convertible debentures, either alone or together with other debt proceeds, was used for a domestic acquisition and the convertible debentures and other debt, if any, were deemed to be corporate acquisition indebtedness as defined in Section 279 of the Code, interest deductions for tax purposes in excess of $5 million on such debt reduced by any interest paid on other obligations which have provided consideration for an acquisition of stock in another corporation would be disallowed. This would adversely impact our cash flow and our ability to pay down the convertible debentures. We previously applied a significant portion of the proceeds from our December 2004 issuance of 1.625% Convertible Senior Debentures Due 2024 to acquisitions of foreign corporations. In prior years, the interest expense attributable to these acquisitions exhausted all of the $5 million annual interest expense deduction permitted under the Code for certain convertible subordinated debt incurred for corporation acquisitions. In 2009, the repurchase of the 1.625% Convertible Senior Debentures Due 2024 significantly reduced interest expense for federal income tax purposes and, consequently, a larger portion of the annual interest expense subject to limitation was able to be deducted. Although the portion of interest expense able to be deducted increased, significant interest deductions would be disallowed with respect to our October 2005 3.50% Convertible Debentures Due 2025 if Section 279 of the Code applied. We do not currently anticipate that this limitation will apply but there can be no assurance of that fact.</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the past, the U.S. Senate has drafted proposed tax relief legislation that contained a provision that would eliminate the comparable interest rate deduction on future issuances of convertible debentures such as ours. Legislation containing this provision has not been passed, however, we cannot predict if there will be future tax legislation proposed and approved that would eliminate the comparable interest rate deduction.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recent economic downturn,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operations in countries outside the United States are subject to anti-corruption laws and regulations, including restrictions imposed by the FCPA. The FCPA and similar anti-corruption laws in other jurisdictions, such as the United Kingdom Bribery Act, generally prohibit companies and their intermediaries from making improper payments to government officials for the purpose of obtaining or retaining business. We operate in many parts of the world that have experienced governmental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employees and agents interact with government officials on our behalf, including interactions necessary to obtain licenses and other regulatory approvals necessary to operate our business, import or export equipment and resolve tax disputes. These interactions create a risk that actions may occur that could violate the FCPA or other similar laws.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international jurisdictions, either due to our own acts or out of inadvertence, or due to the acts or inadvertence of others, we could suffer from criminal or civil penalties which could have a material and adverse effect on our results of operations, financial condition and cash flows.</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we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18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However, a significant amount of our cash outflows, including the acquisition of ATMs, executive salaries, certain long-term contracts and a significant portion of our debt obligations, are made in U.S. dollars, while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Exchange rate policies have not always allowed for the free conversion of currencies at the market rate. Future fluctuations in the value of the U.S. dollar could have an adverse effect on our results.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54" w:lineRule="exact"/>
        <w:rPr>
          <w:sz w:val="20"/>
          <w:szCs w:val="20"/>
          <w:color w:val="auto"/>
        </w:rPr>
      </w:pPr>
    </w:p>
    <w:p>
      <w:pPr>
        <w:ind w:left="500" w:right="2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225" w:lineRule="exact"/>
        <w:rPr>
          <w:rFonts w:ascii="Arial" w:cs="Arial" w:eastAsia="Arial" w:hAnsi="Arial"/>
          <w:sz w:val="18"/>
          <w:szCs w:val="18"/>
          <w:color w:val="auto"/>
        </w:rPr>
      </w:pPr>
    </w:p>
    <w:p>
      <w:pPr>
        <w:ind w:left="500" w:right="14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68" w:lineRule="exact"/>
        <w:rPr>
          <w:sz w:val="20"/>
          <w:szCs w:val="20"/>
          <w:color w:val="auto"/>
        </w:rPr>
      </w:pPr>
    </w:p>
    <w:p>
      <w:pPr>
        <w:ind w:left="500" w:right="40" w:hanging="316"/>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ectPr>
          <w:pgSz w:w="11900" w:h="16838" w:orient="portrait"/>
          <w:cols w:equalWidth="0" w:num="1">
            <w:col w:w="11420"/>
          </w:cols>
          <w:pgMar w:left="240" w:top="125" w:right="239" w:bottom="1440" w:gutter="0" w:footer="0" w:header="0"/>
        </w:sectPr>
      </w:pPr>
    </w:p>
    <w:bookmarkStart w:id="25" w:name="page26"/>
    <w:bookmarkEnd w:id="25"/>
    <w:p>
      <w:pPr>
        <w:spacing w:after="0" w:line="291" w:lineRule="auto"/>
        <w:rPr>
          <w:sz w:val="20"/>
          <w:szCs w:val="20"/>
          <w:color w:val="auto"/>
        </w:rPr>
      </w:pPr>
      <w:r>
        <w:rPr>
          <w:rFonts w:ascii="Arial" w:cs="Arial" w:eastAsia="Arial" w:hAnsi="Arial"/>
          <w:sz w:val="16"/>
          <w:szCs w:val="16"/>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purchase price is subject to appropriate adjustment for stock splits and other similar events. Generally, in the event a person or entity acquires, or initiates a tender offer to acquire, at least 15% of Euronet's then-outstanding common stock, the Rights will become exercisable for common stock having a value equal to two times the exercise price of the Right, or effectively at one-half of Euronet's then-current stock price. The existence of the Rights Plan may discourage, delay or prevent a change of control or takeover attempt of our company by a third party that is opposed by our management and board of directors.</w:t>
      </w:r>
    </w:p>
    <w:p>
      <w:pPr>
        <w:spacing w:after="0" w:line="163"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Our directors and officers, together with the entities with which they are associated, owned approximately 9% of our Common Stock as of December 31, 2011, giving them significant control over decisions related to our Company.</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control includes the ability to influence the election of directors of our Company and to cast a large block of votes with respect to virtually all matters submitted to a vote of our stockholders. This concentration of control may have the effect of delaying or preventing transactions or a potential change of control of our Company.</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An additional 10.9 million shares of Common Stock, representing 22% of the shares outstanding as of December 31, 2011,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of December 31, 2011, we had an aggregate of 6.2 million options and restricted stock awards outstanding held by our directors, officers and employees, which entitle these holders to acquire an equal number of shares of our Common Stock upon exercise. Of this amount, 1.8 million options are vested and exercisable as of December 31, 2011. Approximately 0.5 million additional shares of our Common Stock may be issued in connection with our employee stock purchase plan. Upon the occurrence of certain events, another 4.2 million shares of Common Stock could be issued upon conversion of the Company's Convertible Debentures issued in October 2005; in certain situations, the number of shares issuable could be higher.</w:t>
      </w:r>
    </w:p>
    <w:p>
      <w:pPr>
        <w:spacing w:after="0" w:line="17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10.9 million shares could potentially be added to our total current Common Stock outstanding through the exercise of options or the issuance of additional shares, which could adversely impact the trading price for our stock.</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6.2 million total options and restricted stock awards outstanding, an aggregate of 3.3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shown interest in entering into direct contracts with retailers and/or developing processing technology that could diminish or eliminate the need for intermediate processors and distributors.</w:t>
      </w:r>
    </w:p>
    <w:p>
      <w:pPr>
        <w:spacing w:after="0" w:line="16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Money Transfer Segment - </w:t>
      </w:r>
      <w:r>
        <w:rPr>
          <w:rFonts w:ascii="Arial" w:cs="Arial" w:eastAsia="Arial" w:hAnsi="Arial"/>
          <w:sz w:val="16"/>
          <w:szCs w:val="16"/>
          <w:color w:val="auto"/>
        </w:rPr>
        <w:t>Our primary competitors in the money transfer and bill payment business include other independent processors and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and profitability of our epay business is dependent on certain factors that vary from market to market.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the last year, processing fees and commissions per transaction have declined in most markets, and we expect that trend to continue. We have been able to improve our results despite that trend due to substantial growth in the number of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Our epay and money transfer businesses may be susceptible to fraud and/or credit risks occurring at the retailer and/or consumer level.</w:t>
      </w:r>
    </w:p>
    <w:p>
      <w:pPr>
        <w:spacing w:after="0" w:line="24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recharge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 continue to expand our electronic payment product offerings, certain of those products may become regulated by state, federal or foreign laws, rules and regulations. Certain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growth in our epay business may be contingent on product differentiation and our ability to offer new electronic payment products.</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ind w:right="40"/>
        <w:spacing w:after="0" w:line="264" w:lineRule="auto"/>
        <w:rPr>
          <w:sz w:val="20"/>
          <w:szCs w:val="20"/>
          <w:color w:val="auto"/>
        </w:rPr>
      </w:pPr>
      <w:r>
        <w:rPr>
          <w:rFonts w:ascii="Arial" w:cs="Arial" w:eastAsia="Arial" w:hAnsi="Arial"/>
          <w:sz w:val="18"/>
          <w:szCs w:val="18"/>
          <w:color w:val="auto"/>
        </w:rPr>
        <w:t>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5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increased issuance of credit and debit cards;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increased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installation of larger numbers of ATMs;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A significant decrease in the interchange fee in any market could adversely affect our results in that market.</w:t>
      </w:r>
    </w:p>
    <w:p>
      <w:pPr>
        <w:spacing w:after="0" w:line="18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distribution methods or services, may affect the demand for other services in a dramatic way. The development of any new technology that reduces the need or demand for prepaid mobile airtime could materially and adversely affect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ind w:right="680"/>
        <w:spacing w:after="0" w:line="282"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w:t>
      </w:r>
    </w:p>
    <w:p>
      <w:pPr>
        <w:spacing w:after="0" w:line="16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w:t>
      </w:r>
    </w:p>
    <w:p>
      <w:pPr>
        <w:spacing w:after="0" w:line="16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phone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Athens, Budapest, Belgrade, Beijing, Mumbai and Karachi processing centers. Transactions in the epay Segment are processed through our Basildon, Martinsried, Milan and Kansas City, Missouri processing centers. Transactions in our Money Transfer Segment are processed through our Buena Park, California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described elsewhere in this filing, we have been the subject of a computer security breach and cannot exclude the possibility of additional breaches in the futures.</w:t>
      </w:r>
    </w:p>
    <w:p>
      <w:pPr>
        <w:spacing w:after="0" w:line="18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electronic fraud issues and breaches of our information security policies and safeguards, the possible theft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ind w:right="40"/>
        <w:spacing w:after="0" w:line="312" w:lineRule="auto"/>
        <w:rPr>
          <w:sz w:val="20"/>
          <w:szCs w:val="20"/>
          <w:color w:val="auto"/>
        </w:rPr>
      </w:pPr>
      <w:r>
        <w:rPr>
          <w:rFonts w:ascii="Arial" w:cs="Arial" w:eastAsia="Arial" w:hAnsi="Arial"/>
          <w:sz w:val="16"/>
          <w:szCs w:val="16"/>
          <w:color w:val="auto"/>
        </w:rPr>
        <w:t>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4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Deliberate, malicious acts, including terrorism, could damage our facilities, disrupt our operations or injure employees, contractors, customers or the public and result in liability to us.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Intentional acts of destruction could hinder our sales. Our facilities could be damaged or destroyed, requiring us to repair or replace our facilities at substantial cost. Employees, contractors and the public could suffer substantial physical injury for which we could be liable. Governmental authorities may impose security or other requirements that could make our operations more difficult or costly. The consequences of any such actions could adversely affect our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we are required to have a ''sponsor'' bank to conduct ATM operations in those countries.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17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4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money transfer based revenues are primarily generated through the use of our agent and correspondent networks. Transaction volumes at existing locations may increase over time and new agents provide us with additional revenues.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color w:val="auto"/>
        </w:rPr>
        <w:t>offerings. In addition, as a result of existing regulations and/or changes to those regulations, financial institutions could decide to cease providing the services on which we depend, requiring us to terminate certain product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Dodd-Frank Act establishes federal oversight and regulation of the over-the-counter derivatives market and entities that participate in that market. The act requires the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8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Increased volatility may make us less attractive to certain types of investors. Any of these consequences could have a material adverse effect on our financial condition and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executive offices are located in Leawood, Kansas. As of December 31, 2011, we also maintained principal operational offices in Sao Paulo, Brazil; Montréal, Canada; Antiguo Cuscatlán, El Salvador; Mexico City, Mexico; San Juan, Puerto Rico; Buena Park, California; Leawood, Kansas; Little Rock, Arkansas; Liverpool and Sydney, Australia; Beijing, China; Mumbai and Pune, India; Auckland, New Zealand; Brussels, Belgium; Sofia, Bulgaria; Zagreb, Croatia; Prague, Czech Republic; Paris, France; Berlin, Hamburg, Martinsried and Munich, Germany; Vienna, Austria; Athens, Greece; Budapest, Hungary; Dublin, Ireland; Milan and Rome, Italy; Warsaw and Kraców, Poland; Bucharest, Romania; Belgrade, Serbia; Bratislava, Slovakia; Madrid, Spain; Stockholm, Sweden; Geneva, Switzerland; Basildon and London, U.K.; Kiev, Ukraine; Cairo, Egypt; and Karachi, Pakistan. Our office leases generally provide for initial terms ranging from two to twelve years.</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Beijing, China; Mumbai, India; and Karachi, Pakistan. Our processing centers for the epay Segment are located in Basildon, U.K.; Martinsried, Germany; Kansas City, Missouri; and Milan, Italy. Our processing center for the Money Transfer Segment is located in Buena Park, California.</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processing centers in Budapest, Beijing, Mumbai, Karachi, Basildon, Martinsried, Kansas City, Milan and Buena Park have off-site real time backup processing centers that are capable of providing full or partial processing services in the event of failure of the primary processing centers.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settlements, rulings, advice of legal counsel, and other information and events pertaining to a particular case.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20" w:right="520" w:hanging="701"/>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12.40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22.71</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18.01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we had 72 stockholders of record of our Common Stock, and none of our Preferred Stock was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2011,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2006 through December 31, 2011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2006.</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3357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35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NOTE: Derived from CRSP NASDAQ Stock Market, Center for Research in Security Prices (CRSP®), Booth School of Business, The University of Chicago. Used with permission. All rights reserved. Graph copyright 2012 Zacks Investment Research, Inc.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 and rights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2,261,688</w:t>
            </w: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Stock option awards</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4,994,581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40"/>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 awards</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1,181,785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6,176,366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2,261,688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2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three months ended December 31, 2011, the Company purchased 204,570 shares of its Common Stock in the open market, in accordance with the authorization by its Board of Directors announced on August 22, 2011. The Company is authorized to repurchase up to $100 million or 5 million shares of its Common Stock through August 22, 2013. The following table sets forth information with respect to those shares: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6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October 1 - October 31</w:t>
            </w: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204,570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204,570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3,977,841</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1336"/>
              <w:spacing w:after="0"/>
              <w:rPr>
                <w:sz w:val="20"/>
                <w:szCs w:val="20"/>
                <w:color w:val="auto"/>
              </w:rPr>
            </w:pPr>
            <w:r>
              <w:rPr>
                <w:rFonts w:ascii="Arial" w:cs="Arial" w:eastAsia="Arial" w:hAnsi="Arial"/>
                <w:sz w:val="18"/>
                <w:szCs w:val="18"/>
                <w:color w:val="auto"/>
                <w:w w:val="89"/>
              </w:rPr>
              <w:t>___________________________________</w:t>
            </w:r>
          </w:p>
        </w:tc>
        <w:tc>
          <w:tcPr>
            <w:tcW w:w="12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2007</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1,161,304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1,038,269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1,032,694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1,045,665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902,666</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975,504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779,435</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60,457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46,997</w:t>
            </w: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(loss)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76,234</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(21,748)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(6,277)</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09"/>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 before income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62,792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57,173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(200,667)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70,865</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(34,038)</w:t>
            </w:r>
          </w:p>
        </w:tc>
      </w:tr>
      <w:tr>
        <w:trPr>
          <w:trHeight w:val="297"/>
        </w:trPr>
        <w:tc>
          <w:tcPr>
            <w:tcW w:w="20" w:type="dxa"/>
            <w:vAlign w:val="bottom"/>
          </w:tcPr>
          <w:p>
            <w:pPr>
              <w:spacing w:after="0"/>
              <w:rPr>
                <w:sz w:val="24"/>
                <w:szCs w:val="24"/>
                <w:color w:val="auto"/>
              </w:rPr>
            </w:pPr>
          </w:p>
        </w:tc>
        <w:tc>
          <w:tcPr>
            <w:tcW w:w="4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38,088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31,337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36,827</w:t>
            </w: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(0.75)</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0.77</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Consolidated 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1,409,372</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1,405,644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1,850,449</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320,283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294,355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491,923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11,347</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end of period (rounded)</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563,000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396,000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635</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83" w:lineRule="exact"/>
        <w:rPr>
          <w:sz w:val="20"/>
          <w:szCs w:val="20"/>
          <w:color w:val="auto"/>
        </w:rPr>
      </w:pPr>
    </w:p>
    <w:p>
      <w:pPr>
        <w:ind w:left="400" w:right="140" w:hanging="378"/>
        <w:spacing w:after="0" w:line="264"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2010, 2009 and 2008 include non-cash charges related to impairment of goodwill and acquired intangible assets of $70.9 million, $9.9 million and $220.1 million, respectively. The results for 2007 include a benefit of $12.2 million for a federal excise tax refund which was recorded as a reduction to operating expenses.</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Note: We believe that the period-to-period comparisons of our financial results are not necessarily meaningful due to certain significant transactions, including acquisitions in 2007, 2010 and 2011 (See Note 5, Acquisitions,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December 31, 2011, we operate in the following three operating segments:</w:t>
      </w:r>
    </w:p>
    <w:p>
      <w:pPr>
        <w:spacing w:after="0" w:line="46" w:lineRule="exact"/>
        <w:rPr>
          <w:sz w:val="20"/>
          <w:szCs w:val="20"/>
          <w:color w:val="auto"/>
        </w:rPr>
      </w:pPr>
    </w:p>
    <w:p>
      <w:pPr>
        <w:ind w:left="980" w:right="100" w:hanging="648"/>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14,224 ATMs and approximately 57,000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hanging="648"/>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epay Segment, which provides distribution and collection services for prepaid mobile airtime and other electronic payment products. Including terminals operated by unconsolidated subsidiaries, we operate a network of approximately 615,000 POS terminals providing electronic processing of prepaid mobile airtime top-up services and other electronic payment products in Europe, the Middle East, Asia Pacific, North America and South America. With the purchase of cadooz Holding GmbH ("cadooz") in September 2011, we now distribute vouchers and physical gifts in Europe.</w:t>
      </w:r>
    </w:p>
    <w:p>
      <w:pPr>
        <w:spacing w:after="0" w:line="80" w:lineRule="exact"/>
        <w:rPr>
          <w:rFonts w:ascii="Arial" w:cs="Arial" w:eastAsia="Arial" w:hAnsi="Arial"/>
          <w:sz w:val="18"/>
          <w:szCs w:val="18"/>
          <w:color w:val="auto"/>
        </w:rPr>
      </w:pPr>
    </w:p>
    <w:p>
      <w:pPr>
        <w:ind w:left="980" w:right="20" w:hanging="648"/>
        <w:spacing w:after="0" w:line="297"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146,000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29 principal offices in Europe, seven in North America, eight in Asia Pacific and one in South America. Our executive offices are located in Leawood, Kansas, USA. With approximately 80% of our revenues denominated in currencies other than the U.S. dollar, any significant changes in currency exchange rates will likely have a significant impact on our results of operations (for more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 are described below.</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17%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2011, are derived from fees charged for transactions made by cardholders on our proprietary network of ATMs, as well as fixed management fees and transaction fees we charge to customers for operating ATMs and processing debit and credit cards under outsourcing and cross-border acquiring agreements. Through our proprietary network, we generally charge fees for four types of ATM transactions: i) cash withdrawals, ii) balance inquiries, iii) transactions not completed because the relevant card issuer did not give authorization, and iv) value-added services such as prepaid telecommunication recharges, dynamic currency conversion, bill payment and ATM advertising. Revenues in this segment are also derived from license fees, professional services and maintenance fees for proprietary application software and sales of related hardware.</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58% of total consolidated revenues for the year ended December 31, 2011,</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derived from commissions or processing fees received from telecommunications service providers for the sale and distribution of prepaid mobile airtime. We also generate revenues from commissions earned from the distribution of other electronic payment products and from the sale of vouchers.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total consolidated revenues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2011,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six primary areas:</w:t>
      </w:r>
    </w:p>
    <w:p>
      <w:pPr>
        <w:spacing w:after="0" w:line="117"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value added services in our EFT Processing Segment;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develop products or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to negotiate new agreements in additional markets with mobile operators, content providers, agent financial institutions and retailers;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right="3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a few of the markets in which we operate, such as Brazil and the Middle East, many of the factors that may contribute to rapid growth (conversion from scratch cards to electronic distribution, growth in electronic payment products, expansion of our network of retailers and access to all mobile operators' products) remain present.</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growth in worker migration and employment opportunities;</w:t>
      </w:r>
    </w:p>
    <w:p>
      <w:pPr>
        <w:spacing w:after="0" w:line="117" w:lineRule="exact"/>
        <w:rPr>
          <w:rFonts w:ascii="Arial" w:cs="Arial" w:eastAsia="Arial" w:hAnsi="Arial"/>
          <w:sz w:val="18"/>
          <w:szCs w:val="18"/>
          <w:color w:val="auto"/>
        </w:rPr>
      </w:pPr>
    </w:p>
    <w:p>
      <w:pPr>
        <w:ind w:left="980" w:right="14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4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4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10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Like other participants in the money transfer industry, as a result of downturns in certain labor markets, the recessionary economic environment and immigration developments, the number of money transfers from the U.S. to Mexico decreased in 2010 and 2009 compared to respective prior years. During the second half of 2011, the number of money transfers from the U.S. to Mexico increased when compared to the same period in 2010, resulting in the number of money transfers for the year ended December 31, 2011 being essentially the same as those made during 2010. We believe the current level of activity indicates the beginning of the recovery of this important corridor.</w:t>
      </w:r>
    </w:p>
    <w:p>
      <w:pPr>
        <w:spacing w:after="0" w:line="80"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(LOSS) FOR THE YEARS ENDED DECEMBER 31, 2011, 2010 AND 2009</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3"/>
              </w:rPr>
              <w:t>Operating Income (Loss)</w:t>
            </w:r>
          </w:p>
        </w:tc>
        <w:tc>
          <w:tcPr>
            <w:tcW w:w="86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2009</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199,249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194,875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197,740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33,208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38,168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48,190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599,023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602,075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49,446</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285,299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244,606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232,879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1,032,694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97,282</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Corporate services and eliminations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(25,017)</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1,161,304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1,038,269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1,032,694</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72,265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annual consolidated revenues increased by 12% for 2011 compared to 2010 and by 1% for 2010 from 2009. The 2011 increase was primarily due to the September 2010 acquisition of Telecomnet, Inc., a Brazilian prepaid mobile airtime distribution company now known as epay Brazil, the September 2011 acquisition of the German voucher and physical gift fulfillment company cadooz Holding GmbH ("cadooz"), the increase in the number of money transfers processed and the impact of stronger foreign currencies. The 2010 increase was primarily due to the acquisition of epay Brazil, the increase in the number of money transfers processed and the impact of stronger foreign currencies, largely offset by decreased commission rates in several of our epay markets and decreased ATM interchange fees in Poland.</w:t>
      </w:r>
    </w:p>
    <w:p>
      <w:pPr>
        <w:spacing w:after="0" w:line="1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operating income for 2010 and 2009 includes non-cash goodwill and intangible asset impairment charges of $70.9 million and $9.9 million, respectively, as discussed in Note 8, Goodwill and Acquired Intangible Assets, Net, to the consolidated financial statements. Excluding the goodwill and intangible assets impairment charges, our operating income increased 4% for 2011 from 2010 and decreased 7% for 2010 from 2009. The 2011 increase was mainly due to the expansion of value added services in the EFT Processing Segment, increased profitability in the epay Segment, primarily related to the growth in Germany and the impact of the acquisition of epay Brazil, and the improvements in the Money Transfer Segment driven by a greater number of transactions processed. These increases were partly offset by reduced transaction fees in Germany beginning in January 2011, the full year impact of the Poland interchange fee reductions and increased corporate operating expenses, mainly related to increased share-based compensation and professional fees. The 2010 decrease was mainly the result of lower profitability in the EFT Processing Segment, primarily related to lower ATM interchange fees in Poland, partly offset by improvements in the Money Transfer Segment driven by a greater number of transactions processed.</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income attributable to Euronet Worldwide, Inc. for 2011 was $37.0 million, or $0.71 per diluted share, compared to net loss attributable to Euronet Worldwide, Inc. for 2010 of $38.4 million, or $0.75 per diluted share, and net income attributable to Euronet Worldwide, Inc. for 2009 of $30.3 million, or $0.59 per diluted share. In addition to the explanations above, net income (loss) for 2011, 2010 and 2009 included foreign currency exchange gain (loss) of $(1.7) million, $(7.6) million and $3.9 million, respectively. Net income attributable to Euronet Worldwide, Inc. for 2009 included a gain from discontinued operations of $0.5 million, or $0.01 per diluted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therefore, amounts we earn outside the U.S. are negatively impacted by the stronger U.S. dollar and positively impacted by the weaker U.S. dollar. Considering the results by country and the associated functional currency, we estimate that our 2011 and 2010 consolidated operating income was approximately 6% and 2% more, respectively, when compared to the immediate prior year as a result of changes in foreign currency exchange rates. If significant, in our discussion we will refer to the impact of fluctuations in foreign currency exchange rates in our comparison of operating segment results for 2011, 2010 and 2009. To provide further perspective on the impact of foreign currency exchange rates, the following table shows the changes in values relative to the U.S. dollar during 2011 and 2010, of the currencies of the countries in which we have our most significant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2011 Increase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2010 Increase</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8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10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center"/>
              <w:ind w:right="273"/>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14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1.0329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0.9199</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0.7922</w:t>
            </w:r>
          </w:p>
        </w:tc>
        <w:tc>
          <w:tcPr>
            <w:tcW w:w="1260" w:type="dxa"/>
            <w:vAlign w:val="bottom"/>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1.6042</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1.5458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1.5660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1.3923</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1.3272</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1.3938</w:t>
            </w: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0.0050</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0.0048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0.0050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0.0215</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0.0219</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0.0207</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0.3395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0.3330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0.3235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OPERATING RESULTS FOR THE YEARS ENDED DECEMBER 31, 2011, 2010 AND 2009 - BY OPERATING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our EFT Processing Segment for the years ended December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4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4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199,249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194,875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95,739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92,594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29,487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27,259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2,228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17,393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21,017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19,461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166,041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156,707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9,334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97"/>
        </w:trPr>
        <w:tc>
          <w:tcPr>
            <w:tcW w:w="41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33,208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38,168</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ATMs as of December 31</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14,224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10,786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3,438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459"/>
        </w:trPr>
        <w:tc>
          <w:tcPr>
            <w:tcW w:w="4160" w:type="dxa"/>
            <w:vAlign w:val="bottom"/>
          </w:tcPr>
          <w:p>
            <w:pPr>
              <w:spacing w:after="0"/>
              <w:rPr>
                <w:sz w:val="24"/>
                <w:szCs w:val="24"/>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revenues for 2011 increased slightly when compared to 2010 primarily due to the impact of the stronger foreign currencies, growth in value added services and an increase in the number of ATMs under management. Because our revenues are recorded in the functional currencies of our operating entities, amounts we earn in foreign currencies are positively impacted by the stronger foreign currencies. Partly offsetting the increase were decreases in transaction fees in Germany. We were able to increase transaction fees in Germany beginning in mid-2009 and were generally able to maintain them through 2010; however, we experienced reductions in these fees beginning in 2011 as a result of market and regulatory factors. Further decreases in revenues during 2011 resulted from the impact of decreased interchange fee revenues in Poland beginning in the second quarter of 2010.</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Average monthly revenue per ATM was $1,371 for 2011, compared to $1,556 for 2010. The decrease is primarily due to the reductions in transaction fees in Germany that took effect in the first quarter of 2011 and the decrease in interchange fees in Poland that took effect in the second quarter of 2010, partly offset by the impact of the stronger foreign currencies and growth in value added services. Revenue per transaction was $0.21 for 2011 compared to $0.25 for 2010. These decreases are primarily the result of the reductions in transaction fees in Germany, the decreased interchange fees in Poland and the growth of Cashnet (Euronet's shared ATM network in India) transactions, which generate lower revenues per transaction than those on owned or outsourced ATMs. These decreases were partly offset by the impact of the stronger foreign currencies and growth in value added services.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several months. Increasing consolidation in the banking industry could make this process less predictable.</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For contracts that we are able to renew, as was the case for certain contract renewals in prior years, we expect customers to seek rate concessions or up-front payments because of the greater availability of alternative processing solutions in many of our markets now, as compared to when we entered into the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2011 compared to 2010 primarily due to the impact of the stronger foreign currencies and the increase in the number of ATMs under management, partly offset by operating cost improvements in Poland.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profit, which is calculated as revenues less direct operating costs, was $103.5 million for 2011 compared to $102.3 million for 2010. The increase is primarily due to the impact of the stronger foreign currencies, growth in value added services and the increase in ATMs under management, partly offset by reduced transaction fees in Germany and reduced interchange fees in Poland. Gross profit as a percentage of revenues (“gross margin”) was 52% for both 2011 and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increase in salaries and benefits for 2011 compared to 2010 is primarily due to growth in India, increased bonus expense for 2011 and the impact of the stronger foreign currencies. As a percentage of revenues, these costs increased to 14.8% for 2011 compared to 14.0% for 2010 as a result of increased costs and the impact on revenues from the reduced transaction fees in Poland and Germany.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increase in selling, general and administrative expenses for 2011 compared to 2010 is primarily due to increased operating costs to support growth in the business and the impact of the stronger foreign currencies. As a percentage of revenues, selling, general and administrative expenses increased to 9.9% for 2011 compared to 8.9% for 2010 as a result of increased costs and the impact on revenues from the reduced transaction fees in Poland and Germany.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Depreciation and amortization expense increased for 2011 compared to 2010 primarily due to the impact of the stronger foreign currencies and ATM expansion or replacement. As a percentage of revenues, depreciation and amortization expense increased to 10.5% for 2011 compared to 10.0% for 2010 as a result of increased costs and the impact on revenues from the reduced transaction fees in Poland and Germany.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Operating income as a percentage of revenues (“operating margin”) for 2011 was 16.7% compared to 19.6% for 2010. The decrease in operating income and operating margin in 2011 compared 2010 is primarily due to the reduced transaction fees in Germany and decreased interchange fee revenues in Poland, partly offset by the impact of the stronger foreign currencies, growth in value added services and the increase in ATMs under management. Operating income per transaction was $0.04 for 2011 and $0.05 for 2010, reflecting the reduced transaction fees in Germany, the reduced interchange fee revenues in Poland and the increase in Cashnet transactions which have lower-than-average operating income per transaction, partly offset by the impact of the stronger foreign currencies and growth in value added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Compared to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2010 and 2009: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194,875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197,740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92,594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83,198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27,259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30,302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19,461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18,613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156,707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149,550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7,157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38,168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48,190</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ATMs as of December 31</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10,786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ATMs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10,438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9,441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revenues for 2010 decreased slightly when compared to 2009 primarily due to reductions in ATM interchange fee revenues in Poland beginning in the second quarter of 2010 and $4.4 million of contract termination fees recorded in 2009. These decreases were largely offset by the increase in the number of ATMs under management in Poland and India, increased ATM transaction fees in Germany and the growth in transaction volumes in Cashnet - Euronet's shared ATM network in India.</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Average monthly revenue per ATM was $1,556 for 2010, compared to $1,745 for 2009. The decrease is generally the result of the reduction in Visa Europe and MasterCard interchange fee revenues in Poland that took effect in the second quarter of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decrease was also impacted by the non-recurring contract termination fees discussed above. Revenue per transaction was $0.25 for 2010 and $0.28 for 2009. The decrease is primarily the result of the reduction in ATM interchange fee revenues in Poland and the non-recurring contract termination fees discussed above, as well as a shift in the mix of transactions to lower priced transactions in markets such as India and Serbia and products such as our cross-border product. Partly offsetting these decreases is the increase in ATM transaction fees in Germany. We were able to increase ATM transaction fees in Germany beginning in mid-2009; however, in the first quarter of 2011, the German practice shifted to a market-driven, uncapped surcharge structure that has resulted in considerably lower ATM transaction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The increase in direct operating costs for 2010, compared to 2009, is attributed to the increase in the number of ATMs under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decreased to $102.3 million for 2010 from $114.5 million for 2009. This decrease is mainly attributable to reduced interchange fees in Poland and the contract termination fee revenues discussed above, partly offset by the increased ATM transaction fees in Germany and gross profits from additional ATMs under management. Gross profit as a percentage of revenues (“gross margin”) was 52% for 2010 compared to 58% for 2009. The decrease in gross margin is primarily due to the previously mentioned ATM interchange fees revenue reductions and contract termination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decrease in salaries and benefits for 2010 compared to 2009 is primarily due to lower bonus expense related to reduced operating income. As a percentage of revenues, these costs decreased to 14.0% for 2010 compared to 15.3% for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Selling, general and administrative expenses were essentially flat for 2010 compared to 2009 as general cost control measures were implemented in response to the revenue pressures experienced in 2010. As a percentage of revenues, selling, general and administrative expenses remained basically flat at 8.9% for 2010 compared to 8.8% for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increase in depreciation and amortization expense for 2010 compared to 2009 is primarily due to the growth in the number of owned ATMs. As a percentage of revenues, these expenses increased to 10.0% for 2010 from 9.4% for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Operating margin was 19.6% for 2010 compared to 24.4% for 2009 and operating income per transaction was $0.05 for 2010 and $0.07 for 2009. The decreases in operating income, operating margin and operating income per transaction were primarily due to the reduced ATM interchange fees in Poland and the 2009 contract termination fees described above, partly offset by more ATMs under management and the increased ATM transaction fees in Germany.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our epay Segment for the years ended December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20" w:type="dxa"/>
            <w:vAlign w:val="bottom"/>
            <w:gridSpan w:val="3"/>
          </w:tcPr>
          <w:p>
            <w:pPr>
              <w:jc w:val="right"/>
              <w:ind w:right="37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21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677,051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599,023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78,028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514,429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469,293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48,386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34,429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13,957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6,785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70,925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(70,925)</w:t>
            </w:r>
          </w:p>
        </w:tc>
        <w:tc>
          <w:tcPr>
            <w:tcW w:w="220" w:type="dxa"/>
            <w:vAlign w:val="bottom"/>
          </w:tcPr>
          <w:p>
            <w:pPr>
              <w:spacing w:after="0"/>
              <w:rPr>
                <w:sz w:val="21"/>
                <w:szCs w:val="21"/>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18,751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61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620,277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623,326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56,774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81,077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revenues for 2011 compared to 2010 was primarily due to the impact of our September 2010 acquisition of Telecomnet, Inc., now known as epay Brazil, the impact of our September 2011 acquisition of cadooz, an increase in transactions processed in Germany – mainly from increased demand for non-mobile products – and the impact of the stronger foreign currencies. This increase was partly offset by declines in the number of transactions processed in the U.K. and Australia, which were mostly driven by economic and competitive pressures, lower cost call plans and the impact of certain large retailers entering into direct agreements with two mobile operators in Australia. Additionally, while epay Brazil contributed to the 2011 increase from 2010, it experienced decreases in revenues during 2011 due to a certain mobile operator modifying its distribution strategy. This development is expected to negatively impact epay Brazil's revenues into 2012.</w:t>
      </w:r>
    </w:p>
    <w:p>
      <w:pPr>
        <w:spacing w:after="0" w:line="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certain markets, our revenue growth has slowed due to mobile operators driving competitive reductions in commissions,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 and commercially appropriate.</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per transaction were $0.64 for 2011 compared to $0.67 for 2010. The decrease in revenues per transaction is due mainly to the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are a fraction of that recognized on average transactions, but with strong contribution to gross profit. The decreases were partly offset by the impact of the stronger foreign currencies.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is generally attributable to the impact of epay Brazil, increases in transactions processed in certain markets, the addition of cadooz and the impact of the stronger foreign currencies. These increases are partly offset by declines in the number of transactions processed in Australia and the U.K. and a higher percentage of lower cost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Gross profit, which represents revenues less direct costs, was $162.6 million for 2011 compared to $129.7 million for 2010. The primary causes of the increase in gross profit are the impact of epay Brazil, the increased transaction volumes in Germany – mainly from increased demand for non-mobile products</w:t>
      </w:r>
    </w:p>
    <w:p>
      <w:pPr>
        <w:jc w:val="both"/>
        <w:ind w:right="20"/>
        <w:spacing w:after="0" w:line="302" w:lineRule="auto"/>
        <w:rPr>
          <w:sz w:val="20"/>
          <w:szCs w:val="20"/>
          <w:color w:val="auto"/>
        </w:rPr>
      </w:pPr>
      <w:r>
        <w:rPr>
          <w:rFonts w:ascii="Arial" w:cs="Arial" w:eastAsia="Arial" w:hAnsi="Arial"/>
          <w:sz w:val="16"/>
          <w:szCs w:val="16"/>
          <w:color w:val="auto"/>
        </w:rPr>
        <w:t>– the addition of cadooz and the impact of the stronger foreign currencies, partly offset by transaction volume declines in Australia. Gross margin increased to 24% for 2011 compared to 22% for 2010, mainly reflecting the impact of epay Brazil and the growth in Germany. Gross profit per transaction remained flat at $0.15 for both 2011 and 2010, reflecting the impact of the stronger foreign currencies offsetting the impact of a higher percentage of lower profit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increase in salaries and benefits for 2011 compared to 2010 is primarily due to the impacts of epay Brazil and the stronger foreign currencies, along with additional headcount to support development of new products and growing markets. As a percentage of revenues, salaries and benefits increased to 7.1% for 2011 from 5.7% for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selling, general and administrative expenses for 2011 compared to 2010 is mainly due to the impacts of epay Brazil, the acquisition of cadooz and the stronger foreign currencies. Additional increases were driven by cash losses related to an employee theft of funds, overhead to support development of new products and growing markets, and professional fees related to acquisitions. These increases were partly offset by a probable recovery of insurance proceeds for the employee theft and a decrease in bad debt expense in certain markets. As a percentage of revenues, these expenses increased to 5.7% for 2011 compared to 5.3% for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2010, we recorded a non-cash goodwill impairment charge of $70.9 million with no impairment charges recorded in 2011. See the discussion below in the epay Segment's comparison of 2010 results to 2009 and Note 8, Goodwill and Acquired Intangible Assets, Net, to the consolidated financial statements for a further discussion of these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2011 compared to 2010 mainly due to the impacts of epay Brazil and the stronger foreign currencies, partly offset by decreased expense in mature markets where acquired intangible assets are becoming fully amortized and POS terminals are becoming fully depreciated at a faster rate than new terminals are being installed. As a percentage of revenues, these expenses remained flat at 2.8% for both 2011 and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operating income for 2011 compared to 2010 is primarily due to the 2010 goodwill impairment charges, the impact of epay Brazil, the growth in Germany – mainly from increased demand for non-mobile products – and the impact of the stronger foreign currencies, partly offset by decreased profitability in Australia. Excluding the goodwill impairment charges, operating margin increased to 8.4% for 2011 from 7.8% for 2010, mainly due to the growth in Germany. Operating income per transaction remained flat at $0.05 for 2011 and 2010.</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Compared to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2010 and 2009: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599,023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602,075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469,293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485,305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34,429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28,753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5,676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23,154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8,772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70,925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70,925</w:t>
            </w:r>
          </w:p>
        </w:tc>
        <w:tc>
          <w:tcPr>
            <w:tcW w:w="22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15,417</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623,326</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552,629</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70,697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49,446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decrease in revenues for 2010 compared to 2009 was generally attributable to mobile operator commission rate decreases in certain markets, declines in the number of transactions processed in the U.K., Spain and Australia due to economic pressures, and changes in the mix of transactions to lower revenue transactions. These decreases were largely offset by the increase in transactions processed in Germany, Italy, India and our ATX subsidiary, the impact of the third quarter 2010 acquisition of epay Brazil and the impact of the weaker U.S. dollar compared to the Australian dollar. The epay Segment offers different types of services with associated differences in revenues and costs per transaction. Although transactions processed have increased in 2010 compared to 2009, a shift in the mix of transactions has contributed to lower revenues. However, due to a shift to transactions with higher profit margins, our gross profits have increased.</w:t>
      </w:r>
    </w:p>
    <w:p>
      <w:pPr>
        <w:spacing w:after="0" w:line="18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Revenues per transaction decreased to $0.67 for 2010 from $0.77 for 2009, primarily due to the decrease in mobile operator commission rates and changes in the mix of transactions, particularly due to growth in India and our ATX subsidiary where revenues per transaction are considerably lower than average. ATX provides transaction processing services only without significant direct costs and other operating costs related to installing and managing terminals; therefore, the revenues we recognize from these transactions is a fraction of that recognized on average transactions, but with very low associated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electronic payment products, as well as expenses required to operate POS terminals. The decrease in direct operating costs is generally attributable to the decrease in mobile operator commission revenues having been largely passed on to retail merchants resulting in lower commission costs, and changes in the mix of transactions to those with lower costs. The decrease was partly offset by the epay Brazil direct costs incurred after it was acquired in the third quarter of 2010, the increase in the number of transactions processed and the impact of the weaker U.S. dollar compared to the Australian dollar.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Gross profit was $129.7 million for 2010 compared to $116.8 million for 2009. The primary causes of the increase in gross profit are the impact of the acquisition of epay Brazil, increased transaction volumes in Germany, favorable product mix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changes in the U.S. and the impact of the weaker U.S. dollar compared to the Australian dollar. These increases were partly offset by transaction volume declines in the U.K. and margin pressures in Australia. Gross margin increased to 22% for 2010 from 19% for 2009, mainly due to favorable product mix changes in the U.S. and Germany. Gross profit per transaction remained flat at $0.15 for both 2010 and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Salaries and benefits increased to $34.4 million for 2010 from $28.8 million for 2009, primarily due to the expenses incurred by epay Brazil after its 2010 acquisition and certain severance costs. As a percentage of revenues, salaries and benefits increased to 5.7% for 2010 from 4.8% for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selling, general and administrative expenses for 2010 compared to 2009 is primarily due to the expenses incurred by epay Brazil after its acquisition in 2010, additional overhead to support development in growing markets, professional fees related to due diligence, recruiting and legal matters, certain rebranding and marketing expenses incurred in 2010 and increased bad debts in certain markets. As a percentage of revenues, selling, general and administrative expenses increased to 5.3% for 2010 from 3.8% for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2010, we recorded a non-cash goodwill impairment charge of $70.9 million. The fourth quarter of 2010 reflected continuing declines in profitability for certain reporting units of the epay Segment in Central and Western Europe. While these decreases were primarily driven by general economic conditions in the respective markets, developments led us to conclude that our ability to recover from these declines would be more difficult for our epay reporting units in the U.K., Spain and Romania. The U.K. reporting unit primarily provides prepaid mobile airtime top-up services in a mature market with limited growth for these services and it has experienced protracted declines in the volume of transactions processed. While new product offerings in the U.K. provide a significant opportunity, the dependence on top-up services is expected to hamper the unit's overall growth. In Spain, the general economic conditions led us to conclude that the profitability of our Spanish epay unit would grow more slowly and take longer to recover than our other European epay units. Finally, while the operating results of the Romanian epay unit improved during 2010, late in 2010 and into 2011, the unit experienced strong pressure on its gross margins. In light of those developments, we recorded goodwill impairment charges of $58.2 million related to the U.K., $11.2 million related to Spain and $1.5 million related to Romania. See Note 8, Goodwill and Acquired Intangible Assets, Net, to the consolidated financial statements for a further discussion of these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The increase in depreciation and amortization for 2010 compared to 2009 is primarily due to the depreciation and amortization of epay Brazil assets since its 2010 acquisition and growth in installed POS terminals in growing markets, most significantly, Italy. As a percentage of revenues, depreciation and amortization expense increased slightly to 2.8% for 2010 from 2.6% for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operating income for 2010 compared to 2009 is mainly due to the goodwill impairment charges in 2010. Excluding the goodwill impairment charges, operating income as a percentage of revenues was 7.8% for 2010 compared to 8.2% for 2009. The decrease is primarily due to the greater salaries and benefits and selling, general and administrative expenses discussed above, partly offset by improved gross margins. Excluding the goodwill impairment charges, operating income per transaction decreased to $0.05 in 2010 from $0.06 in 2009.</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results of operations for our Money Transfer Segment for the years ended December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285,299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244,606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40,693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130,783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113,913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70,603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59,109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11,494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37,746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8,695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20,346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20,472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268,173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231,240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17,126</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13,366</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3,760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increase in revenues for 2011 compared to 2010 is primarily due to the increase in the number of transactions processed and the impact of the stronger foreign currencies. The growth in transactions processed was driven by a 16% increase in transfers from non-U.S. markets in 2011 and growth in other products such as mobile top-up, check cashing and bill payment. The increase in transfers from non-U.S. markets is due to the expansion of our agent and correspondent payout networks.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Revenues per transaction increased to $11.74 for 2011 from $11.59 for 2010. The growth rate of revenues exceeded the transaction growth rate for 2011 compared to 2010 largely as a result of the impact of the stronger foreign currencies and the continued shift in transaction mix to non-U.S. locations which generally have higher-than-average revenues per transaction. For 2011, 57% of our money transfers were initiated in the U.S. and 43% in non-U.S. markets compared to 59% initiated in the U.S. and 41% in non-U.S. markets for 2010. We expect that the U.S. will continue to represent our highest volume market; however, continued future growth is expected to be derived from the addition of new products and the expansion of our agent and correspondent payout networks in new and existing markets outside the U.S.</w:t>
      </w:r>
    </w:p>
    <w:p>
      <w:pPr>
        <w:spacing w:after="0" w:line="8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Over the past few years, the number of money transfers from the U.S. to Mexico had been decreasing on a year-over-year basis. In the second half of 2011, the number of money transfers in this corridor increased when compared to the same period in 2010, resulting in the number of money transfers for the full year 2011 being basically flat compared to 2010. We expect the recent growth in this corridor to continue and positively affect our 2012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correspondent agents that disburse funds to the customers’ destination beneficiary, together with less significant costs, such as telecommunication costs and bank fees to collect money from sending agents. The increase in direct operating costs in 2011 compared to 2010 is primarily due to the growth in transactions processed and the impact of the stronger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profit, which represents revenues less direct costs, was $154.5 million for 2011 compared to $130.7 million for 2010. The improvements are primarily due to the growth in money transfer transactions, the impact of the stronger foreign currencies, the shift in transaction mix to transfers from non-U.S. sources and the addition of new products. Gross margin was 54% for 2011 compared to 53% for 2010. This improvement primarily reflects the shift in transaction mix to transfers from non-U.S. sources.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salaries and benefits for 2011 compared to 2010 is due to the increased expenses we incurred to support expansion of our operations and the impact of the stronger foreign currencies. As a percentage of revenues, salaries and benefits increased to 24.7% for 2011 compared to 24.2% for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Selling, general and administrative expenses increased for 2011 compared to 2010, primarily as the result of the increased expenses we incurred to support expansion of our operations and the impact of the stronger foreign currencies. As a percentage of revenues, selling, general and administrative expenses increased to 16.3% for 2011 from 15.4% for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For 2011, depreciation and amortization was essentially flat compared to 2010 as the impact of the increased capital expenditures was offset by certain acquired intangible assets becoming fully amortized during 2011. As a percentage of revenues, depreciation and amortization decreased to 7.1% for 2011 from 8.4% for 2010, reflecting the intangibles which became fully amortized in 2011 and a shift in achieving a greater portion of expansion through agents which requires less capital expenditures than expansion from adding company-owned stores.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income increased by $3.8 million for 2011 compared to 2010, reflecting the growth in transactions processed, the shift in transactions to non-U.S. markets, the impact of the stronger foreign currencies, the addition of new products and lower intangible amortization expense, partly offset by increased salaries and benefits and selling, general and administrative expenses for expansion. Operating margin was 6.0% for 2011 compared to 5.5% for 2010 while operating income per transaction increased to $0.70 for 2011 from $0.63 for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Compared to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2010 and 2009 for the Money Transfer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244,606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232,879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11,727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109,867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4,046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59,109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54,166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4,943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37,746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38,716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9,884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(9,884)</w:t>
            </w:r>
          </w:p>
        </w:tc>
        <w:tc>
          <w:tcPr>
            <w:tcW w:w="22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20,600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231,240</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233,233</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13,366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13,720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increase in revenues for 2010 compared to 2009 was primarily due to a 7% increase in the number of transactions processed for 2010 compared to 2009, driven by an 18% increase in transfers from non-U.S. markets. For 2010, money transfers to Mexico, which represented 21% of total money transfers, decreased by 8%, while transfers to all other countries increased 11% when compared to the prior year, primarily due to the expansion of our correspondent payout networks and agent networks in non-U.S. markets. The decline in transfers to Mexico was largely the result of downturns in certain labor markets and other economic factors impacting the U.S. market, as well as immigration developments in the U.S.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per transaction were $11.59 for 2010 compared to $12.19 for 2009. The decrease was largely the result of marginally lower spreads on foreign currency exchange margins and slightly lower average amount transferred per transaction in 2010 compared to 2009. These decreases were partly offset by the continued shift in transaction mix to non-U.S. locations, which generally have higher-than-average revenues per transaction. For 2010, 59% of our money transfers were initiated in the U.S. and 41% in non-U.S. markets. For 2009, 63% of our money transfers were initiated in the U.S. and 37% in non-U.S.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The increase in direct operating costs in 2010 compared to 2009 is primarily due to the growth in the number of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was $130.7 million for 2010 compared to gross profit of $123.0 million for 2009. This improvement is primarily due to the growth in the number of money transfers, the shift in transaction mix to transfers from non-U.S. sources and the addition of new products. Gross margin remained flat at 53% for 2010 and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salaries and benefits for 2010 compared to 2009 is primarily due to the increased expenses we incurred to support expansion of our operations, primarily internationally. As a percentage of revenues, salaries and benefits increased to 24.2% for 2010 from 23.3% for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Selling, general and administrative expenses include operations support costs, such as rent, utilities, professional fees, indirect telecommunications, advertising and other miscellaneous overhead costs. The decrease in selling, general and administrative expenses for 2010 compared to 2009 is primarily the result of our ability to leverage fixed operating costs while expanding the business, primarily internationally, and decreased legal fees. As a percentage of revenues, selling, general and administrative expenses decreased to 15.4% for 2010 from 16.6% for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Depreciation and amortization primarily represents amortization of acquired intangibles and also includes depreciation of money transfer terminals, computers and software, leasehold improvements and office equipment. The decrease in depreciation and amortization for 2010 compared to 2009 is due to the impact of the stronger U.S. dollar, partly offset by capital expenditures for expansion. Significant capital expenditures have not been required due to the shift in achieving expansion more through agents which requires fewer capital expenditures than expansion from adding company stores. As a percentage of revenues, depreciation and amortization decreased to 8.4% for 2010 from 8.8% for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increase in operating income for 2010 compared to 2009 is mainly due to the goodwill and acquired intangible impairment charge in 2009 discussed below. Excluding this charge, operating income increased 40% in 2010 compared to 2009, which is the result of growth in the number of transactions processed, the shift in transaction mix to transfers from non-U.S. markets, the addition of new products and the leveraging of fixed costs, partly offset by increased salaries and benefits expenses to expand internationally. Operating margin, excluding the goodwill and acquired intangible assets impairment charge, increased to 5.5%</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2010 from 4.1% for 2009.</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2011, 2010 and 2009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2011 Increase</w:t>
            </w:r>
          </w:p>
        </w:tc>
        <w:tc>
          <w:tcPr>
            <w:tcW w:w="11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2010 Decrease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19,998</w:t>
            </w:r>
          </w:p>
        </w:tc>
        <w:tc>
          <w:tcPr>
            <w:tcW w:w="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15,587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16,226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7,557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7,398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27,898</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21,956</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25,017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Overall, operating expenses for Corporate Services increased 27% for 2011 compared to 2010. The increase in salaries and benefits is primarily the result of an increase in bonus expense due to improved full year expectations and an increase in share-based compensation expense. The increase in selling, general and administrative expenses is due mainly to higher professional fees for legal expense and tax consulting. The decrease in depreciation and amortization for 2011 compared to 2010 is primarily due to a three-year enterprise-wide desktop license becoming fully depreciated in May of 2010.</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expenses for Corporate Services decreased by 12% for 2010 compared to 2009. The decrease in salaries and benefits for 2010 compared to 2009 is primarily the result of lower incentive compensation accruals, partly offset by higher share-based compensation and salaries. The decrease in selling, general and administrative expenses for 2010 compared to 2009 is due primarily to lower legal, audit and acquisition-related professional fees. The decrease in corporate depreciation and amortization for 2010 compared to 2009 is the result of a three-year enterprise-wide desk-top license becoming fully depreciated in May of 2010.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gridSpan w:val="2"/>
          </w:tcPr>
          <w:p>
            <w:pPr>
              <w:jc w:val="center"/>
              <w:ind w:left="114"/>
              <w:spacing w:after="0" w:line="153"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(21,385)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(20,447)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Gain on settlements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ind w:left="6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Gain on sale of investment securities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21"/>
                <w:szCs w:val="21"/>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ind w:left="6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3,943</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(20,287)</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(15,092)</w:t>
            </w:r>
          </w:p>
        </w:tc>
        <w:tc>
          <w:tcPr>
            <w:tcW w:w="220" w:type="dxa"/>
            <w:vAlign w:val="bottom"/>
          </w:tcPr>
          <w:p>
            <w:pPr>
              <w:spacing w:after="0"/>
              <w:rPr>
                <w:sz w:val="22"/>
                <w:szCs w:val="22"/>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ind w:left="6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interest income for 2011 from 2010 is primarily due to increased interest rates in Australia and Poland and the impact of the September 2010 acquisition of epay Brazil, which earns interest on cash collateral for bank guarantees. There were no significant changes in interest income for 2010 from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increase in interest expense for 2011 from 2010 is primarily related to interest expense on letter of credit fees incurred by epay Brazil. The decrease in interest expense for 2010 from 2009 is primarily due to the lower interest rates paid on floating-rate debt and reductions in average amounts outstanding under the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our 49% investment in Euronet Middle East and our 47% investment in Euronet Indonesia. The increase in income for 2011 from 2010 is primarily the result of higher profitability of epay Malaysia and Euronet Middle East. Additionally, during 2010, we made a loan to Euronet Indonesia which caused us to recognize previous unrecognized losses as our investment had been fully written off due to losses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2011, Euronet recorded $1.0 million from the settlement of a class action lawsuit related to losses on MoneyGram, Inc. stock we formerly held.</w:t>
      </w:r>
    </w:p>
    <w:p>
      <w:pPr>
        <w:spacing w:after="0" w:line="1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2010, we reached a settlement regarding a dispute with the sellers of Ria Envia, Inc. ("Ria"). We received 226,634 shares of Euronet stock that had been held in escrow related to the Ria acquisition. The $3.5 million fair value of the shares on the date of the settlement was recorded as an addition to treasury stock and $3.1 million, net of settlement costs, was recorded as a non-operating gain.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2011, we entered into an amended and expanded credit facility and recorded a $1.7 million loss primarily related to the write-off of deferred financing costs associated with the extinguished credit facility. Also during 2011, we repurchased $3.6 million principal amount of our 3.5% convertible debentures and recognized a $0.2 million loss representing the difference in the amounts paid for the convertible debentures over their carrying amounts.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a net foreign currency exchange loss of $1.7 million and $7.6 million in 2011 and 2010, respectively, compared to a net foreign currency gain of $3.9 million in 2009.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2009</w:t>
            </w: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62,792</w:t>
            </w:r>
          </w:p>
        </w:tc>
        <w:tc>
          <w:tcPr>
            <w:tcW w:w="5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(15,018)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57,173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(24,704)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(22,899)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(25,836)</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38,088</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(37,917)</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31,337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3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62,792</w:t>
            </w:r>
          </w:p>
        </w:tc>
        <w:tc>
          <w:tcPr>
            <w:tcW w:w="5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(15,018)</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57,173</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Adjust: Foreign currency exchange gain (loss), net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(7,648)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3,943</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(70,925)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(9,884)</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Adjust: Gain on settlements</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3,110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Loss on early retirement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Adjust: Gain on sale of investment securities</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1,751</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 as adjusted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65,353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60,445</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61,617</w:t>
            </w: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(24,704)</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(22,899)</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(25,836)</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Adjust: Income tax (expense) benefit attributable to foreign currency exchange gain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6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297"/>
        </w:trPr>
        <w:tc>
          <w:tcPr>
            <w:tcW w:w="6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(24,969)</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(22,896)</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(25,807)</w:t>
            </w:r>
          </w:p>
        </w:tc>
      </w:tr>
      <w:tr>
        <w:trPr>
          <w:trHeight w:val="251"/>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calculate our effective tax rate by dividing income tax expense by pre-tax book income. Our effective tax rates were 39.3%, (152.5)% and 45.2% for the years ended December 31, 2011, 2010 and 2009, respectively. There are several factors that have caused our effective tax rates to fluctuate over the past three years. The most significant of these factors include the Company's tax position in the U.S., the impact of foreign currency exchange translation results, the impairments for goodwill and acquired intangible assets recorded in 2010 and 2009, the gain on settlements recorded in 2011 and 2010, the losses on early retirement of debt recorded in 2011 and 2009 and the gain related to investment securities recorded in 2009. Excluding these items from pre-tax income, as well as the related tax effects for these items, our effective tax rates were 38.2%, 37.9% and 41.9% for the years ended December 31, 2011, 2010 and 2009, respectively.</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increase in the effective tax rate, as adjusted, for 2011 compared to the applicable statutory rate of 35% is primarily related to our U.S. tax position. For the year ended December 31, 2011,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for this period. The effective tax rate, as adjusted, remains largely unchanged for 2011 compared to 2010 primarily due to the implementation of tax planning initiatives, foreign country tax return true-ups and a shift in our mix of income to lower tax rate countries.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adjusted effective tax rate for 2010 compared to 2009 is primarily due to a $1.0 million adjustment to the valuation allowance and tax contingency accrual related to deferred tax assets generated from prior U.S. net operating losses, a $0.8 million tax benefit related to a foreign tax law change recorded in 2010 and a $0.9 million reduction in unrecognized tax benefits for 2010.</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conclusions, or should management become aware of new facts or other evidence that could alter our conclusions, the resulting impact to our estimates could have a material adverse effect to our consolidated financial statements.</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NET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fourth quarter of 2009, we sold Euronet Essentis Limited (“Essentis”), a U.K. software entity, for $6.5 million. This resulted in an after-tax gain of $0.2 million which is included in discontinued operations, net in the Consolidated Statements of Operations. Essentis' results of operations for 2009 are also shown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attributable to noncontrolling interests was $1.1 million, $0.5 million and $1.5 million for 2011, 2010 and 2009, respectively. Noncontrolling interests represents the elimination of net income or loss attributable to the minority shareholders’ portion of the following consolidated subsidiaries that are not wholly owned: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e-pay SRL</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ATX</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Euronet Services LLC</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Russia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income attributable to Euronet Worldwide, Inc. was $37.0 million for 2011 compared to a net loss of $38.4 million for 2010 and net income of $30.3 million for 2009. As more fully discussed above, the increase of $75.4 million for 2011 as compared to 2010 was mainly the result of the $73.9 million improvement in operating income in 2011, primarily due to the $70.9 million goodwill impairment charge in 2010. Additionally, foreign currency exchange loss decreased $6.0 million and net interest expense decreased $1.6 million. These increases to net income were partly offset by a $2.1 million decrease in settlement gains, a $1.9 million loss on early retirement of debt, and an increase in income tax expense of $1.8 million. Other items decreased net income by $0.3 million during 2011 compared to 2010.</w:t>
      </w:r>
    </w:p>
    <w:p>
      <w:pPr>
        <w:spacing w:after="0" w:line="8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decrease of $68.7 million in 2010 compared to 2009 was mainly the result of the $67.0 million decrease in operating income, primarily due to the $61.0 million greater goodwill and acquired intangible assets impairment charge in 2010 than in 2009. Additionally, foreign currency exchange loss increased $11.6 million, while net interest expense decreased $5.3 million, income tax expense decreased $2.9 million and other items increased net income by $1.7 million.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(loss).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recorded a gain (loss) on translation adjustment of $(26.7) million, $(16.0) million and $29.2 million in 2011, 2010 and 2009, respectively. In the latter half of 2009, the U.S. dollar weakened against most European-based currencies, primarily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euro and British pound, resulting in translation gains which were recorded in comprehensive income (loss). During 2010 and 2011, the U.S. dollar strengthened compared to certain currencies and weakened compared to others and the net results were translation losses in both 2010 and 2011, which were recorded in comprehensive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December 31, 2011, we had negative working capital, which is calculated as the difference between total current assets and total current liabilities, of $20.5 million, compared to working capital of $156.7 million as of December 31, 2010. Our ratio of current assets to current liabilities was 0.97 as of December 31, 2011, compared to 1.27 as of December 31, 2010. The decrease in working capital was primarily due to the recording of our 3.50% convertible bonds as current liabilities as of December 31, 2011, as the date of the initial put option held by the bondholders is October 15, 2012.</w:t>
      </w:r>
    </w:p>
    <w:p>
      <w:pPr>
        <w:spacing w:after="0" w:line="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December 31, 2011, working capital in the Money Transfer Segment was $82.2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majority of our cash and cash equivalents are held in jurisdictions outside of the U.S. and expected to be indefinitely reinvested for continued use in foreign operations. Repatriation of these assets to the U.S. could have negative tax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flows provided by operating activities were $99.3 million for 2011 compared to $108.1 million for 2010. The decrease is mainly due to fluctuations in working capital primarily associated with the timing of the settlement processes with mobile operators in the epay Segment and with correspondents in the Money Transfer Segment, partly offset by improved operating results as adjusted for non-cash charges.</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Cash flows provided by operating activities were $108.1 million for 2010, compared to $96.1 million for 2009. The increase was primarily the result of lesser amounts paid to acquire certain customer contracts in 2010 than in 2009, as well as improved operating results as adjusted for non-cash charges.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Cash flows used in investing activities were $124.1 million for 2011, compared to $55.4 million for 2010. Purchases of property and equipment were $46.0 million and $29.2 million for 2011 and 2010, respectively. Cash used for acquisitions in 2011 was $78.7 million compared to $24.4 million for 2010. Cash used for software development and long-term assets totaled $3.2 million for 2011 and $4.1 million for 2010. Other investing activities consist mainly of proceeds from the sale of property and equipment of $4.8 million and $2.3 million for 2011 and 2010, respectively.</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used in investing activities were $55.4 million for 2010, compared to $39.8 million for 2009. Our investing activities include $33.3 million and $35.0 million for the purchase of property and equipment, software development and other long-term assets in 2010 and 2009, respectively. Our acquisitions used $24.4 million and $17.2 million in 2010 and 2009, respectively. Our investing activities for 2009 included $7.1 million in proceeds from the sale of Essentis and $3.0 million from the sale of MoneyGram common stock. Proceeds from the sale of property and equipment were $2.3 million each for 2010 and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Cash flows used in financing activities were $13.9 million during 2011 compared to $44.8 million during 2010. Our financing activities for 2011 centered around the amendment of our credit facility which resulted in net borrowings of $36.6 million compared to net repayments of debt obligations of</w:t>
      </w:r>
    </w:p>
    <w:p>
      <w:pPr>
        <w:ind w:right="40"/>
        <w:spacing w:after="0" w:line="273" w:lineRule="auto"/>
        <w:rPr>
          <w:sz w:val="20"/>
          <w:szCs w:val="20"/>
          <w:color w:val="auto"/>
        </w:rPr>
      </w:pPr>
      <w:r>
        <w:rPr>
          <w:rFonts w:ascii="Arial" w:cs="Arial" w:eastAsia="Arial" w:hAnsi="Arial"/>
          <w:sz w:val="17"/>
          <w:szCs w:val="17"/>
          <w:color w:val="auto"/>
        </w:rPr>
        <w:t>$45.2 million for 2010.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of this and the credit facility amendment, during 2011 we had a total of $529.3 million in borrowings and $442.1 million in repayments under our revolving credit facility. During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2011, we borrowed $80.0 million of long-term debt from our new term loan, used $128.0 million for repayments of debt obligations, $3.5 million for debt issuance costs and $2.6 million for repayments of capital lease obligations. Further, we used $16.0 million for the repurchase of shares during 2011. Additionally, we received cash of $2.4 million and $2.1 million from the issuance of shares in 2011 and 2010, respectively. During 2011, we paid $5.5 million in settlement of contingent consideration amounts recorded at the time of two different acquisitions. We paid $1.1 million of dividends to noncontrolling interests stockholders during 2011. We also received a $0.6 million equity contribution in 2011 from the noncontrolling interest stockholder of our Pakistan subsidiary.</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Cash flows used in financing activities were $44.8 million during 2010, compared to $57.5 million during 2009. Our financing activities consisted primarily of net repayments of debt obligations of $45.2 million and $56.0 million for 2010 and 2009, respectively. During 2010, we had net repayments of borrowings under our revolving credit facility of $39.2 million while we had net borrowings of $22.3 million during 2009. During 2010 and 2009, we repurchased $1.2 million and $68.8 million, respectively, in principal amount of our 1.625% convertible debentures for $1.2 million and $68.0 million in cash, respectively. Further, we paid $2.0 million in 2010 and $3.0 million in 2009 on our term loan. Additionally, we paid $2.8 million and $7.2 million of capital lease obligations during 2010 and 2009, respectively. We also paid $2.2 million of dividends to holders of noncontrolling interests in both 2010 and 2009. Other financing activities for 2009 included $1.6 million of debt issuance costs related to the amendment to our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$355 million senior secured credit facility (the "Credit Facility") consisting of a $265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$265 million revolving credit facility contains a $200 million sublimit for the issuance of letters of credit and a $25 million sublimit for swingline loans.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$205 million by requesting additional commitments from existing or new lenders. 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five years from the closing date, at which time the outstanding principal balance and all accrued interest will be due and payable in full.</w:t>
      </w:r>
    </w:p>
    <w:p>
      <w:pPr>
        <w:spacing w:after="0" w:line="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December 31, 2011, we had borrowings of $79.0 million outstanding under the term loan. We had $87.2 million of borrowings and $35.3 million of stand-by letters of credit outstanding under the revolving credit facility as of December 31, 2011. The remaining $152.5 million under the revolving credit facility was available for borrowing. As of December 31, 2011, our weighted average interest rate was 2.3% under the term loan and 2.8% under the revolving credit facility, excluding amortization of deferred financing costs.</w:t>
      </w:r>
    </w:p>
    <w:p>
      <w:pPr>
        <w:spacing w:after="0" w:line="7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2011 were primarily comprised of the $165.2 million carrying value ($171.4 million in principal amount) of the 3.50% convertible debentures because the initial put option occurs on October 15, 2012 (see description below). Additionally, we have $4.5 million of payments due in 2012 under the term loan. Certain of our subsidiaries also have available credit lines and overdraft facilities to supplement short-term working capital requirements, when necessary, and there were $1.0 million outstanding under these facilities as of December 31, 2011.</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$171.4 million in principal amount of our 3.50% Convertible Debentures Due 2025 are convertible into 4.2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 These terms and other material terms and conditions applicable to the convertible debentures are set forth in the indenture agreement governing the debentures.</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Should holders of the 3.50% convertible debentures require us to repurchase their debentures on October 15, 2012, we believe we will have sufficient cash on hand and amounts available under our revolving credit facility to fund these required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repurchases as well as our other current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Debt and equity repurchases</w:t>
      </w:r>
      <w:r>
        <w:rPr>
          <w:rFonts w:ascii="Arial" w:cs="Arial" w:eastAsia="Arial" w:hAnsi="Arial"/>
          <w:sz w:val="18"/>
          <w:szCs w:val="18"/>
          <w:color w:val="auto"/>
        </w:rPr>
        <w:t xml:space="preserve"> — In August 2011, our Board of Directors authorized the repurchase of any of our convertible debentures and up to $100 million or 5 million shares of our Common Stock. During 2011, we repurchased $16.0 million of our Common Stock and $3.6 million principal value of our convertible debentures. We expect to repurchase additional securities when prices provide attractive returns on capital.</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During 2011, we paid $6.4 million to the sellers of Telecomnet, Inc. and another smaller business in final settlement of the respective contingent consideration.</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net assets acquired in the September 2011 acquisition of cadooz include a liability for additional purchase price consideration based upon the level of revenue achieved by one of cadooz's subsidiaries for the three-year period ending in February 2014.</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2011 were $50.6 million. These capital expenditures were primarily for the purchase of ATMs to meet contractual requirements in Poland, India and China,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2012 are currently estimated to be approximately $40 million to $50 million.</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133,000 of the approximately 615,000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Australia epay business has recently experienced year-over-year declines in the number of transactions it processes, which has reduced its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Continued economic and competitive pressures in Australia may negatively impact the epay Segment's profitability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20, Guarantees,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360,602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184,933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23,070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152,599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116,457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29,172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47,264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27,777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12,244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489,942</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221,564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74,465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181,522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purposes of the above table, our $171.4 million convertible debentures issued in October 2005 are considered due during 2012, representing the first year in which holders have the right to exercise their put option. Additionally, the above table only includes interest payments on these convertible debentures up to this date. We assume that the $87.2 million outstanding under the revolving credit facility as of December 31, 2011 will remain outstanding through its maturity. The computation of interest for debt obligations with variable interest rates reflects interest rates in effect at December 31, 2011. For additional information on debt obligations, see Note 10, Debt Obligations, to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primarily consist of ATM machines, services and maintenance as well as telecommunications services.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total liability for uncertain tax positions under Accounting Standards Codification (“ASC”) 740-10-25 and 30 was $12.0 million as of December 31, 2011. We are not able to reasonably estimate the amount by which the liability will increase or decrease over time; however, at this time, we do not expect a significant payment related to these obligations within the next year. See Note 13, Taxes, to the consolidated financial statements for additional information.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operations effect is generally derived from changes in deferred income taxes, net of valuation allowances, on the balance sheet as measured by differences in the book and tax bases of our assets and liabilities.</w:t>
      </w:r>
    </w:p>
    <w:p>
      <w:pPr>
        <w:spacing w:after="0" w:line="1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$130.0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partially offset by a valuation allowance of $84.6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21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2011.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acquisition purchase price to the tangible and intangible assets acquired and liabilities assumed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2011, the Consolidated Balance Sheet includes goodwill of $488.6 million and acquired intangible assets, net of accumulated amortization, of $99.9 million.</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on an annual basis, and whenever events or circumstances dictate, we test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As a result of our annual impairment test for the year ended December 31, 2010, we recorded non-cash goodwill impairment charges of $70.9 million. See Note 8, Goodwill and Acquired Intangible Assets, Net, to the consolidated financial statements for additional information regarding these charges. Our annual impairment tests for the years ended December 31, 2011 and 2009 indicated that there were no impairments. Determining the fair value of reporting units requires significant management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determinations take place.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accordance with ASC Topic 350,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605-45, ASC 605-25 and various other interpretations.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the Company.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Statements contained in this filing that relate to the future resolution of matters relating to the security breach are forward-looking statements. Euronet's actual results may vary materially from those anticipated in such forward-looking statements as a result of a number of factors, including the following: the amount of actual losses or liabilities that will be asserted by card associations are currently unknown and may be larger than would be anticipated; other costs, penalties and fines incurred by the Company may be greater than would be anticipated; the Company's insurance coverage may be insufficient to cover all costs, losses and liabilities; and the Company may suffer harm to its reputation and existing and prospective customer relationships as a result of the security breach.</w:t>
      </w:r>
    </w:p>
    <w:p>
      <w:pPr>
        <w:spacing w:after="0" w:line="19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We do not intend, and do not undertake, any obligation to update any forward looking statements to reflect future events or circumstances after the date of such statements.</w:t>
      </w:r>
    </w:p>
    <w:p>
      <w:pPr>
        <w:spacing w:after="0" w:line="174"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i w:val="1"/>
          <w:iCs w:val="1"/>
          <w:color w:val="auto"/>
        </w:rPr>
        <w:t>Interest rate risk</w:t>
      </w:r>
    </w:p>
    <w:p>
      <w:pPr>
        <w:ind w:right="120"/>
        <w:spacing w:after="0" w:line="293" w:lineRule="auto"/>
        <w:rPr>
          <w:sz w:val="20"/>
          <w:szCs w:val="20"/>
          <w:color w:val="auto"/>
        </w:rPr>
      </w:pPr>
      <w:r>
        <w:rPr>
          <w:rFonts w:ascii="Arial" w:cs="Arial" w:eastAsia="Arial" w:hAnsi="Arial"/>
          <w:sz w:val="16"/>
          <w:szCs w:val="16"/>
          <w:color w:val="auto"/>
        </w:rPr>
        <w:t>As of December 31, 2011, our total debt outstanding was $338.8 million. Of this amount, $165.2 million, or 49% of our total debt obligations, relates to contingent convertible debentures having a fixed coupon rate. Our $171.4 million principal amount of contingent convertible debentures, issued in October 2005, accrue cash interest at a rate of 3.50% of the principal amount per annum. Based on quoted market prices, as of December 31, 2011, the fair value of our fixed rate convertible debentures was $170.6 million, compared to a carrying value of $165.2 million. Interest expense for these debentures, including accretion and amortization of deferred debt issuance costs, has a weighted average interest rate of 8.9% annually. Additionally, approximately $6.4 million, or 2% of our total debt obligations, relates to capitalized leases with fixed payment and interest terms that expire between 2012 and 2015.</w:t>
      </w:r>
    </w:p>
    <w:p>
      <w:pPr>
        <w:spacing w:after="0" w:line="5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remaining $167.2 million, or 49% of our total debt obligations, relates to debt that accrues interest at variable rates. If we were to maintain these borrowings for one year and maximize the potential borrowings available under the revolving credit facility for one year, a 1% increase in the applicable interest rate would result in additional interest expense to the Company of approximately $3.2 million.</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years ended December 31, 2011 and 2010, 80% and 78%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December 31, 2011, we estimate that a 10% fluctuation in these foreign currency exchange rates would have the combined annualized effect on reported net income and working capital of approximately $25 million to $35 million. This effect is estimated by applying a 10% adjustment factor to our non-U.S. dollar results from operations, intercompany loans that generate foreign currency gains or losses and working capital balances that require translation from the respective functional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$45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December 31, 2011, we had foreign currency forward contracts outstanding with a notional value of $67.8 million, primarily in euros and U.S. dollars, that were not designated as hedges and mature in a weighted average of 3.8 days. The fair value of these forward contracts as of December 31, 2011 was an unrealized loss of $0.1 million, which was partially offset by the unrealized gain on the related foreign currency receivables.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2011 and 2010, and the related consolidated statements of operations, comprehensive income (loss), changes in equity, and cash flows for each of the years in the three-year period ended December 31, 2011. We also have audited the Company's internal control over financial reporting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2011 and 2010, and the results of their operations and their cash flows for each of the years in the three-year period ended December 31, 2011, in conformity with U.S. generally accepted accounting principles. Also in our opinion, Euronet Worldwide, Inc. and subsidiaries maintained, in all material respects, effective internal control over financial reporting as of December 31, 2011,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discussed in note 3 to the consolidated financial statements, effective October 1, 2011, the Company elected to present comprehensive income and its components in two separate, consecutive statements.</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125" w:right="1440"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170,663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187,235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108,717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97,225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$14,787 at December 31, 2011 and $14,924 at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2010</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349,543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288,765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46,072</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728,014</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$175,875 at December 31, 2011 and $166,094 at December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31, 2010</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102,900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91,527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445,713</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$129,119 at December 31, 2011 and $109,726 at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99,878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95,819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$19,529 at December 31, 2011 and $20,805 at December 31, 2010</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48,299</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1,506,329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1,409,372</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324,466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216,794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218,006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170,654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10,775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774,486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571,360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161,694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286,105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21,958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8,709</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979,584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890,495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51,982,227 issued at December 31, 2011 and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51,462,195 issued at December 31, 2010</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752,209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7"/>
              </w:rPr>
              <w:t>Treasury stock, at cost, 1,543,441 shares at December 31, 2011 and 482,839 shares at December 31, 2010</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(241,511)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5,122</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520,435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512,611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6,266</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526,745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518,877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1,506,329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1,409,372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9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96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r>
      <w:tr>
        <w:trPr>
          <w:trHeight w:val="378"/>
        </w:trPr>
        <w:tc>
          <w:tcPr>
            <w:tcW w:w="71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1,161,304</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1,038,269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1,032,694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740,729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675,571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678,370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129,447</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112,507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92,624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86,705</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9,884</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56,023</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1,082,167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1,033,000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960,429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72,265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3,943</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62,792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57,173</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38,088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31,337</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38,088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31,812</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97"/>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36,961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(38,372)</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30,317</w:t>
            </w:r>
          </w:p>
        </w:tc>
      </w:tr>
      <w:tr>
        <w:trPr>
          <w:trHeight w:val="23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 stockholders — basic</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0.59</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97"/>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r>
      <w:tr>
        <w:trPr>
          <w:trHeight w:val="122"/>
        </w:trPr>
        <w:tc>
          <w:tcPr>
            <w:tcW w:w="7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50,944,349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50,857,182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50,486,705</w:t>
            </w:r>
          </w:p>
        </w:tc>
      </w:tr>
      <w:tr>
        <w:trPr>
          <w:trHeight w:val="23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 stockholders —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0.58</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97"/>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0.59</w:t>
            </w:r>
          </w:p>
        </w:tc>
      </w:tr>
      <w:tr>
        <w:trPr>
          <w:trHeight w:val="122"/>
        </w:trPr>
        <w:tc>
          <w:tcPr>
            <w:tcW w:w="7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64"/>
        </w:trPr>
        <w:tc>
          <w:tcPr>
            <w:tcW w:w="710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51,729,513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50,857,182</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51,482,723</w:t>
            </w:r>
          </w:p>
        </w:tc>
      </w:tr>
      <w:tr>
        <w:trPr>
          <w:trHeight w:val="20"/>
        </w:trPr>
        <w:tc>
          <w:tcPr>
            <w:tcW w:w="7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9"/>
        </w:trPr>
        <w:tc>
          <w:tcPr>
            <w:tcW w:w="8460" w:type="dxa"/>
            <w:vAlign w:val="bottom"/>
            <w:gridSpan w:val="3"/>
          </w:tcPr>
          <w:p>
            <w:pPr>
              <w:ind w:left="3360"/>
              <w:spacing w:after="0"/>
              <w:rPr>
                <w:sz w:val="20"/>
                <w:szCs w:val="20"/>
                <w:color w:val="auto"/>
              </w:rPr>
            </w:pPr>
            <w:r>
              <w:rPr>
                <w:rFonts w:ascii="Arial" w:cs="Arial" w:eastAsia="Arial" w:hAnsi="Arial"/>
                <w:sz w:val="18"/>
                <w:szCs w:val="18"/>
                <w:color w:val="auto"/>
                <w:w w:val="96"/>
              </w:rPr>
              <w:t>See accompanying notes to the consolidated 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7100" w:type="dxa"/>
            <w:vAlign w:val="bottom"/>
          </w:tcPr>
          <w:p>
            <w:pPr>
              <w:ind w:left="562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Unrealized gain on interest rate swaps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Reclassification adjustment related to sale of investment securities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29,894</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57"/>
        </w:trPr>
        <w:tc>
          <w:tcPr>
            <w:tcW w:w="7440" w:type="dxa"/>
            <w:vAlign w:val="bottom"/>
          </w:tcPr>
          <w:p>
            <w:pPr>
              <w:ind w:left="60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60,233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4"/>
                <w:szCs w:val="1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2008</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50,380,837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479,352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2009</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50,860,189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372,648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Dispute settlement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(226,634)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2010</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50,979,356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752,209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50,438,786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766,221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Restricted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Reserve</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2008</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495,910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31,812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29,894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2009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566,503</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(37,917)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Dispute settlement</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Balance as of December 31, 2010</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518,877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(26,714)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shares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526,745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00"/>
          </w:cols>
          <w:pgMar w:left="240" w:top="125" w:right="9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2009</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38,088</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(37,917)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57,496</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55,881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9,294</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7,850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on dispute settlement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(3,110)</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70,925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on sale of investment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retirement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(4,079)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8,833</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11,124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(5,621)</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(28,591)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78,283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764</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(22,756)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8,024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(16,518)</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9,165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68,611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(2,766)</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(19,216)</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(4,432)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99,306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108,086</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(24,418)</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(29,199)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(33,072)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(4,055)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sale of investment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net assets of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2,300</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2,353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(124,064)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(55,372)</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2,116</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144,800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(442,111)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(183,972)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(495,618)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(3,227)</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(71,029)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Cash dividends paid to noncontrolling interests stockholders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(2,224)</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576</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(44,774)</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(4,233)</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3,707</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Cash and cash equivalents at beginning of period (includes cash of discontinued operations of</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$552 in 2009)</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187,235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183,528</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181,893</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170,663</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187,235</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183,528</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11,594</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32,944</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28,482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30,378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9019"/>
          </w:cols>
          <w:pgMar w:left="1440" w:top="125" w:right="1440"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The Company's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Inventory - PINs and other is valued at the lower of cost or fair market value and represents primarily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POS terminals, mobile phone handsets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ATMs held by the Company for resale.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ASC Topic 350 requires that the Company test for impairment on an annual basis and whenever events or circumstances dictate.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See Note 8, Goodwill and Acquired Intangible Assets, Net, for information regarding impairment charges recorded for the years ended December 31, 2010 and 2009.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determinations take place.</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350, intangible assets with finite lives are amortized over their estimated useful lives. Unless otherwise noted, amortization is calculated using the straight-line method over the estimated useful lives of the assets as follows:</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6 - 12 years</w:t>
            </w:r>
          </w:p>
        </w:tc>
      </w:tr>
    </w:tbl>
    <w:p>
      <w:pPr>
        <w:spacing w:after="0" w:line="229" w:lineRule="exact"/>
        <w:rPr>
          <w:sz w:val="20"/>
          <w:szCs w:val="20"/>
          <w:color w:val="auto"/>
        </w:rPr>
      </w:pPr>
    </w:p>
    <w:p>
      <w:pPr>
        <w:jc w:val="both"/>
        <w:ind w:right="440"/>
        <w:spacing w:after="0" w:line="277" w:lineRule="auto"/>
        <w:rPr>
          <w:sz w:val="20"/>
          <w:szCs w:val="20"/>
          <w:color w:val="auto"/>
        </w:rPr>
      </w:pPr>
      <w:r>
        <w:rPr>
          <w:rFonts w:ascii="Arial" w:cs="Arial" w:eastAsia="Arial" w:hAnsi="Arial"/>
          <w:sz w:val="18"/>
          <w:szCs w:val="18"/>
          <w:color w:val="auto"/>
        </w:rPr>
        <w:t>See Note 8, Goodwill and Acquired Intangible Assets, Net, for additional information regarding ASC Topic 350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Other assets include deferred financing costs,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are being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Euronet's investments in affiliates, related to the Company's 40% investment in epay Malaysia and 49% investment in Euronet Middle East were $7.5 million and $5.8 million as of December 31, 2011 and 2010, respectively. Undistributed earnings in these affiliates as of December 31, 2011 and 2010 were $6.3 million and $5.1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debentures</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Company accounts for its convertible debt instruments that may be settled in cash upon conversion according to ASC 470-20-30-22,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accounts for noncontrolling interests in its consolidated financial statements according to ASC 810-10-45-16, which requires noncontrolling interests to be reported as a component of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most identifiable assets, liabilities, noncontrolling interests and goodwill acquired in a business combination to be recorded at “full fair value” at the acquisition date. Additionally, ASC Topic 805 requires transaction-related costs to be expensed in the period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accordance with ASC 740-10-25 and 30, the Company's policy is to record estimated interest and penalties related to the underpayment of income taxes as income tax expense in the Consolidated Statements of Operations. See Note 13, Taxes, for further discussion regarding these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regarding fair value measurements for assets and liabilities. ASC Topic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accounts for derivative instruments and hedging activities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the notional value of money transfer settlement assets and liabilities in currencies other than the U.S. dollar. These contracts are considered derivative instruments under the provisions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ASC Topic 815; however, the Company does not designate such instruments as hedges for accounting purposes. Accordingly, changes in the value of these contracts are recognized immediately as a component of foreign currency exchange gain (loss), net in the Consolidated Statements of Operations. The impact of changes in value of these contracts, together with the impact of the change in value of the related foreign currency denominated settlement asset or liability, on the Company's Consolidated Statements of Operations and Consolidated Balance Sheets is not significant.</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flows resulting from derivative instruments are classified as cash flows from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u w:val="single" w:color="auto"/>
          <w:color w:val="auto"/>
        </w:rPr>
        <w:t>EFT Processing</w:t>
      </w:r>
      <w:r>
        <w:rPr>
          <w:rFonts w:ascii="Arial" w:cs="Arial" w:eastAsia="Arial" w:hAnsi="Arial"/>
          <w:sz w:val="16"/>
          <w:szCs w:val="16"/>
          <w:color w:val="auto"/>
        </w:rPr>
        <w:t xml:space="preserve"> - Revenues in the EFT Processing Segment are primarily derived from transaction and management fees from owned and outsourced ATM, POS and card processing networks and from the sale of EFT software solutions for electronic payment and transaction delivery systems.</w:t>
      </w:r>
    </w:p>
    <w:p>
      <w:pPr>
        <w:spacing w:after="0" w:line="12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985-605-15 and ASC 605-25. ASC 985-605-15 generally requires revenue earned on software arrangements involving multiple elements to be allocated to each element based on the relative fair values of those elements.</w:t>
      </w:r>
    </w:p>
    <w:p>
      <w:pPr>
        <w:spacing w:after="0" w:line="18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percentage-of-completion method, following the guidance in ASC 605-35, as prescribed by ASC 985-605-15. Software maintenance revenue is recognized over the contractual period or as the maintenance-related service is performed. Revenue from the sale of hardware is generally recognized when title passes to the customer. Revenue in excess of billings on software licensing agreements was $0.8 million and $0.9 million as of December 31, 2011 and 2010, and is recorded in prepaid expenses and other current assets. Billings in excess of revenue on software license agreements was $2.3 million and $2.4 million as of December 31, 2011 and 2010, respectively, and is recorded as deferred revenue until such time the revenue recognition criteria are met.</w:t>
      </w:r>
    </w:p>
    <w:p>
      <w:pPr>
        <w:spacing w:after="0" w:line="16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605-45, commissions received are recognized as revenue during the period in which the Company provides the service. The portion of the commission that is paid to retailers is generally recorded as a direct operating cost. However, in circumstances where the Company has no influence over the commission paid to the retailers, those commissions are recorded as a reduction of revenue. In distributing certain products, the Company is the primary obligor in the arrangements; accordingly, the gross sales value of the products are recorded as revenue and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605-45, revenues for money transfer and other services represent a transaction fee in addition to a margin earned from purchasing currency at wholesale exchange rates and selling the currency to consumers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Computer software to be sold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applies ASC Topic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and ASC 985-20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(see Note 18,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Capitalized software costs are included in other assets and are amortized on a product-by-product basis, equal to the greater of the amount computed using (i) the ratio that current gross revenues for a product bear to the total of current and anticipated future gross revenues for that product or (ii) the straight-line method over the remaining estimated economic life of the product, generally three years at inception. Amortization commences when the product is available for general release to customers.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u w:val="single" w:color="auto"/>
          <w:color w:val="auto"/>
        </w:rPr>
        <w:t>Software for 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also develops software for internal use. These software development costs, as well as costs incurred for significant enhancements and upgrades, are capitalized based upon ASC 350-40.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annual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June 2011, the FASB issued Accounting Standards Update ("ASU")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Under ASU 2011-05, an entity has the option to present the total of comprehensive income, the components of net income, and the components of other comprehensive income</w:t>
      </w:r>
    </w:p>
    <w:p>
      <w:pPr>
        <w:ind w:right="40"/>
        <w:spacing w:after="0" w:line="253" w:lineRule="auto"/>
        <w:rPr>
          <w:sz w:val="20"/>
          <w:szCs w:val="20"/>
          <w:color w:val="auto"/>
        </w:rPr>
      </w:pPr>
      <w:r>
        <w:rPr>
          <w:rFonts w:ascii="Arial" w:cs="Arial" w:eastAsia="Arial" w:hAnsi="Arial"/>
          <w:sz w:val="18"/>
          <w:szCs w:val="18"/>
          <w:color w:val="auto"/>
        </w:rPr>
        <w:t>either in a single continuous statement of comprehensive income or in two separate but consecutive statements. ASU 2011-05 eliminates the option to present the components of other comprehensive income as part of the statement of changes in stockholders’ equity. The requirements apply to both annual and interim financial statements and should be applied retrospectively. ASU 2011-05 is effective for public entities for fiscal years beginning after December 15, 2011 with early adoption permitted. The Company adopted ASU 2011-05 effective October 1, 2011 and elected to present comprehensive income and its components in two separate, consecutive statements.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September 2011, the FASB issued ASU 2011-08, </w:t>
      </w:r>
      <w:r>
        <w:rPr>
          <w:rFonts w:ascii="Arial" w:cs="Arial" w:eastAsia="Arial" w:hAnsi="Arial"/>
          <w:sz w:val="18"/>
          <w:szCs w:val="18"/>
          <w:i w:val="1"/>
          <w:iCs w:val="1"/>
          <w:color w:val="auto"/>
        </w:rPr>
        <w:t>Intangibles - Goodwill and Other (Topic 350): Testing Goodwill for Impairment</w:t>
      </w:r>
      <w:r>
        <w:rPr>
          <w:rFonts w:ascii="Arial" w:cs="Arial" w:eastAsia="Arial" w:hAnsi="Arial"/>
          <w:sz w:val="18"/>
          <w:szCs w:val="18"/>
          <w:color w:val="auto"/>
        </w:rPr>
        <w:t>. ASU 2011-08 permits an entity to make a qualitative assessment of whether it is more likely than not that a reporting unit's fair value is less than its carrying amount before applying the two-step goodwill impairment test. If an entity concludes that it is not more likely than not that the fair value of a reporting unit is less than its carrying amount, it would not be required to perform the two-step impairment test for that reporting unit. The qualitative assessment is applicable to the annual test of goodwill impairment as well as determining if an interim test of goodwill impairment is necessary. ASU 2011-08 is effective for public entities for fiscal years beginning after December 15, 2011 with early adoption permitted. The adoption of ASU 2011-08 is not expected to materially affect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For the year ended December 31, 2010, the Company incurred a net loss; therefore, diluted loss per share is the same as basic loss per share. The following table provides the computation of diluted weighted average number of common shares outstanding for the years ended December 31, 2011 and December 31, 2009:</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50,944,349</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50,486,705</w:t>
            </w:r>
          </w:p>
        </w:tc>
      </w:tr>
      <w:tr>
        <w:trPr>
          <w:trHeight w:val="27"/>
        </w:trPr>
        <w:tc>
          <w:tcPr>
            <w:tcW w:w="8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785,164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996,018</w:t>
            </w:r>
          </w:p>
        </w:tc>
      </w:tr>
      <w:tr>
        <w:trPr>
          <w:trHeight w:val="257"/>
        </w:trPr>
        <w:tc>
          <w:tcPr>
            <w:tcW w:w="878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51,729,513</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51,482,723</w:t>
            </w:r>
          </w:p>
        </w:tc>
      </w:tr>
      <w:tr>
        <w:trPr>
          <w:trHeight w:val="20"/>
        </w:trPr>
        <w:tc>
          <w:tcPr>
            <w:tcW w:w="8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for the years ended December 31, 2011, 2010 and 2009 of approximately 1,956,000, 4,973,000 and 1,730,000, respectively.</w:t>
      </w:r>
    </w:p>
    <w:p>
      <w:pPr>
        <w:spacing w:after="0" w:line="25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The Company has convertible debentures that, if converted, would have a potentially dilutive effect on the Company’s stock. As required by ASC Topic 260, </w:t>
      </w: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outstanding 3.50% debentures are convertible into 4.2 million shares of Common Stock only upon the occurrence of certain conditions. Under the if-converted method, the assumed conversion of the 3.50% debentures was anti-dilutive for the years ended December 31, 2011, 2010 and 2009. The Company’s remaining 1.625% convertible debentures outstanding were repurchased in January 2010 and the assumed conversion of the then-outstanding debentures was anti-dilutive for the years ended December 31, 2010 and 2009.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ASC Topic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Acquisitions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16, 2011, the Company acquired all the common stock of cadooz Holding GmbH and its wholly owned operating subsidiaries ("cadooz"), which added additional product offerings to the Company's epay operations in Europe. The purchase price of approximately $54.7 million was paid from cash on hand. Part of the net assets acquired includes a liability for additional purchase price consideration based upon the level of revenue achieved by one of cadooz's subsidiaries for the three-year period ending in February 2014. Additionally, $4.1 million in cash is being held in escrow to secure certain obligations of the sellers under the Sale and Purchase Agreement. The valuation of cadooz's net assets acquired remains preliminary while management completes its valuation, particularly the valuation of acquired intangible assets and the valuation of deferred revenue, which is a significant aspect of cadooz's business.</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December 2011, the Company acquired Smart PayNetwork SA, an ATM and card processing company in Romania, for $18.3 million in cash. In November 2011, the Company acquired an integrated network of ATMs in Poland, known as cash4you, for $5.3 million in cash. In June 2011, the Company also acquired the net assets of a Canada-based check-cashing company for approximately $3.4 million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respective acquisition dates:</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2"/>
              </w:rPr>
              <w:t>Estimated</w:t>
            </w:r>
          </w:p>
        </w:tc>
        <w:tc>
          <w:tcPr>
            <w:tcW w:w="800" w:type="dxa"/>
            <w:vAlign w:val="bottom"/>
          </w:tcPr>
          <w:p>
            <w:pPr>
              <w:spacing w:after="0"/>
              <w:rPr>
                <w:sz w:val="14"/>
                <w:szCs w:val="14"/>
                <w:color w:val="auto"/>
              </w:rPr>
            </w:pPr>
          </w:p>
        </w:tc>
      </w:tr>
      <w:tr>
        <w:trPr>
          <w:trHeight w:val="192"/>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CCEEFF"/>
            </w:tcBorders>
            <w:gridSpan w:val="2"/>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28,292</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840" w:type="dxa"/>
            <w:vAlign w:val="bottom"/>
            <w:gridSpan w:val="3"/>
          </w:tcPr>
          <w:p>
            <w:pPr>
              <w:jc w:val="center"/>
              <w:ind w:right="230"/>
              <w:spacing w:after="0"/>
              <w:rPr>
                <w:sz w:val="20"/>
                <w:szCs w:val="20"/>
                <w:color w:val="auto"/>
              </w:rPr>
            </w:pPr>
            <w:r>
              <w:rPr>
                <w:rFonts w:ascii="Arial" w:cs="Arial" w:eastAsia="Arial" w:hAnsi="Arial"/>
                <w:sz w:val="18"/>
                <w:szCs w:val="18"/>
                <w:color w:val="auto"/>
                <w:w w:val="91"/>
              </w:rPr>
              <w:t>3 years - Indefinite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6,938</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88"/>
              </w:rPr>
              <w:t>8 - 12 years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26,104</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1840" w:type="dxa"/>
            <w:vAlign w:val="bottom"/>
            <w:gridSpan w:val="3"/>
          </w:tcPr>
          <w:p>
            <w:pPr>
              <w:jc w:val="center"/>
              <w:ind w:right="250"/>
              <w:spacing w:after="0"/>
              <w:rPr>
                <w:sz w:val="20"/>
                <w:szCs w:val="20"/>
                <w:color w:val="auto"/>
              </w:rPr>
            </w:pPr>
            <w:r>
              <w:rPr>
                <w:rFonts w:ascii="Arial" w:cs="Arial" w:eastAsia="Arial" w:hAnsi="Arial"/>
                <w:sz w:val="18"/>
                <w:szCs w:val="18"/>
                <w:color w:val="auto"/>
                <w:w w:val="89"/>
              </w:rPr>
              <w:t>10 - 20 years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2,122</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88"/>
              </w:rPr>
              <w:t>3 years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56,855</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Fair value of assets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120,764</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(28,118)</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Deferred income tax liability</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(7,267)</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r>
      <w:tr>
        <w:trPr>
          <w:trHeight w:val="25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assets acquired</w:t>
            </w:r>
          </w:p>
        </w:tc>
        <w:tc>
          <w:tcPr>
            <w:tcW w:w="16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81,620</w:t>
            </w:r>
          </w:p>
        </w:tc>
      </w:tr>
      <w:tr>
        <w:trPr>
          <w:trHeight w:val="20"/>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Acquisitions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1, 2010, the Company acquired 98.8% of the common stock of Telecomnet, Inc. and its wholly owned Brazilian operating subsidiary, which expanded the Company's epay operations into South America. The purchase price of approximately $44.5 million consisted of $39.5 million paid from cash on hand and $5.0 million fair value of contingent consideration at the date of acquisition. Pursuant to the terms of the Share Purchase and Sale Agreement, the Company was required to pay the sellers additional consideration based upon the level of earnings achieved by Telecomnet, Inc. for 2010. During the fourth quarter of 2010, the Company recorded an additional $0.7 million to record the contingent consideration at fair value which was charged to selling, general and administrative expenses. As of October 29, 2010, the Company executed a short-form merger, which effectively increased its ownership percentage to 100%.</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third quarter of 2010, the Company also acquired the net assets of a U.S.-based money transfer company for approximately $1.0 million in cash. The following table summarizes the fair values of the acquired net assets at the respective acquisition dates:</w:t>
      </w:r>
    </w:p>
    <w:p>
      <w:pPr>
        <w:spacing w:after="0" w:line="31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92"/>
              </w:rPr>
              <w:t>Estimated</w:t>
            </w:r>
          </w:p>
        </w:tc>
        <w:tc>
          <w:tcPr>
            <w:tcW w:w="860" w:type="dxa"/>
            <w:vAlign w:val="bottom"/>
          </w:tcPr>
          <w:p>
            <w:pPr>
              <w:spacing w:after="0"/>
              <w:rPr>
                <w:sz w:val="14"/>
                <w:szCs w:val="14"/>
                <w:color w:val="auto"/>
              </w:rPr>
            </w:pPr>
          </w:p>
        </w:tc>
      </w:tr>
      <w:tr>
        <w:trPr>
          <w:trHeight w:val="19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40" w:type="dxa"/>
            <w:vAlign w:val="bottom"/>
            <w:tcBorders>
              <w:bottom w:val="single" w:sz="8" w:color="CCEEFF"/>
            </w:tcBorders>
            <w:gridSpan w:val="2"/>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33,831</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620" w:type="dxa"/>
            <w:vAlign w:val="bottom"/>
            <w:gridSpan w:val="3"/>
          </w:tcPr>
          <w:p>
            <w:pPr>
              <w:jc w:val="center"/>
              <w:ind w:right="370"/>
              <w:spacing w:after="0"/>
              <w:rPr>
                <w:sz w:val="20"/>
                <w:szCs w:val="20"/>
                <w:color w:val="auto"/>
              </w:rPr>
            </w:pPr>
            <w:r>
              <w:rPr>
                <w:rFonts w:ascii="Arial" w:cs="Arial" w:eastAsia="Arial" w:hAnsi="Arial"/>
                <w:sz w:val="18"/>
                <w:szCs w:val="18"/>
                <w:color w:val="auto"/>
                <w:w w:val="89"/>
              </w:rPr>
              <w:t>3 - 5 years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2,412</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CCEEFF"/>
            </w:tcBorders>
            <w:gridSpan w:val="3"/>
            <w:shd w:val="clear" w:color="auto" w:fill="CCEEFF"/>
          </w:tcPr>
          <w:p>
            <w:pPr>
              <w:jc w:val="center"/>
              <w:ind w:right="370"/>
              <w:spacing w:after="0"/>
              <w:rPr>
                <w:sz w:val="20"/>
                <w:szCs w:val="20"/>
                <w:color w:val="auto"/>
              </w:rPr>
            </w:pPr>
            <w:r>
              <w:rPr>
                <w:rFonts w:ascii="Arial" w:cs="Arial" w:eastAsia="Arial" w:hAnsi="Arial"/>
                <w:sz w:val="18"/>
                <w:szCs w:val="18"/>
                <w:color w:val="auto"/>
                <w:w w:val="88"/>
              </w:rPr>
              <w:t>8 years</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8,802</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1620" w:type="dxa"/>
            <w:vAlign w:val="bottom"/>
            <w:gridSpan w:val="3"/>
          </w:tcPr>
          <w:p>
            <w:pPr>
              <w:jc w:val="center"/>
              <w:ind w:right="370"/>
              <w:spacing w:after="0"/>
              <w:rPr>
                <w:sz w:val="20"/>
                <w:szCs w:val="20"/>
                <w:color w:val="auto"/>
              </w:rPr>
            </w:pPr>
            <w:r>
              <w:rPr>
                <w:rFonts w:ascii="Arial" w:cs="Arial" w:eastAsia="Arial" w:hAnsi="Arial"/>
                <w:sz w:val="18"/>
                <w:szCs w:val="18"/>
                <w:color w:val="auto"/>
                <w:w w:val="88"/>
              </w:rPr>
              <w:t>2 years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620" w:type="dxa"/>
            <w:vAlign w:val="bottom"/>
            <w:tcBorders>
              <w:bottom w:val="single" w:sz="8" w:color="CCEEFF"/>
            </w:tcBorders>
            <w:gridSpan w:val="3"/>
            <w:shd w:val="clear" w:color="auto" w:fill="CCEEFF"/>
          </w:tcPr>
          <w:p>
            <w:pPr>
              <w:jc w:val="center"/>
              <w:ind w:right="370"/>
              <w:spacing w:after="0"/>
              <w:rPr>
                <w:sz w:val="20"/>
                <w:szCs w:val="20"/>
                <w:color w:val="auto"/>
              </w:rPr>
            </w:pPr>
            <w:r>
              <w:rPr>
                <w:rFonts w:ascii="Arial" w:cs="Arial" w:eastAsia="Arial" w:hAnsi="Arial"/>
                <w:sz w:val="18"/>
                <w:szCs w:val="18"/>
                <w:color w:val="auto"/>
                <w:w w:val="88"/>
              </w:rPr>
              <w:t>2 years</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27,965</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37"/>
        </w:trPr>
        <w:tc>
          <w:tcPr>
            <w:tcW w:w="8380" w:type="dxa"/>
            <w:vAlign w:val="bottom"/>
            <w:gridSpan w:val="2"/>
          </w:tcPr>
          <w:p>
            <w:pPr>
              <w:ind w:left="160"/>
              <w:spacing w:after="0"/>
              <w:rPr>
                <w:sz w:val="20"/>
                <w:szCs w:val="20"/>
                <w:color w:val="auto"/>
              </w:rPr>
            </w:pPr>
            <w:r>
              <w:rPr>
                <w:rFonts w:ascii="Arial" w:cs="Arial" w:eastAsia="Arial" w:hAnsi="Arial"/>
                <w:sz w:val="18"/>
                <w:szCs w:val="18"/>
                <w:color w:val="auto"/>
              </w:rPr>
              <w:t>Fair value of assets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74,861</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(24,548)</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Deferred income tax liability</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(3,747)</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57"/>
        </w:trPr>
        <w:tc>
          <w:tcPr>
            <w:tcW w:w="8380" w:type="dxa"/>
            <w:vAlign w:val="bottom"/>
            <w:gridSpan w:val="2"/>
          </w:tcPr>
          <w:p>
            <w:pPr>
              <w:ind w:left="160"/>
              <w:spacing w:after="0"/>
              <w:rPr>
                <w:sz w:val="20"/>
                <w:szCs w:val="20"/>
                <w:color w:val="auto"/>
              </w:rPr>
            </w:pPr>
            <w:r>
              <w:rPr>
                <w:rFonts w:ascii="Arial" w:cs="Arial" w:eastAsia="Arial" w:hAnsi="Arial"/>
                <w:sz w:val="18"/>
                <w:szCs w:val="18"/>
                <w:color w:val="auto"/>
              </w:rPr>
              <w:t>Net assets acquired</w:t>
            </w:r>
          </w:p>
        </w:tc>
        <w:tc>
          <w:tcPr>
            <w:tcW w:w="128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45,432</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acquisitions during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third quarter of 2010, the Company reached a settlement regarding a dispute with the sellers of Ria Envia, Inc. (“Ria”). The Company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2011 and 2010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89,188</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19,529</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108,717</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in the epay Segment. Amounts collected on behalf of certain mobile phone operators are deposited into a restricted cash account. The bank credit arrangements primarily represent cash collateral on deposit with commercial banks to cover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2011 and 2010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92,227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49,494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43,618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40,523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88,327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81,253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278,775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257,621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(166,094)</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102,900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91,527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2011, 2010 and 2009 was $35.4 million, $31.8 million and $30.4 million,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2011 and 2010: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2010</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95,041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11,232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41,839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228,997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129,119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205,545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109,726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2010 and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617,598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2010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37,704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(19,655)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541,532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2011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85,471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99,878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488,628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588,506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performs its annual goodwill impairment test during the fourth quarter of each year and the results of the tests completed in the fourth quarter of 2011 and 2009 resulted in no impairment charges.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a result of the 2010 annual goodwill impairment test, the Company recorded a non-cash goodwill impairment charge of $70.9 million. The results from the fourth quarter 2010 test reflected continuing declines in profitability for certain reporting units of the epay Segment in Central and Western Europe. While these decreases were primarily driven by general economic conditions in the respective markets, recent developments led the Company to conclude that its ability to recover from these declines would be more difficult for its epay reporting units in the U.K., Spain and Romania. The U.K. reporting unit primarily provides prepaid mobile airtime top-up services in a mature market with limited growth for these services and at the end of 2010 had experienced protracted declines in the volume of transactions processed. While new product offerings in the U.K. provided a significant opportunity, the dependence on top-up services was expected to hamper the unit's overall growth. In Spain, the general economic conditions led the Company to conclude that the profitability of its Spanish epay unit would grow more slowly and take longer to recover than its other European epay units. Finally, while the operating results of the Romanian epay unit improved during 2010, the unit had recently experienced strong pressure on its gross margins. In light of these developments, during the fourth quarter of 2010, the Company recorded goodwill impairment charges of $58.2 million related to the U.K., $11.2 million related to Spain and $1.5 million related to Romania. 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fourth quarter 2008, the Company recorded an estimated goodwill impairment charge related to the Ria money transfer business acquired in April 2007. During the first quarter of 2009, the Company completed the measurement of the impairment loss and recorded an additional $8.8 million non-cash charge. In a related assessment in accordance with ASC 360-10-35, it was determined that certain intangible assets of the Ria money transfer business were impaired and the Company recorded an estimated impairment charge in 2008 related to those assets. In the first quarter of 2009, the Company recorded an additional $1.1 million non-cash impairment charge related to a money transfer intangible asset.</w:t>
      </w:r>
    </w:p>
    <w:p>
      <w:pPr>
        <w:spacing w:after="0" w:line="17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Of the total goodwill balance of $488.6 million as of December 31, 2011, $237.0 million relates to the Money Transfer Segment, $218.4 million relates to the epay Segment and the remaining $33.2 million relates to the EFT Processing Segment. Amortization expense for intangible assets with finite lives was $22.2 million, $23.2 million and $23.3 million for the years ended December 31, 2011, 2010 and 2009, respectively. Estimated annual amortization expense, before income taxes, on intangible assets with finite lives as of December 31, 2011, is expected to total $21.9 million for 2012, $17.4 million for 2013, $14.8 million for 2014, $9.6 million for 2015 and $8.0 million for 2016.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2011 and 2010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55,601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Accrued amounts due to mobile operators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113,377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131,194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216,794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218,006</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 obligations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$1.0 million and $0.6 million of short-term debt obligations outstanding as of December 31, 2011 and 2010, respectively, with a weighted average interest rate of 7.3% and 5.9%,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161,005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Term loan, due 2016</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Term loan, due 2014</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127,000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288,005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Less current maturities of long-term debt obligations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(169,673)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161,694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286,105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18, 2011, the Company and certain of its subsidiaries entered into an Amended and Restated Credit Agreement (the "Credit Agreement") with a lending syndicate consisting of nine banks (the "Lenders") with Bank of America, N.A. serving as Administrative Agent and Collateral Agent and U.S. Bank National Association serving as Syndication Agent. Under the Credit Agreement, the Lenders have made available a $355 million senior secured credit facility (the "Credit Facility") consisting of a $265 million five-year revolving credit facility, a $10 million five-year India revolving credit facility and an $80 million five-year term loan which was fully drawn at closing. The revolving credit facility allows for borrowings in U.S. dollars, euro, British pound sterling, Australian dollars and/or Indian rupees. The Credit Agreement amends and extends the credit agreement dated as of April 4, 2007 and all subsequent amendments thereto, which consisted of a $100 million revolving line of credit and $126 million outstanding term loan maturing April 2012 and 2014, respectively.</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$265 million revolving credit facility contains a $200 million sublimit for the issuance of letters of credit and a $25 million sublimit for swingline loans. Subject to certain conditions, the Company has the option to increase the Credit Facility by up to an additional $205 million by requesting additional commitments from existing or new lenders. Fees and interest on borrowings vary based upon the Company's consolidated total leverage ratio (as defined in the Credit Agreement) and will be based, in the case of letter of credit fees, on a margin, and in the case of interest, on a margin over London Inter-Bank Offered Rate (“LIBOR”) or a margin over the base rate, as selected by the Company, with the applicable margin ranging from 1.5% to 2.5% (or 0.5% to 1.5% for base rate loans). The base rate is the highest of (i) the Bank of America prime rate, (ii) the Federal Funds rate plus 0.50% or (iii) the Fixed LIBOR rate plus 1.00%. The term loan is subject to scheduled quarterly amortization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payments, as set forth in the Credit Agreement. The maturity date for the Credit Facility is five years from the closing date, at which time the outstanding principal balance and all accrued interest will be due and payable in full. The weighted average interest rate of the Company's borrowings was 2.8% under the revolving credit facility and 2.3% under the term loan as of December 31, 2011. Financing costs of $4.4 million have been deferred and are being amortized over the terms of the respective loans and $1.7 million were written off and included in loss on early retirement of debt in the Consolidated Statement of Operations.</w:t>
      </w:r>
    </w:p>
    <w:p>
      <w:pPr>
        <w:spacing w:after="0" w:line="8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Credit Agreement contains customary affirmative and negative covenants, events of default and financial covenants, including (all as defined in the Credit Agreement): (i) a Consolidated Total Leverage Ratio not to exceed 4.0 to 1.0; (ii) a Consolidated Senior Secured Leverage Ratio not to exceed 3.0 to 1.0; and (iii) a Consolidated Fixed Charge Coverage Ratio of not less than 1.5 to 1.0. Subject to meeting certain leverage ratio and liquidity requirements (as defined in the Credit Agreement), the Company is permitted to pay dividends, repurchase common stock and repurchase subordinated debt.</w:t>
      </w:r>
    </w:p>
    <w:p>
      <w:pPr>
        <w:spacing w:after="0" w:line="4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4, 2005, the Company completed the sale of $175.0 million of 3.50% Contingent Convertible Debentures Due 2025 (“Convertible Debentures”). The Convertible Debentures have an interest rate of 3.50% per annum payable semi-annually in April and October, and are convertible into shares of Euronet Common Stock at a conversion price of $40.48 per share if certain conditions are met (relating to the closing prices of Euronet Common Stock exceeding certain thresholds for specified periods). The Convertible Debentures may not be redeemed by the Company until October 20, 2012 but are redeemable at any time thereafter at par. Holders of the Convertible Debentures have the option to require the Company to purchase their debentures at par on October 15, 2012, 2015 and 2020, or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is being amortized over seven years,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 replacements, renewals or refinancings thereof, including with different lenders and in higher amounts) and will rank equally in right of payment with all other existing and future unsecured obligations and senior in right of payment to all future subordinated indebtedness. The Convertible Debentures will be effectively subordinated to any existing and future secured indebtedness, with respect to any collateral securing such indebtedness and all liabilities of Euronet's subsidiaries. The Convertible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2011, the Company repurchased $3.6 million in principal amount of the 3.50% convertible debentures which resulted in a loss on early retirement of debt of $0.2 million. The 3.50% convertible debentures had principal amounts outstanding of $171.4 million and $175.0 million and unamortized discounts outstanding of $6.3 million and $14.0 million as of December 31, 2011 and 2010, respectively. The discount will be amortized through October 15, 2012. Contractual interest expense was $6.1 million for each of the years ended December 31, 2011, 2010 and 2009. Discount accretion was $7.6 million, $7.1 million and $6.5 million for the years ended December 31, 2011, 2010 and 2009, respectively. The effective interest rate was 8.4% for the years ended December 31, 2011, 2010 and 2009.</w:t>
      </w:r>
    </w:p>
    <w:p>
      <w:pPr>
        <w:spacing w:after="0" w:line="19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December 15, 2004, the Company completed the sale of $140.0 million of 1.625% Contingent Convertible Senior Debentures Due 2024 (“Convertible Senior Debentures”). During the year ended December 31, 2009, the Company repurchased in privately negotiated transactions $25.8 million in principal amount of the Convertible Senior Debentures which resulted in $0.2 million in pre-tax losses on early retirement of debt, net of the write-off of unamortized debt issuance costs. Effective December 15, 2009, most of the holders of the Convertible Senior Debentures exercised their option to require the Company to purchase their debentures at par and $43.0 million in principal amount were purchased. The Company elected to redeem the remaining$1.2 million of outstanding debentures at par in January 2010, along with accrued interest at the rate of 1.625% per annum. Contractual interest expense and discount accretion for the 1.625% convertible debentures was $1 thousand for the year ended December 31, 2010 and $3.4 million for the year ended December 31, 2009. The effective interest rate was 1.625% for the year ended December 31, 2010 and 7.1% for the year ended December 31, 2009.</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2011, the Company had $87.2 million in borrowings and $35.3 million in stand-by letters of credit/bank guarantees outstanding against the revolving credit facility. As of December 31, 2010, the Company had no borrowings and $41.7 million in stand-by letters of credit/bank guarantees outstanding against the revolving credit facility. Stand-by letters of credit/bank guarantees are generally used to secure trade credit and performance obligations. The Company pays an interest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rate for stand-by letters of credit/bank guarantees at a rate that adjusts each quarter based upon the Company's consolidated total leverage ratio. At December 31, 2011, the stand-by letter of credit interest charges were 2.0% per annum. Because the revolving credit agreements expire beyond one year, the borrowings were classified as long-term debt obligations in the Consolidated Balance Sheets.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2011, aggregate annual maturities of long-term debt are $175.9 million in 2012, $6.5 million in 2013, $8.5 million in 2014, $11.5 million in 2015 and $135.2 million in 2016. This maturity schedule reflects the term loan and revolving credit facilities maturing in 2016 and the 3.5% Convertible Debentures maturing in 2012, coinciding with the terms of the initial put option by the holders of the debentures.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of December 31, 2011 and 2010, the Company had foreign currency forward contracts outstanding with a notional value of $67.8 million and $63.3 million, respectively, primarily in euros and U.S. dollars, which were not designated as hedges and had a weighted average remaining maturity of 3.8 days and 5.3 days, respectively. Although the Company enters into foreign currency forward contracts to offset foreign currency exposure related to the notional value of money transfer transactions collected in currencies other than the U.S. dollar, they are not designated as hedges under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w:t>
      </w:r>
      <w:r>
        <w:rPr>
          <w:rFonts w:ascii="Arial" w:cs="Arial" w:eastAsia="Arial" w:hAnsi="Arial"/>
          <w:sz w:val="18"/>
          <w:szCs w:val="18"/>
          <w:color w:val="auto"/>
        </w:rPr>
        <w:t>. This is mainly due to the relatively short duration of the contracts, typically 1 to 14 days, and the frequency with which the Company enters</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them. Due to the short duration of the contracts and the Company’s credit profile, the Company is generally not required to post collateral with respect to its foreign currency forward contracts.</w:t>
      </w:r>
    </w:p>
    <w:p>
      <w:pPr>
        <w:spacing w:after="0" w:line="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the fair value of the embedded derivative is recorded in the Consolidated Balance Sheets.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$50.0 million to manage interest rate exposure related to a portion of the term loan. The interest rate swap agreements were determined to be cash flow hedges and effectively converted $50.0 million of the existing term loan to a fixed interest rate of 7.3% through the May 2009 maturity date of the swap agreements. The swap agreements required no payment by either party at their maturities.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4"/>
                <w:szCs w:val="14"/>
                <w:b w:val="1"/>
                <w:bCs w:val="1"/>
                <w:color w:val="auto"/>
                <w:w w:val="92"/>
              </w:rPr>
              <w:t>Instruments as of</w:t>
            </w:r>
          </w:p>
        </w:tc>
        <w:tc>
          <w:tcPr>
            <w:tcW w:w="0" w:type="dxa"/>
            <w:vAlign w:val="bottom"/>
          </w:tcPr>
          <w:p>
            <w:pPr>
              <w:spacing w:after="0"/>
              <w:rPr>
                <w:sz w:val="1"/>
                <w:szCs w:val="1"/>
                <w:color w:val="auto"/>
              </w:rPr>
            </w:pPr>
          </w:p>
        </w:tc>
      </w:tr>
      <w:tr>
        <w:trPr>
          <w:trHeight w:val="153"/>
        </w:trPr>
        <w:tc>
          <w:tcPr>
            <w:tcW w:w="5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13"/>
                <w:szCs w:val="13"/>
                <w:color w:val="auto"/>
              </w:rPr>
            </w:pPr>
          </w:p>
        </w:tc>
        <w:tc>
          <w:tcPr>
            <w:tcW w:w="100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Sheet Location</w:t>
            </w: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5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Derivatives not designated as hedging instruments under ASC Topic 815</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4"/>
          </w:tcPr>
          <w:p>
            <w:pPr>
              <w:jc w:val="center"/>
              <w:ind w:right="176"/>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Other long-term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vMerge w:val="restart"/>
          </w:tcPr>
          <w:p>
            <w:pPr>
              <w:jc w:val="right"/>
              <w:ind w:right="1090"/>
              <w:spacing w:after="0"/>
              <w:rPr>
                <w:sz w:val="20"/>
                <w:szCs w:val="20"/>
                <w:color w:val="auto"/>
              </w:rPr>
            </w:pPr>
            <w:r>
              <w:rPr>
                <w:rFonts w:ascii="Arial" w:cs="Arial" w:eastAsia="Arial" w:hAnsi="Arial"/>
                <w:sz w:val="18"/>
                <w:szCs w:val="18"/>
                <w:color w:val="auto"/>
                <w:w w:val="89"/>
              </w:rPr>
              <w:t>86</w:t>
            </w: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6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9"/>
          </w:tcPr>
          <w:p>
            <w:pPr>
              <w:jc w:val="center"/>
              <w:ind w:right="214"/>
              <w:spacing w:after="0"/>
              <w:rPr>
                <w:sz w:val="20"/>
                <w:szCs w:val="20"/>
                <w:color w:val="auto"/>
              </w:rPr>
            </w:pPr>
            <w:r>
              <w:rPr>
                <w:rFonts w:ascii="Arial" w:cs="Arial" w:eastAsia="Arial" w:hAnsi="Arial"/>
                <w:sz w:val="14"/>
                <w:szCs w:val="14"/>
                <w:b w:val="1"/>
                <w:bCs w:val="1"/>
                <w:color w:val="auto"/>
                <w:w w:val="92"/>
              </w:rPr>
              <w:t>Amount of Gain (Loss) Recognized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left="248"/>
              <w:spacing w:after="0"/>
              <w:rPr>
                <w:sz w:val="20"/>
                <w:szCs w:val="20"/>
                <w:color w:val="auto"/>
              </w:rPr>
            </w:pPr>
            <w:r>
              <w:rPr>
                <w:rFonts w:ascii="Arial" w:cs="Arial" w:eastAsia="Arial" w:hAnsi="Arial"/>
                <w:sz w:val="14"/>
                <w:szCs w:val="14"/>
                <w:b w:val="1"/>
                <w:bCs w:val="1"/>
                <w:color w:val="auto"/>
                <w:w w:val="94"/>
              </w:rPr>
              <w:t>in Income on Derivative</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8"/>
          </w:tcPr>
          <w:p>
            <w:pPr>
              <w:jc w:val="center"/>
              <w:ind w:left="248"/>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52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Recognized in Income</w:t>
            </w: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2009</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on Derivative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Derivatives not designated as hedging instruments under ASC Topic 815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0"/>
              </w:rPr>
              <w:t>Foreign currency exchange gain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0"/>
                <w:szCs w:val="20"/>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1"/>
              </w:rPr>
              <w:t>(loss), net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0"/>
                <w:szCs w:val="20"/>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Foreign currency exchange gain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(loss), net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14"/>
          </w:tcPr>
          <w:p>
            <w:pPr>
              <w:jc w:val="center"/>
              <w:spacing w:after="0"/>
              <w:rPr>
                <w:sz w:val="20"/>
                <w:szCs w:val="20"/>
                <w:color w:val="auto"/>
              </w:rPr>
            </w:pPr>
            <w:r>
              <w:rPr>
                <w:rFonts w:ascii="Arial" w:cs="Arial" w:eastAsia="Arial" w:hAnsi="Arial"/>
                <w:sz w:val="14"/>
                <w:szCs w:val="14"/>
                <w:b w:val="1"/>
                <w:bCs w:val="1"/>
                <w:color w:val="auto"/>
                <w:w w:val="94"/>
              </w:rPr>
              <w:t>Amount of Gain Recognized in OCI on Derivative (Effective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6"/>
              </w:rPr>
              <w:t>Portion)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6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394"/>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5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ASC Topic 815 Cash Flow Hedging Relationships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720" w:type="dxa"/>
            <w:vAlign w:val="bottom"/>
          </w:tcPr>
          <w:p>
            <w:pPr>
              <w:ind w:left="180"/>
              <w:spacing w:after="0"/>
              <w:rPr>
                <w:sz w:val="20"/>
                <w:szCs w:val="20"/>
                <w:color w:val="auto"/>
              </w:rPr>
            </w:pPr>
            <w:r>
              <w:rPr>
                <w:rFonts w:ascii="Arial" w:cs="Arial" w:eastAsia="Arial" w:hAnsi="Arial"/>
                <w:sz w:val="18"/>
                <w:szCs w:val="18"/>
                <w:color w:val="auto"/>
              </w:rPr>
              <w:t>Interest rate swaps related to floating rate debt</w:t>
            </w:r>
          </w:p>
        </w:tc>
        <w:tc>
          <w:tcPr>
            <w:tcW w:w="2640" w:type="dxa"/>
            <w:vAlign w:val="bottom"/>
            <w:gridSpan w:val="4"/>
          </w:tcPr>
          <w:p>
            <w:pPr>
              <w:jc w:val="right"/>
              <w:ind w:right="728"/>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4"/>
          </w:tcPr>
          <w:p>
            <w:pPr>
              <w:ind w:left="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17, Fair Value Measurements, for the determination of the fair values of derivatives.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2012 and 2015 and bear interest at rates between 3.2% and 26.2%.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gross amount of the ATMs and computer equipment and related accumulated amortization recorded within property and equipment and subject to capital leases as of December 31, 2011 and 2010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29,866</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444</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30,310</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(20,998)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9,312</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Non-cash financing and investing activities for the years ended December 31, 2011, 2010 and 2009 represented </w:t>
      </w:r>
      <w:r>
        <w:rPr>
          <w:rFonts w:ascii="Arial" w:cs="Arial" w:eastAsia="Arial" w:hAnsi="Arial"/>
          <w:sz w:val="18"/>
          <w:szCs w:val="18"/>
          <w:b w:val="1"/>
          <w:bCs w:val="1"/>
          <w:color w:val="auto"/>
        </w:rPr>
        <w:t>c</w:t>
      </w:r>
      <w:r>
        <w:rPr>
          <w:rFonts w:ascii="Arial" w:cs="Arial" w:eastAsia="Arial" w:hAnsi="Arial"/>
          <w:sz w:val="18"/>
          <w:szCs w:val="18"/>
          <w:color w:val="auto"/>
        </w:rPr>
        <w:t>apital lease obligations of $4.6 million, $1.4 million and $0.7 million, respectively, incurred when the Company entered into leases primarily for new ATMs, to upgrade ATMs or for data center computer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non-cancelable operating leases that expire between 2012 and 2021. Rent expense for the years ended December 31, 2011, 2010 and 2009 amounted to $40.4 million, $30.3 million and $25.6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29,172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26,044</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21,220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16,498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11,279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12,244</w:t>
            </w:r>
          </w:p>
        </w:tc>
      </w:tr>
      <w:tr>
        <w:trPr>
          <w:trHeight w:val="297"/>
        </w:trPr>
        <w:tc>
          <w:tcPr>
            <w:tcW w:w="8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6,909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116,457</w:t>
            </w: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tax assets and liabilities are determined based on the taxable temporary differences between the financial statement and tax bases of assets and liabilities as measured by the enacted tax rates which will be in effect when these differences reverse. Deferred tax benefit (expense) is generally the result of changes in the assets and liabilities for deferred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2011, 2010 and 2009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(9,300)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36,611</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Asia Pacific</w:t>
            </w: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57,173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Europe</w:t>
            </w:r>
          </w:p>
        </w:tc>
        <w:tc>
          <w:tcPr>
            <w:tcW w:w="2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57"/>
        </w:trPr>
        <w:tc>
          <w:tcPr>
            <w:tcW w:w="5200" w:type="dxa"/>
            <w:vAlign w:val="bottom"/>
          </w:tcPr>
          <w:p>
            <w:pPr>
              <w:ind w:left="280"/>
              <w:spacing w:after="0"/>
              <w:rPr>
                <w:sz w:val="20"/>
                <w:szCs w:val="20"/>
                <w:color w:val="auto"/>
              </w:rPr>
            </w:pPr>
            <w:r>
              <w:rPr>
                <w:rFonts w:ascii="Arial" w:cs="Arial" w:eastAsia="Arial" w:hAnsi="Arial"/>
                <w:sz w:val="18"/>
                <w:szCs w:val="18"/>
                <w:color w:val="auto"/>
              </w:rPr>
              <w:t>Total income (loss) before income taxes</w:t>
            </w:r>
          </w:p>
        </w:tc>
        <w:tc>
          <w:tcPr>
            <w:tcW w:w="224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62,792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58,395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120" w:type="dxa"/>
            <w:vAlign w:val="bottom"/>
            <w:vMerge w:val="restart"/>
          </w:tcPr>
          <w:p>
            <w:pPr>
              <w:jc w:val="right"/>
              <w:ind w:right="14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income tax expense for the years ended December 31, 2011, 2010 and 2009 attributable to continuing operations consisted of the following:</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28,396</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26,577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29,559</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(3,723)</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25,836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differences that caused Euronet's effective income tax rates related to continuing operations to vary from the federal statutory rate applicable to our U.S tax profile, which was 35% for 2011, 2010 and 2009,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2009</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U.S. federal income tax expense (benefit) at applicable statutory rate</w:t>
            </w:r>
          </w:p>
        </w:tc>
        <w:tc>
          <w:tcPr>
            <w:tcW w:w="22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21,977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20,010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647</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4,785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3,705</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2,923</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(6,062)</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Provision in excess of foreign statutory rates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922</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2,802</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Impairment of goodwill</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20,246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898</w:t>
            </w:r>
          </w:p>
        </w:tc>
      </w:tr>
      <w:tr>
        <w:trPr>
          <w:trHeight w:val="297"/>
        </w:trPr>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income tax expense (benefit)</w:t>
            </w:r>
          </w:p>
        </w:tc>
        <w:tc>
          <w:tcPr>
            <w:tcW w:w="188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24,704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22,899</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25,836</w:t>
            </w:r>
          </w:p>
        </w:tc>
      </w:tr>
      <w:tr>
        <w:trPr>
          <w:trHeight w:val="23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675"/>
        </w:trPr>
        <w:tc>
          <w:tcPr>
            <w:tcW w:w="5300" w:type="dxa"/>
            <w:vAlign w:val="bottom"/>
          </w:tcPr>
          <w:p>
            <w:pPr>
              <w:spacing w:after="0"/>
              <w:rPr>
                <w:sz w:val="24"/>
                <w:szCs w:val="24"/>
                <w:color w:val="auto"/>
              </w:rPr>
            </w:pPr>
          </w:p>
        </w:tc>
        <w:tc>
          <w:tcPr>
            <w:tcW w:w="1780" w:type="dxa"/>
            <w:vAlign w:val="bottom"/>
          </w:tcPr>
          <w:p>
            <w:pPr>
              <w:jc w:val="right"/>
              <w:ind w:right="119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40,326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3,918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4,293</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46,344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8,878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120,473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(79,195)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41,278</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amortizable goodwill</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(58,788)</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2011 are expected to be allocated to income taxes in the Consolidated Statements of Operations with the following exceptions. The tax benefit of net operating losses generated from share-based compensation have been excluded from the amounts disclosed for tax loss carryforwards and valuation allowance to the extent the benefit will be recognized in equity if realized. The excluded tax benefit of $19.9 million will be allocated to additional paid-in capital when utilized to offset taxable income.</w:t>
      </w:r>
    </w:p>
    <w:p>
      <w:pPr>
        <w:spacing w:after="0" w:line="15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December 31, 2011, 2010 and 2009, the Company's U.S. federal and foreign tax loss carryforwards were $211.3 million, $186.2 million and $174.1 million, respectively, and U.S. state tax loss carryforwards were $66.3 million, $57.4 million and $51.6 million, respectively.</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2011.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2011, the Company had U.S. federal and foreign tax net operating loss carryforwards of $211.3 million, which will expire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2,233</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1,761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55,099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2,343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65,144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losses of $66.3 million will expire periodically from 2012 through 2031.</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 provision has been made in the accounts as of December 31, 2011 for U.S. federal and state income taxes which would be payable if the undistributed earnings of the foreign subsidiaries were distributed to the Company since management has determined that the earnings are permanently reinvested. Undistributed earnings reinvested indefinitely in foreign subsidiaries aggregated $321.9 million as of December 31, 2011. The determination of the amount of unrecognized deferred U.S. income tax liabilities and foreign tax credits, if any, is not practicable to calculate at this time.</w:t>
      </w:r>
    </w:p>
    <w:p>
      <w:pPr>
        <w:spacing w:after="0" w:line="15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is subject to corporate income tax audits in each of its various taxing jurisdictions. Although, the Company believes that its tax positions comply with applicable tax law, a taxing authority could take a position contrary to that reported by the Company and assess additional taxes due. The Company believes it has made adequate provisions for identified exposures.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October 4, 2005, the Company completed the sale of 3.50% Convertible Debentures in a private offering. Pursuant to the Contingent Debt Regulations, the holders are generally required to include amounts in their taxable income, and the issuer is able to deduct such amounts from its taxable income, based on the rate at which Euronet would issue a non-contingent, non-convertible, fixed-rate debt instrument with terms and conditions otherwise similar to those of the Convertible Debentures. Euronet has determined that amount to be 8.50% for the Convertible Debentures which is substantially in excess of the stated interest rate. In the event the Convertible Debentures are repurchased, redeemed, or converted at an amount less than the adjusted issue price for tax purposes, ordinary income is recognized by the Company to the extent of the prior excess tax deductions. During the tax year ended December 31, 2011, the Company repurchased $3.6 million in principal amount of Convertible Debentures. The Convertible Debentures were repurchased for less than the adjusted issue price for tax purposes, resulting in the recognition of taxable income in excess of the loss recognized for book purposes on the transaction of approximately $1.5 million in 2011.</w:t>
      </w:r>
    </w:p>
    <w:p>
      <w:pPr>
        <w:spacing w:after="0" w:line="19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 issuer of convertible debt may not deduct any premium paid upon its repurchase of such debt if the premium exceeds a normal call premium. This denial of an interest deduction, however, does not apply to accruals of interest based on the comparable yield of a convertible debt instrument. Nonetheless, 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the debentures described above and ultimately sustained, our deductions for these debentures could be limited to the stated interest. The scope of the application of the anti-abuse regulations is unclear. The Company believes that the application of the Contingent Debt Regulations to the debentures is a reasonable result such that the anti-abuse regulation should not apply. If a contrary position were asserted and ultimately sustained, our tax deductions would be severely diminished; however, such a contrary position would not have any adverse impact on our reported tax expense, because there has been minimal tax benefit recognized for the difference between the stated interest and the comparable yield of the debentures.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2011 and 2010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8,473</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2011 and 2010, approximately $6.5 million and $3.2 million, respectively, of the unrecognized tax benefits would impact the Company's provision for income taxes and effective tax rate, if recognized. Total estimated accrued interest and penalties related to the underpayment of income taxes was $1.8 million and $1.8 million as of December 31, 2011 and 2010, respectively. The following tax years remain open in the Company's major jurisdictions as of December 31, 2011:</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Poland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2005 through 2011</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U.S. (Federal)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through 2011</w:t>
      </w:r>
    </w:p>
    <w:p>
      <w:pPr>
        <w:spacing w:after="0" w:line="86" w:lineRule="exact"/>
        <w:rPr>
          <w:sz w:val="20"/>
          <w:szCs w:val="20"/>
          <w:color w:val="auto"/>
        </w:rPr>
      </w:pPr>
    </w:p>
    <w:p>
      <w:pPr>
        <w:sectPr>
          <w:pgSz w:w="11900" w:h="16838" w:orient="portrait"/>
          <w:cols w:equalWidth="0" w:num="2">
            <w:col w:w="1060" w:space="36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Spain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2005 through 2011</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2006 through 2011</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2007 through 2011</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Germany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2004 through 2011</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application of ASC 740-10-25 and -30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 At this time, it is not possible to estimate the range of change due to the uncertainty of potential outcomes.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2011, 2010 and 2009: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2009</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6,487</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13,909</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The Company has share-based compensation plans (“SCP”) that allow the Company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with the Company.</w:t>
      </w:r>
    </w:p>
    <w:p>
      <w:pPr>
        <w:ind w:right="160"/>
        <w:spacing w:after="0" w:line="271" w:lineRule="auto"/>
        <w:rPr>
          <w:sz w:val="20"/>
          <w:szCs w:val="20"/>
          <w:color w:val="auto"/>
        </w:rPr>
      </w:pPr>
      <w:r>
        <w:rPr>
          <w:rFonts w:ascii="Arial" w:cs="Arial" w:eastAsia="Arial" w:hAnsi="Arial"/>
          <w:sz w:val="17"/>
          <w:szCs w:val="17"/>
          <w:color w:val="auto"/>
        </w:rPr>
        <w:t>Certain stock option grants vest over a five year period, subject to the achievement of a pre-determined share price target for Euronet Common Stock within three years from the grant date. With the exception of certain awards made to the Company's employees in Germany, awards under the SCP are settled through the issuance of new shares under the provisions of the SCP. For Company employees in Germany, certain awards are settled through the issuance of treasury shares, which also reduces the number of shares available for future issuance under the SCP. As of December 31, 2011, the Company has approximately 2.3 million in total shares remaining available for issuance under the SCP.</w:t>
      </w:r>
    </w:p>
    <w:p>
      <w:pPr>
        <w:spacing w:after="0" w:line="1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Consolidated Statements of Operations includes share-based compensation expense of $10.8 million, $9.3 million and $7.9 million for the years ended December 31, 2011, 2010 and 2009, respectively. The amounts are recorded as salaries and benefits expense in the accompanying Consolidated Statements of Operations. The Company recorded a tax benefit of $0.6 million, $0.5 million and $0.9 million during the years ended December 31, 2011, 2010 and 2009, respectively, for the portion of this expense that relates to foreign tax jurisdictions in which an income tax benefit is expected to be derived.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 (1,739,191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4,538,744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946,091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(246,074)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2011</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4,994,581</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20,611</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2011</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1,789,061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2011</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4,495,151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Options outstanding that are expected to vest are net of estimated future forfeitures. The Company received cash of $2.0 million, $1.7 million and $2.2 million in connection with stock options exercised during the years ended December 31, 2011, 2010 and 2009, respectively. The intrinsic value of these options exercised was $2.0 million, $1.9 million and $1.4 million during the years ended December 31, 2011, 2010 and 2009, respectively. As of December 31, 2011, unrecognized compensation expense related to nonvested stock options that are expected to vest totaled $15.3 million and will be recognized over the next 5 years, with an overall weighted average period of 3.7 years. The following table provides the fair value of options granted under the SCP during 2011 and 2010, together with a description of the assumptions used to calculate the fair value using the Black-Scholes-Merton option-pricing model: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4"/>
                <w:szCs w:val="14"/>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For the Year Ended</w:t>
            </w:r>
          </w:p>
        </w:tc>
      </w:tr>
      <w:tr>
        <w:trPr>
          <w:trHeight w:val="192"/>
        </w:trPr>
        <w:tc>
          <w:tcPr>
            <w:tcW w:w="43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2011</w:t>
            </w:r>
          </w:p>
        </w:tc>
        <w:tc>
          <w:tcPr>
            <w:tcW w:w="180" w:type="dxa"/>
            <w:vAlign w:val="bottom"/>
          </w:tcPr>
          <w:p>
            <w:pPr>
              <w:spacing w:after="0"/>
              <w:rPr>
                <w:sz w:val="16"/>
                <w:szCs w:val="16"/>
                <w:color w:val="auto"/>
              </w:rPr>
            </w:pPr>
          </w:p>
        </w:tc>
        <w:tc>
          <w:tcPr>
            <w:tcW w:w="158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December 31, 2010</w:t>
            </w:r>
          </w:p>
        </w:tc>
      </w:tr>
      <w:tr>
        <w:trPr>
          <w:trHeight w:val="250"/>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3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3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0.99% to 2.33%</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 to 2.75%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3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18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5.5 years</w:t>
            </w:r>
          </w:p>
        </w:tc>
      </w:tr>
      <w:tr>
        <w:trPr>
          <w:trHeight w:val="27"/>
        </w:trPr>
        <w:tc>
          <w:tcPr>
            <w:tcW w:w="4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3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7.42</w:t>
            </w:r>
          </w:p>
        </w:tc>
      </w:tr>
      <w:tr>
        <w:trPr>
          <w:trHeight w:val="459"/>
        </w:trPr>
        <w:tc>
          <w:tcPr>
            <w:tcW w:w="4320" w:type="dxa"/>
            <w:vAlign w:val="bottom"/>
          </w:tcPr>
          <w:p>
            <w:pPr>
              <w:spacing w:after="0"/>
              <w:rPr>
                <w:sz w:val="24"/>
                <w:szCs w:val="24"/>
                <w:color w:val="auto"/>
              </w:rPr>
            </w:pPr>
          </w:p>
        </w:tc>
        <w:tc>
          <w:tcPr>
            <w:tcW w:w="3460" w:type="dxa"/>
            <w:vAlign w:val="bottom"/>
          </w:tcPr>
          <w:p>
            <w:pPr>
              <w:jc w:val="right"/>
              <w:ind w:right="189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2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88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2010</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1,078,417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43"/>
        </w:trPr>
        <w:tc>
          <w:tcPr>
            <w:tcW w:w="8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406,140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(226,804)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43"/>
        </w:trPr>
        <w:tc>
          <w:tcPr>
            <w:tcW w:w="88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(72,253)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8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1,185,500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fair value of shares vested during the years ended December 31, 2011, 2010 and 2009 was $5 million, $3.9 million and $5.2 million, respectively. As of December 31, 2011, there was $6.4 million of total unrecognized compensation cost related to unvested time-based restricted stock, which is expected to be recognized over a weighted average period of 3.4 years. As of December 31, 2011, there was $6.0 million of total unrecognized compensation costs related to unvested performance-based restricted stock, which is expected to be recognized based on Company performance over a weighted average period of 2.1 years. The weighted average grant date fair value of restricted stock granted during the years ended December 31, 2011, 2010 and 2009 was $16.55, $16.50 and $20.81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stock purchase plans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2011, 2010 and 2009, the Company issued 57,018, 46,849 and 49,337 rights, respectively, to purchase shares of Common Stock at a weighted average price per share of $12.77, $16.95 and $15.04, respectively. The grant date fair value of the option to purchase shares at the lower of the closing price at the beginning or end of the quarterly period, plus the actual total discount provided, are recorded as compensation expense. Total compensation expense recorded was $0.2 million for each of the years ended December 31, 2011, 2010 and 2009. The following table provides the weighted average fair value of the ESPP stock purchase rights during the years ended December 31, 2011, 2010 and 2009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2009</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26.5% to 52.5%</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21.2% to 45.9%</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22.8% to 79.6%</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0.11%</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0.08% to 0.17%</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0.08% to 0.22%</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3.43</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00" w:hanging="648"/>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of prepaid mobile airtime and other electronic payment products and collection services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2011, 2010 and 2009: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677,051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1,161,304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740,729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48,386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19,998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60,457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620,277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268,173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62,792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203,494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803,897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438,189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60,749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1,506,329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599,023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244,606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1,038,269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675,571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27,259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34,429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136,384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70,925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57,496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156,707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623,326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231,240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1,033,000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Gain on dispute settlement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w w:val="93"/>
              </w:rPr>
              <w:t>Loss from continuing operations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209,199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706,253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419,796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74,124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For the Year Ended December 31, 2009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232,879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1,032,694</w:t>
            </w:r>
          </w:p>
        </w:tc>
        <w:tc>
          <w:tcPr>
            <w:tcW w:w="0" w:type="dxa"/>
            <w:vAlign w:val="bottom"/>
          </w:tcPr>
          <w:p>
            <w:pPr>
              <w:spacing w:after="0"/>
              <w:rPr>
                <w:sz w:val="1"/>
                <w:szCs w:val="1"/>
                <w:color w:val="auto"/>
              </w:rPr>
            </w:pPr>
          </w:p>
        </w:tc>
      </w:tr>
      <w:tr>
        <w:trPr>
          <w:trHeight w:val="237"/>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678,370</w:t>
            </w:r>
          </w:p>
        </w:tc>
        <w:tc>
          <w:tcPr>
            <w:tcW w:w="0" w:type="dxa"/>
            <w:vAlign w:val="bottom"/>
          </w:tcPr>
          <w:p>
            <w:pPr>
              <w:spacing w:after="0"/>
              <w:rPr>
                <w:sz w:val="1"/>
                <w:szCs w:val="1"/>
                <w:color w:val="auto"/>
              </w:rPr>
            </w:pPr>
          </w:p>
        </w:tc>
      </w:tr>
      <w:tr>
        <w:trPr>
          <w:trHeight w:val="243"/>
        </w:trPr>
        <w:tc>
          <w:tcPr>
            <w:tcW w:w="36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54,166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129,447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86,705</w:t>
            </w:r>
          </w:p>
        </w:tc>
        <w:tc>
          <w:tcPr>
            <w:tcW w:w="0" w:type="dxa"/>
            <w:vAlign w:val="bottom"/>
          </w:tcPr>
          <w:p>
            <w:pPr>
              <w:spacing w:after="0"/>
              <w:rPr>
                <w:sz w:val="1"/>
                <w:szCs w:val="1"/>
                <w:color w:val="auto"/>
              </w:rPr>
            </w:pPr>
          </w:p>
        </w:tc>
      </w:tr>
      <w:tr>
        <w:trPr>
          <w:trHeight w:val="229"/>
        </w:trPr>
        <w:tc>
          <w:tcPr>
            <w:tcW w:w="3680" w:type="dxa"/>
            <w:vAlign w:val="bottom"/>
            <w:gridSpan w:val="2"/>
          </w:tcPr>
          <w:p>
            <w:pPr>
              <w:ind w:left="160"/>
              <w:spacing w:after="0"/>
              <w:rPr>
                <w:sz w:val="20"/>
                <w:szCs w:val="20"/>
                <w:color w:val="auto"/>
              </w:rPr>
            </w:pPr>
            <w:r>
              <w:rPr>
                <w:rFonts w:ascii="Arial" w:cs="Arial" w:eastAsia="Arial" w:hAnsi="Arial"/>
                <w:sz w:val="18"/>
                <w:szCs w:val="18"/>
                <w:color w:val="auto"/>
              </w:rPr>
              <w:t>Goodwill and acquired intangible assets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3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37"/>
        </w:trPr>
        <w:tc>
          <w:tcPr>
            <w:tcW w:w="36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552,629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233,233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25,017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960,429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237"/>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43"/>
        </w:trPr>
        <w:tc>
          <w:tcPr>
            <w:tcW w:w="36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43"/>
        </w:trPr>
        <w:tc>
          <w:tcPr>
            <w:tcW w:w="3680" w:type="dxa"/>
            <w:vAlign w:val="bottom"/>
            <w:gridSpan w:val="2"/>
          </w:tcPr>
          <w:p>
            <w:pPr>
              <w:ind w:left="280"/>
              <w:spacing w:after="0"/>
              <w:rPr>
                <w:sz w:val="20"/>
                <w:szCs w:val="20"/>
                <w:color w:val="auto"/>
              </w:rPr>
            </w:pPr>
            <w:r>
              <w:rPr>
                <w:rFonts w:ascii="Arial" w:cs="Arial" w:eastAsia="Arial" w:hAnsi="Arial"/>
                <w:sz w:val="18"/>
                <w:szCs w:val="18"/>
                <w:color w:val="auto"/>
              </w:rPr>
              <w:t>Gain on sale of investment securities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early retirement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368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09"/>
        </w:trPr>
        <w:tc>
          <w:tcPr>
            <w:tcW w:w="3680" w:type="dxa"/>
            <w:vAlign w:val="bottom"/>
            <w:gridSpan w:val="2"/>
          </w:tcPr>
          <w:p>
            <w:pPr>
              <w:ind w:left="70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57,173</w:t>
            </w:r>
          </w:p>
        </w:tc>
        <w:tc>
          <w:tcPr>
            <w:tcW w:w="0" w:type="dxa"/>
            <w:vAlign w:val="bottom"/>
          </w:tcPr>
          <w:p>
            <w:pPr>
              <w:spacing w:after="0"/>
              <w:rPr>
                <w:sz w:val="1"/>
                <w:szCs w:val="1"/>
                <w:color w:val="auto"/>
              </w:rPr>
            </w:pPr>
          </w:p>
        </w:tc>
      </w:tr>
      <w:tr>
        <w:trPr>
          <w:trHeight w:val="277"/>
        </w:trPr>
        <w:tc>
          <w:tcPr>
            <w:tcW w:w="3680" w:type="dxa"/>
            <w:vAlign w:val="bottom"/>
            <w:tcBorders>
              <w:bottom w:val="single" w:sz="8" w:color="CCEEFF"/>
            </w:tcBorders>
            <w:gridSpan w:val="2"/>
          </w:tcPr>
          <w:p>
            <w:pPr>
              <w:ind w:left="860"/>
              <w:spacing w:after="0"/>
              <w:rPr>
                <w:sz w:val="20"/>
                <w:szCs w:val="20"/>
                <w:color w:val="auto"/>
              </w:rPr>
            </w:pPr>
            <w:r>
              <w:rPr>
                <w:rFonts w:ascii="Arial" w:cs="Arial" w:eastAsia="Arial" w:hAnsi="Arial"/>
                <w:sz w:val="18"/>
                <w:szCs w:val="18"/>
                <w:color w:val="auto"/>
              </w:rPr>
              <w:t>before income taxes</w:t>
            </w: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assets as of December 31, 2009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64,843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1,412,679</w:t>
            </w: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8"/>
                <w:szCs w:val="18"/>
                <w:color w:val="auto"/>
                <w:w w:val="93"/>
              </w:rPr>
              <w:t>Property and equipment, net as of December 31,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61,817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19,139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918"/>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5" w:right="137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revenues for the years ended December 31, 2011, 2010 and 2009, and property and equipment and total assets as of December 31, 2011 and 2010,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3"/>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244,578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278,394</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193,557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210,469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199,805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156,396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199,479</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105,384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288,378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182,460</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123,387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132,834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151,732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149,471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149,602</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76,927</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65,188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64,401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75,556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94,810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96,896</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82,003</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53,970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41,199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77,486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80,389</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25,730</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142,856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106,691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97,951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23,611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263,500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237,492</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927,401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805,180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788,116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76,825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1,212,264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1,130,978</w:t>
            </w:r>
          </w:p>
        </w:tc>
      </w:tr>
      <w:tr>
        <w:trPr>
          <w:trHeight w:val="25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1,161,304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1,038,269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1,032,694</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102,900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91,527</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1,506,329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1,409,372</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subsidiary, which are attributed to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Concentrations of credit risk</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Euronet's credit risk primarily relates to trade accounts receivable and cash and cash equivalents. Euronet's EFT Processing Segment's customer base includes the most significant international card organizations and certain banks in the Company's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Euronet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3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2014 and revolving credit agreements approximate fair values because interest is based on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(172,267)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assets are measured at fair value on a non-recurring basis. During the annual goodwill impairment test during the fourth quarter of 2010, the Company assessed the fair value of its goodwill and recorded goodwill impairment charges related to certain of its epay businesses of $70.9 million The fair values were determined using significant unobservable inputs. The $16.8 million fair values of goodwill related to the 2010 impaired businesses were determined by calculating the implied fair values as the excess of the fair value of the respective entity over the fair value of its net assets. See further discussion in Note 8, Goodwill and Acquired Intangible Assets, Net. No other assets were measured at fair value on a non-recurring basis during 2011 or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COMPUTER SOFTWARE TO BE SOLD</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Euronet engages in software development activities to continually improve the Company's core software products. The following table provides the detailed activity related to capitalized software development costs of continuing operations for the years ended December 31, 2011, 2010 and 2009.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balance-capitalized development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1,295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capitalized development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2,601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Research and development costs expensed for the years ended December 31, 2011, 2010 and 2009 were $1.1 million, $1.4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3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Bank card association rules provide a process by which loss and expense arising from such breaches is allocated among card issuers, acquirers and service providers such as Euronet. The Company expects that some claims may be asserted against it under such rules or under its agreements with acquiring banks. However, the Company believes that any liability under such claims will be limited by a number of factors including the fact that the majority of cards processed by the affected business were EMV compliant chip and PIN cards to which such rules either do not apply or apply a lower level of liability. Losses from fraudulent card activity appear to have been limited to magnetic stripe transactions processed on the affected systems. In addition, the Company maintains insurance to cover the financial exposure for response costs, losses by card issuers and fines or penalties from such incidents.</w:t>
      </w:r>
    </w:p>
    <w:p>
      <w:pPr>
        <w:spacing w:after="0" w:line="16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At this time, the Company is unable to predict the possible range of loss, if any, associated with the resolution of claims against it in connection with the breach, since no claims have been asserted against it yet and information concerning loss levels has not been communicated by the card associations to Euronet. However, the Company does not at this time expect the net financial impact of loss or expense from the breach after insurance recovery to be material.</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continuing to take aggressive measures to strengthen its security controls, and is working closely with international card associations and law enforcement in this regard.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the breach were $0.4 million in the fourth quarter of 2011.</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u w:val="single" w:color="auto"/>
          <w:color w:val="auto"/>
        </w:rPr>
        <w:t>Antitrust Investigation</w:t>
      </w:r>
      <w:r>
        <w:rPr>
          <w:rFonts w:ascii="Arial" w:cs="Arial" w:eastAsia="Arial" w:hAnsi="Arial"/>
          <w:sz w:val="17"/>
          <w:szCs w:val="17"/>
          <w:color w:val="auto"/>
        </w:rPr>
        <w:t xml:space="preserve"> - In the second quarter of 2009, the Antitrust Division of the United States Department of Justice (the “DOJ”) served Continental Exchange Solutions, Inc. d/b/a Ria Financial Services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 April 2007. CES foreign exchange transactions between the U.S and the D.R. generated approximately 0.3% of the Company’s 2009 consolidated revenues. The Company and CES are fully cooperating with the DOJ in its investigation.</w:t>
      </w:r>
    </w:p>
    <w:p>
      <w:pPr>
        <w:spacing w:after="0" w:line="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2010, CES was served with a class action lawsuit filed by a former employee for alleged wage and hour violations related to overtime and meal and rest period requirements under California law. This lawsuit was dismissed on October 12, 2011 in consideration of the payment of a nominal amount to the plaintiff.</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settlements, rulings, advice of legal counsel, and other information and events pertaining to a particular case.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GUARANTEES</w:t>
      </w:r>
    </w:p>
    <w:p>
      <w:pPr>
        <w:spacing w:after="0" w:line="12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As of December 31, 2011, the Company had $95.4 million of stand-by letters of credit/bank guarantees issued on its behalf, of which $18.3 million are collateralized by cash deposits held by the respective issuing banks and $9.0 million are collateralized by trade accounts receivable.</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of our subsidiaries, once they reach a certain size,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December 31, 2011, the Company granted off balance sheet guarantees for cash in various ATM networks amounting to $17.1 million over the terms of the cash supply agreements and performance guarantees amounting to approximately $28.0 million over the terms of the agreements with the customers.</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2011, the balance of ATM network cash for which the Company was responsible was approximately $340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40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 w:hanging="648"/>
        <w:spacing w:after="0" w:line="293"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980" w:right="2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2011 or December 31, 2010.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leases an airplane from a company partially owned by Mr. Michael J. Brown, Euronet's Chief Executive Officer and Chairman of the Board of Directors. The airplane is leased for business use on a per flight hour basis with no minimum usage requirement. Euronet incurred expenses of $0.2 million, $0.2 million and $0.1 million during 2011, 2010 and 2009, respectively, for the use of this airplane.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DISCONTINUED OPERATIONS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2009, the Company sold Euronet Essentis Limited (“Essentis”), a U.K. software entity, for $6.5 million. The Company sold Essentis in order to focus its investments and resources on its transaction processing business. Accordingly, Essentis' results of operations are shown as discontinued operations in the Consolidated Statements of Operations. Previously, Essentis' results were reported in the EFT Processing Segment. Note 16, Business Segment Information, also reflects the classification of Essentis' results in discontinued operations. The sale resulted in a gain of $0.2 million, net of taxes of $0.4 million. The following amounts related to Essentis, including the gain on sale, have been removed from continuing operations and reported as discontinued operations: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For the Year Ended</w:t>
            </w:r>
          </w:p>
        </w:tc>
      </w:tr>
      <w:tr>
        <w:trPr>
          <w:trHeight w:val="192"/>
        </w:trPr>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3"/>
              </w:rPr>
              <w:t>December 31, 2009</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4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(23) SELECTED QUARTERLY DATA (UNAUDITED)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20" w:type="dxa"/>
            <w:vAlign w:val="bottom"/>
          </w:tcPr>
          <w:p>
            <w:pPr>
              <w:spacing w:after="0"/>
              <w:rPr>
                <w:sz w:val="24"/>
                <w:szCs w:val="24"/>
                <w:color w:val="auto"/>
              </w:rPr>
            </w:pP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Second Quarter</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Fourth Quarter</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262,593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279,802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299,507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319,402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(2,925)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250,003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244,228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260,223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283,815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20,262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21,065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(61,342)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20,965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0.41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2011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2011. In making this assessment, it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these criteria and our assessment, we have determined that, as of December 31, 2011,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2011, has been audited by KPMG LLP, an independent registered public accounting firm, as stated in their audit report.</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1"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2012 Annual Meeting of Stockholders, which will be filed with the Securities and Exchange Commission no later than 120 days after December 31, 2011,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 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2012 Annual Meeting of Stockholders, which will be filed with the Securities and Exchange Commission no later than 120 days after December 31, 2011, is incorporated herein by reference.</w:t>
      </w:r>
    </w:p>
    <w:p>
      <w:pPr>
        <w:spacing w:after="0" w:line="378" w:lineRule="exact"/>
        <w:rPr>
          <w:sz w:val="20"/>
          <w:szCs w:val="20"/>
          <w:color w:val="auto"/>
        </w:rPr>
      </w:pPr>
    </w:p>
    <w:p>
      <w:pPr>
        <w:ind w:left="820" w:right="700" w:hanging="796"/>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2012 Annual Meeting of Stockholders, which will be filed with the Securities and Exchange Commission no later than 120 days after December 31, 2011, is incorporated herein by reference. See also Part II, Item 5 - Equity Compensation Plan Table.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2012 Annual Meeting of Stockholders, which will be filed with the Securities and Exchange Commission no later than 120 days after December 31, 2011,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information under “Audit Matters - Fees of the Company's Independent Auditors” in the Proxy Statement for the 2012 Annual Meeting of Stockholders, which will be filed with the Securities and Exchange Commission no later than 120 days after December 31, 2011,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337" w:right="2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List of Documents Filed as Part of this Report.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 Financial Statements</w:t>
      </w:r>
    </w:p>
    <w:p>
      <w:pPr>
        <w:spacing w:after="0" w:line="225" w:lineRule="exact"/>
        <w:rPr>
          <w:sz w:val="20"/>
          <w:szCs w:val="20"/>
          <w:color w:val="auto"/>
        </w:rPr>
      </w:pPr>
    </w:p>
    <w:p>
      <w:pPr>
        <w:ind w:left="260" w:right="54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Certificate of Incorporation of Euronet Worldwide, Inc., as amended (filed as Exhibit 3.2 to the Company's Current Report on Form 8-K filed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May 22, 2009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Amended and Restated Bylaws of Euronet Worldwide, Inc. (filed as Exhibit 3.2 to the Company's Current Report on Form 8-K filed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December 22, 2008,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Certificate of Amendment to Certificate of Incorporation of Euronet Worldwide, Inc. (filed as Exhibit 3.1 to the Company's Current Report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8-K filed on May 22, 2009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Rights Agreement, dated as of March 21, 2003, between Euronet Worldwide, Inc. and EquiServe Trust Company, N.A. (filed as Exhibit 4.1</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to the Company's Current Report on Form 8-K filed on March 24, 2003 (File No. 001-31648),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First Amendment to Rights Agreement, dated as of November 28, 2003, between Euronet Worldwide, Inc. and EquiServe Trust Company,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N.A. (filed as Exhibit 4.1 to the Company's Current Report on Form 8-K filed on December 4, 2003 (File No. 001-31648), and incorporated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Indenture, dated as of October 4, 2005, between Euronet Worldwide, Inc. and U.S. Bank National Association (filed as Exhibit 4.1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Specimen 3.50% Convertible Debenture Due 2025 (Certificated Security) (included in Exhibit 4.10 to the Company's Registration Statement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S-3/A filed on November 10, 2005,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Euronet Worldwide, Inc. 2002 Stock Incentive Plan (Amended and Restated) (included as Appendix B to the Company's Definitive Proxy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Rules and Procedures for Euronet Matching Stock Option Grant Program (filed as Exhibit 10.3 to Company's Form 10-Q filed on November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14, 2002 and incorporated by reference herein) (2)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Grant Agreement pursuant to Euronet Worldwide, Inc. 2006 Stock Incentive Plan (filed as Exhibit 10.8</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to the Company's Quarterly Report on Form 10-Q filed on August 4, 2006,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36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Plan (filed as Exhibit 10.39 to the Company's Annual Report on Form 10- K filed February 28, 2007, and incorporated by reference herein)</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36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360"/>
              <w:spacing w:after="0"/>
              <w:rPr>
                <w:sz w:val="20"/>
                <w:szCs w:val="20"/>
                <w:color w:val="auto"/>
              </w:rPr>
            </w:pPr>
            <w:r>
              <w:rPr>
                <w:rFonts w:ascii="Arial" w:cs="Arial" w:eastAsia="Arial" w:hAnsi="Arial"/>
                <w:sz w:val="18"/>
                <w:szCs w:val="18"/>
                <w:color w:val="auto"/>
                <w:w w:val="94"/>
              </w:rPr>
              <w:t>Euronet Worldwide, Inc. Executive Annual Incentive Plan (filed as Exhibit 10.18 to the Company's Annual Report on Form 10-K filed on</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February 29, 2008,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Michael J. Brown, Chairman</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and Chief Executive Officer (filed as Exhibit 10.3 to the Company's Quarterly Report on Form 10-Q filed on May 9, 2008, and incorporated</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Rick L. Weller, Executive Vice</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President and Chief Financial Officer (filed as Exhibit 10.4 to the Company's Quarterly Report on Form 10-Q filed on May 9, 2008, and</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Jeffrey B. Newman, Executive</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Vice President and General Counsel (filed as Exhibit 10.5 to the Company's Quarterly Report on Form 10-Q filed on May 9, 2008, and</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360"/>
              <w:spacing w:after="0"/>
              <w:rPr>
                <w:sz w:val="20"/>
                <w:szCs w:val="20"/>
                <w:color w:val="auto"/>
              </w:rPr>
            </w:pPr>
            <w:r>
              <w:rPr>
                <w:rFonts w:ascii="Arial" w:cs="Arial" w:eastAsia="Arial" w:hAnsi="Arial"/>
                <w:sz w:val="18"/>
                <w:szCs w:val="18"/>
                <w:color w:val="auto"/>
                <w:w w:val="90"/>
              </w:rPr>
              <w:t>Amended and Restated Employment Agreement dated April 10, 2008 between Euronet Worldwide, Inc. and Juan C. Bianchi, Executive Vice</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1"/>
              </w:rPr>
              <w:t>President and Managing Director, Money Transfer Segment (filed as Exhibit 10.6 to the Company's Quarterly Report on Form 10-Q filed on</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May 9, 2008,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360"/>
              <w:spacing w:after="0"/>
              <w:rPr>
                <w:sz w:val="20"/>
                <w:szCs w:val="20"/>
                <w:color w:val="auto"/>
              </w:rPr>
            </w:pPr>
            <w:r>
              <w:rPr>
                <w:rFonts w:ascii="Arial" w:cs="Arial" w:eastAsia="Arial" w:hAnsi="Arial"/>
                <w:sz w:val="18"/>
                <w:szCs w:val="18"/>
                <w:color w:val="auto"/>
                <w:w w:val="90"/>
              </w:rPr>
              <w:t>Employment Agreement dated May 11, 2008 between Euronet Worldwide, Inc. and Gareth Gumbley, Managing Director, Prepaid Processing</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4"/>
              </w:rPr>
              <w:t>Segment (filed as Exhibit 10.7 to the Company's Quarterly Report on Form 10-Q filed on August 7, 2008, and incorporated by reference</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(filed as Exhibit 10.1 to the Company's Current Report on Form 8-K filed on December 22, 2008, and</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Employment Agreement dated December 2, 1997 between Euronet Services GmbH and Roger Heinz, Senior Vice President - Managing</w:t>
            </w:r>
          </w:p>
        </w:tc>
      </w:tr>
      <w:tr>
        <w:trPr>
          <w:trHeight w:val="216"/>
        </w:trPr>
        <w:tc>
          <w:tcPr>
            <w:tcW w:w="78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10.1 to the Company's Quarterly Report on Form 10-Q filed on May 8, 2009 and</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2006 Stock Incentive Plan, as amended (filed as Exhibit 10.3 to the Company's Quarterly Report on Form 10-Q filed on May 8, 2009 and</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Unit Agreement, as amended, pursuant to Euronet Worldwide, Inc. 2006 Stock Incentive Plan (filed as</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Exhibit 10.1 to the Company's Quarterly Report on Form 10-Q filed on May 7, 2010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60"/>
              <w:spacing w:after="0"/>
              <w:rPr>
                <w:sz w:val="20"/>
                <w:szCs w:val="20"/>
                <w:color w:val="auto"/>
              </w:rPr>
            </w:pPr>
            <w:r>
              <w:rPr>
                <w:rFonts w:ascii="Arial" w:cs="Arial" w:eastAsia="Arial" w:hAnsi="Arial"/>
                <w:sz w:val="18"/>
                <w:szCs w:val="18"/>
                <w:color w:val="auto"/>
                <w:w w:val="96"/>
              </w:rPr>
              <w:t>Form of Nonqualified Stock Option Agreement, as amended, pursuant to Euronet Worldwide, Inc. 2006 Stock Incentive Plan (filed as</w:t>
            </w:r>
          </w:p>
        </w:tc>
      </w:tr>
      <w:tr>
        <w:trPr>
          <w:trHeight w:val="230"/>
        </w:trPr>
        <w:tc>
          <w:tcPr>
            <w:tcW w:w="78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Exhibit 10.2 to the Company's Quarterly Report on Form 10-Q filed on May 7, 2010 and incorporated by reference herein) (2)</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60"/>
          </w:cols>
          <w:pgMar w:left="240" w:top="125" w:right="29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Employment Agreement dated March 8, 2010 between Euronet Worldwide, Inc. and Charles T. Piper (filed as Exhibit 10.1 to the Company's</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Quarterly Report on Form 10-Q filed on August 6, 2010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Compromise Agreement dated March 12, 2010 between epay Limited, epay Australia Pty Ltd and Gareth Gumbley (filed as Exhibit 10.21 to</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Employee Stock Purchase Plan, as amended (filed as Exhibit 10.22 to the Company's Annual Report on Form 10-K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Euronet Worldwide, Inc. Long-Term Incentive Stock Option Plan (1996), as amended (filed as Exhibit 10.23 to the Company's Annual</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Report on Form 10-K 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Euronet Worldwide, Inc. Stock Option Plan (1998), as amended (filed as Exhibit 10.24 to the Company's Annual Report on Form 10-K filed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Employment Agreement dated February 24, 2011 between Euronet Card Services SA and Nikos Fountas, Senior Vice President - Managing</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Bonus Compensation Agreement between Euronet Worldwide, Inc. and Nikos Fountas, Senior Vice President - Managing Director, Europe</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EFT Processing Segment (filed as Exhibit 10.26 to the Company's Annual Report on Form 10-K filed on February 25, 2011 and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Letter of Confirmation of Terms of Resignation dated January 11, 2011 between Euronet Worldwide, Inc. and Charles T. Piper (filed as</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8"/>
              </w:rPr>
              <w:t>Exhibit 10.27 to the Company's Annual Report on Form 10-K 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Euronet Worldwide, Inc. Employee Stock Purchase Plan, as amended (filed as Exhibit 10.1 to the Company's Quarterly Report on Form 10-Q</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4,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10.26</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Executive Annual Incentive Plan, as amended (filed as Exhibit 10.2 to the Company's Quarterly Report on Form 10-</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 filed on August 4,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Administrative Agent and Collateral Agent, U.S. Bank National Association, as Syndication Agent and Bank of Montreal, BBVA Compass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Bank, Keybank National Association, as Co-Documentation Agents (filed as Exhibit 10.1 to the Company's Current Report on Form 8-K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23, 2011 and incorporated by reference herein)</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360"/>
              <w:spacing w:after="0"/>
              <w:rPr>
                <w:sz w:val="20"/>
                <w:szCs w:val="20"/>
                <w:color w:val="auto"/>
              </w:rPr>
            </w:pPr>
            <w:r>
              <w:rPr>
                <w:rFonts w:ascii="Arial" w:cs="Arial" w:eastAsia="Arial" w:hAnsi="Arial"/>
                <w:sz w:val="18"/>
                <w:szCs w:val="18"/>
                <w:color w:val="auto"/>
              </w:rPr>
              <w:t>Subsidiaries of the Registrant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Executive Officer (3)</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380"/>
          </w:cols>
          <w:pgMar w:left="240" w:top="125" w:right="27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906 Certification of Chief Financial Officer (3)</w:t>
      </w:r>
    </w:p>
    <w:p>
      <w:pPr>
        <w:spacing w:after="0" w:line="333" w:lineRule="exact"/>
        <w:rPr>
          <w:sz w:val="20"/>
          <w:szCs w:val="20"/>
          <w:color w:val="auto"/>
        </w:rPr>
      </w:pPr>
    </w:p>
    <w:p>
      <w:pPr>
        <w:ind w:left="1160" w:right="100" w:hanging="1125"/>
        <w:spacing w:after="0" w:line="285"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Annual Report on Form 10-K for the year ended December 31, 2011, formatted in XBRL (eXtensible Business Reporting Language): (i) Consolidated Balance Sheets at December 31, 2011 and 2010, (ii) Consolidated Statements of Operations for the years ended December 31, 2011, 2010 and 2009, (iii) Consolidated Statements of Comprehensive Income (Loss) for the years ended December 31, 2011, 2010 and 2009, (iv) Consolidated Statements of Changes in Equity for the years ended December 31, 2011, 2010 and 2009, (v) Consolidated Statements of Cash Flows for the years ended December 31, 2011, 2010 and 2009, and</w:t>
      </w:r>
    </w:p>
    <w:p>
      <w:pPr>
        <w:spacing w:after="0" w:line="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(v) Notes to the Consolidated Financial Statements. (4)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117" w:lineRule="exact"/>
        <w:rPr>
          <w:rFonts w:ascii="Arial" w:cs="Arial" w:eastAsia="Arial" w:hAnsi="Arial"/>
          <w:sz w:val="18"/>
          <w:szCs w:val="18"/>
          <w:color w:val="auto"/>
        </w:rPr>
      </w:pPr>
    </w:p>
    <w:p>
      <w:pPr>
        <w:ind w:left="400" w:right="40" w:hanging="378"/>
        <w:spacing w:after="0" w:line="264" w:lineRule="auto"/>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Date: February 29, 2012</w:t>
      </w:r>
      <w:r>
        <w:rPr>
          <w:sz w:val="20"/>
          <w:szCs w:val="20"/>
          <w:color w:val="auto"/>
        </w:rPr>
        <w:tab/>
      </w:r>
      <w:r>
        <w:rPr>
          <w:rFonts w:ascii="Arial" w:cs="Arial" w:eastAsia="Arial" w:hAnsi="Arial"/>
          <w:sz w:val="16"/>
          <w:szCs w:val="16"/>
          <w:u w:val="single" w:color="auto"/>
          <w:color w:val="auto"/>
        </w:rPr>
        <w:t>/s/ Michael J. Brown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Michael J. Brown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11"/>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10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16"/>
          </w:tcPr>
          <w:p>
            <w:pPr>
              <w:jc w:val="center"/>
              <w:ind w:right="90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8"/>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2"/>
              </w:rPr>
              <w:t>Chairman of the Board of Directors, Chief Executive Officer and Director</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(principal executive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3"/>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8"/>
          </w:tcPr>
          <w:p>
            <w:pPr>
              <w:spacing w:after="0"/>
              <w:rPr>
                <w:sz w:val="19"/>
                <w:szCs w:val="19"/>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4"/>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3"/>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2620" w:type="dxa"/>
            <w:vAlign w:val="bottom"/>
            <w:gridSpan w:val="18"/>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2"/>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4"/>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8"/>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2660" w:type="dxa"/>
            <w:vAlign w:val="bottom"/>
            <w:gridSpan w:val="19"/>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6"/>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gridSpan w:val="15"/>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1900" w:type="dxa"/>
            <w:vAlign w:val="bottom"/>
            <w:tcBorders>
              <w:bottom w:val="single" w:sz="8" w:color="auto"/>
            </w:tcBorders>
            <w:gridSpan w:val="18"/>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2660" w:type="dxa"/>
            <w:vAlign w:val="bottom"/>
            <w:gridSpan w:val="19"/>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2"/>
          </w:tcPr>
          <w:p>
            <w:pPr>
              <w:jc w:val="center"/>
              <w:ind w:right="1180"/>
              <w:spacing w:after="0"/>
              <w:rPr>
                <w:sz w:val="20"/>
                <w:szCs w:val="20"/>
                <w:color w:val="auto"/>
              </w:rPr>
            </w:pPr>
            <w:r>
              <w:rPr>
                <w:rFonts w:ascii="Arial" w:cs="Arial" w:eastAsia="Arial" w:hAnsi="Arial"/>
                <w:sz w:val="18"/>
                <w:szCs w:val="18"/>
                <w:color w:val="auto"/>
                <w:w w:val="92"/>
              </w:rPr>
              <w:t>/s/ Lu Cordova</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Lu Cordova</w:t>
            </w:r>
          </w:p>
        </w:tc>
        <w:tc>
          <w:tcPr>
            <w:tcW w:w="1180" w:type="dxa"/>
            <w:vAlign w:val="bottom"/>
            <w:gridSpan w:val="9"/>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29, 2012</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180"/>
          </w:cols>
          <w:pgMar w:left="240" w:top="125" w:right="47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55,239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30,174</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pretax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90,407</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9,937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85,887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25,716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29,349</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26,416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30,174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Adjusted pretax income was inadequate to cover fixed charges by $16.5 million in 2010.</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Bankomat 24/Euronet Sp. z o.o., incorporated in Poland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EFT-Usluge d 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spol. s.r.o.,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USA Inc.,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Holdings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Australia Pty Ltd, incorporated in New South Wales,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Australia Holdings Pty Ltd, incorporated in Victoria,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New Zealand Ltd, incorporated in New Zealand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PaySpot,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Telerecarga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Europlanet d.o.o. Beograd, incorporated in Serbia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EWI Foreign Holdings Limited, incorporated in Cyprus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India Private Limited,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Software UK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Ukraine LLC, incorporated in Ukraine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Bulgaria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 and Transaction Services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Business Holdings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Spain Holdings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Brodos Romania SRL,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Payment Institution EP, S.A.,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New Zealand Ltd., incorporated in New Zealand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 Centroamérica,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AG, incorporated in Switzerland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Omega Logic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Prepaid Hellas LLC,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Payment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Payments &amp; Card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 Usluge d.o.o. Beograd, incorporated in Serbia</w:t>
      </w:r>
    </w:p>
    <w:p>
      <w:pPr>
        <w:sectPr>
          <w:pgSz w:w="11900" w:h="16838" w:orient="portrait"/>
          <w:cols w:equalWidth="0" w:num="1">
            <w:col w:w="11420"/>
          </w:cols>
          <w:pgMar w:left="240" w:top="580" w:right="239" w:bottom="1440" w:gutter="0" w:footer="0" w:header="0"/>
        </w:sectPr>
      </w:pPr>
    </w:p>
    <w:bookmarkStart w:id="113" w:name="page114"/>
    <w:bookmarkEnd w:id="113"/>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XBA Szolgaltato Kft. ,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Money Transfer Services Private Limited,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Holding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AG,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Yamando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modoca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Smart PayNetwork SA,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Euronet also had shareholdings in the following companies that are not wholly owned:</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PT G4S Euronet Indonesia, incorporated in Indonesia, of which 47.02% of the shares are owned by EFT Services Holding B.V.</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Malaysia Sdn Bhd, incorporated in Malaysia, of which e-pay Limited owns 40% of the share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ATX Software, Ltd., incorporated in England and Wales, of which 51%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LLC incorporated in Russia, of which 95%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80% is owned by Euronet Telerecarga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Middle East W.L.L., incorporated in Bahrain, of which 49% is owned by EFT Services Holding B.V.</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the Peoples Republic of China, of which 75% is owned by Euronet Asia Holdings Limited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SRL, incorporated in Italy, of which 51% is owned by Euronet Pay and Transaction Services SRL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ATX Middle East FZC, incorporated in the United Arab Emirates, of which 51%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ATX Software Middle East FZ-LLC (UAE), incorporated in the United Arab Emirates, of which the Euronet group holds a 51% interest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Pakistan (Pvt.) Limited, incorporated in Pakistan, of which 70% is owned by Euronet Pakistan Holdings Inc.</w:t>
      </w:r>
    </w:p>
    <w:p>
      <w:pPr>
        <w:sectPr>
          <w:pgSz w:w="11900" w:h="16838" w:orient="portrait"/>
          <w:cols w:equalWidth="0" w:num="1">
            <w:col w:w="11380"/>
          </w:cols>
          <w:pgMar w:left="240" w:top="584" w:right="2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333-128228 and 333-165253), Form S-4 (No. 333-116938) and Form S-8 (Nos. 333-24539, 333-83555, 333-44890, 333-64634, 333-71766, 333-98013, 333-102875, 333-116920, 333-136485, 333-161245 and 333-176238) of Euronet Worldwide, Inc. and subsidiaries (the Company) of our report dated February 29, 2012, with respect to the consolidated balance sheets of the Company as of December 31, 2011 and 2010, and the related consolidated statements of operations, comprehensive income (loss), changes in equity and cash flows for each of the years in the three-year period ended December 31, 2011, and the effectiveness of internal control over financial reporting as of December 31, 2011, which report appears in the December 31, 2011 annual report on Form 10-K of Euronet Worldwide,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endash "/>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01"/>
    </w:lvl>
  </w:abstractNum>
  <w:abstractNum w:abstractNumId="24">
    <w:nsid w:val="836C40E"/>
    <w:multiLevelType w:val="hybridMultilevel"/>
    <w:lvl w:ilvl="0">
      <w:lvlJc w:val="left"/>
      <w:lvlText w:val="(%1)"/>
      <w:numFmt w:val="decimal"/>
      <w:start w:val="1"/>
    </w:lvl>
    <w:lvl w:ilvl="1">
      <w:lvlJc w:val="left"/>
      <w:lvlText w:val="(%2)"/>
      <w:numFmt w:val="decimal"/>
      <w:start w:val="2"/>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2019-12-09T12:28:53Z</dcterms:created>
  <dcterms:modified xsi:type="dcterms:W3CDTF">2019-12-09T12:28:53Z</dcterms:modified>
</cp:coreProperties>
</file>