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October 29, 2015, Euronet Worldwide, Inc. had 52,811,936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September 30, 2015 and December 31, 2014</w:t>
              </w:r>
            </w:hyperlink>
          </w:p>
        </w:tc>
        <w:tc>
          <w:tcPr>
            <w:tcW w:w="44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Income for the Three and Nine Months Ended September 30, 2015 and 2014</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200" w:type="dxa"/>
            <w:vAlign w:val="bottom"/>
            <w:tcBorders>
              <w:bottom w:val="single" w:sz="8" w:color="0000EE"/>
            </w:tcBorders>
            <w:gridSpan w:val="3"/>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880" w:type="dxa"/>
            <w:vAlign w:val="bottom"/>
            <w:tcBorders>
              <w:bottom w:val="single" w:sz="8" w:color="0000EE"/>
            </w:tcBorders>
            <w:gridSpan w:val="2"/>
            <w:shd w:val="clear" w:color="auto" w:fill="0000EE"/>
          </w:tcPr>
          <w:p>
            <w:pPr>
              <w:spacing w:after="0" w:line="20" w:lineRule="exact"/>
              <w:rPr>
                <w:sz w:val="1"/>
                <w:szCs w:val="1"/>
                <w:color w:val="auto"/>
              </w:rPr>
            </w:pPr>
          </w:p>
        </w:tc>
        <w:tc>
          <w:tcPr>
            <w:tcW w:w="56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00" w:type="dxa"/>
            <w:vAlign w:val="bottom"/>
            <w:gridSpan w:val="14"/>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Comprehensive Income (Loss) for the Three and Nine Months Ended September 30, 2015 and 2014</w:t>
              </w:r>
            </w:hyperlink>
          </w:p>
        </w:tc>
        <w:tc>
          <w:tcPr>
            <w:tcW w:w="1320" w:type="dxa"/>
            <w:vAlign w:val="bottom"/>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300" w:type="dxa"/>
            <w:vAlign w:val="bottom"/>
            <w:gridSpan w:val="1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for the Nine Months Ended September 30, 2015 and 2014</w:t>
              </w:r>
            </w:hyperlink>
          </w:p>
        </w:tc>
        <w:tc>
          <w:tcPr>
            <w:tcW w:w="13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60" w:type="dxa"/>
            <w:vAlign w:val="bottom"/>
            <w:gridSpan w:val="12"/>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the Unaudited Consolidated Financial Statements</w:t>
              </w:r>
            </w:hyperlink>
          </w:p>
        </w:tc>
        <w:tc>
          <w:tcPr>
            <w:tcW w:w="326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20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20" w:type="dxa"/>
            <w:vAlign w:val="bottom"/>
            <w:gridSpan w:val="9"/>
          </w:tcPr>
          <w:p>
            <w:pPr>
              <w:spacing w:after="0"/>
              <w:rPr>
                <w:rFonts w:ascii="Arial" w:cs="Arial" w:eastAsia="Arial" w:hAnsi="Arial"/>
                <w:sz w:val="16"/>
                <w:szCs w:val="16"/>
                <w:color w:val="0000EE"/>
                <w:w w:val="93"/>
              </w:rPr>
            </w:pPr>
            <w:hyperlink w:anchor="page37">
              <w:r>
                <w:rPr>
                  <w:rFonts w:ascii="Arial" w:cs="Arial" w:eastAsia="Arial" w:hAnsi="Arial"/>
                  <w:sz w:val="16"/>
                  <w:szCs w:val="16"/>
                  <w:color w:val="0000EE"/>
                  <w:w w:val="93"/>
                </w:rPr>
                <w:t>Quantitative and Qualitative Disclosures About Market Risk</w:t>
              </w:r>
            </w:hyperlink>
          </w:p>
        </w:tc>
        <w:tc>
          <w:tcPr>
            <w:tcW w:w="188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2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0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39</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4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auto"/>
              </w:rPr>
              <w:t>Item 6.</w:t>
            </w:r>
          </w:p>
        </w:tc>
        <w:tc>
          <w:tcPr>
            <w:tcW w:w="520" w:type="dxa"/>
            <w:vAlign w:val="bottom"/>
          </w:tcPr>
          <w:p>
            <w:pPr>
              <w:spacing w:after="0"/>
              <w:rPr>
                <w:sz w:val="20"/>
                <w:szCs w:val="20"/>
                <w:color w:val="auto"/>
              </w:rPr>
            </w:pPr>
          </w:p>
        </w:tc>
        <w:tc>
          <w:tcPr>
            <w:tcW w:w="800" w:type="dxa"/>
            <w:vAlign w:val="bottom"/>
            <w:gridSpan w:val="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Exhibits</w:t>
              </w:r>
            </w:hyperlink>
          </w:p>
        </w:tc>
        <w:tc>
          <w:tcPr>
            <w:tcW w:w="8820" w:type="dxa"/>
            <w:vAlign w:val="bottom"/>
            <w:gridSpan w:val="12"/>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0">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41</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468,010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85,675</w:t>
            </w:r>
          </w:p>
        </w:tc>
        <w:tc>
          <w:tcPr>
            <w:tcW w:w="0" w:type="dxa"/>
            <w:vAlign w:val="bottom"/>
          </w:tcPr>
          <w:p>
            <w:pPr>
              <w:spacing w:after="0"/>
              <w:rPr>
                <w:sz w:val="1"/>
                <w:szCs w:val="1"/>
                <w:color w:val="auto"/>
              </w:rPr>
            </w:pPr>
          </w:p>
        </w:tc>
      </w:tr>
      <w:tr>
        <w:trPr>
          <w:trHeight w:val="229"/>
        </w:trPr>
        <w:tc>
          <w:tcPr>
            <w:tcW w:w="8800" w:type="dxa"/>
            <w:vAlign w:val="bottom"/>
          </w:tcPr>
          <w:p>
            <w:pPr>
              <w:ind w:left="540"/>
              <w:spacing w:after="0"/>
              <w:rPr>
                <w:sz w:val="20"/>
                <w:szCs w:val="20"/>
                <w:color w:val="auto"/>
              </w:rPr>
            </w:pPr>
            <w:r>
              <w:rPr>
                <w:rFonts w:ascii="Arial" w:cs="Arial" w:eastAsia="Arial" w:hAnsi="Arial"/>
                <w:sz w:val="18"/>
                <w:szCs w:val="18"/>
                <w:color w:val="auto"/>
                <w:w w:val="97"/>
              </w:rPr>
              <w:t>Trade accounts receivable, net of allowances for doubtful accounts of $20,139 at September 30, 2015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$20,546 at December 31, 2014</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330,144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375,579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108,624</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1,086,943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1,105,916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Property and equipment, net of accumulated depreciation of $240,057 at September 30, 2015 and $239,607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686,359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599,863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Acquired intangible assets, net of accumulated amortization of $126,039 at September 30, 2015 and $113,153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158,267</w:t>
            </w:r>
          </w:p>
        </w:tc>
        <w:tc>
          <w:tcPr>
            <w:tcW w:w="0" w:type="dxa"/>
            <w:vAlign w:val="bottom"/>
          </w:tcPr>
          <w:p>
            <w:pPr>
              <w:spacing w:after="0"/>
              <w:rPr>
                <w:sz w:val="1"/>
                <w:szCs w:val="1"/>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w w:val="91"/>
              </w:rPr>
              <w:t>Other assets, net of accumulated amortization of $36,159 at September 30, 2015 and $30,276 at December 31, 2014</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62,206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2,165,745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388,323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445,984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850,649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848,881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1,368,111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1,318,747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$0.02 par value. 90,000,000 shares authorized; 57,707,721 issued at September 30, 2015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56,464,187 issued at December 31, 2014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1,015,258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955,715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4,928,927 shares at September 30, 2015 and 4,867,420 shares at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70,940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796,094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730,753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797,634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2,165,745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481,373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453,422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1,301,683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1,202,199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282,313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274,814</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791,749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743,789</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67,070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64,587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192,158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178,529</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117,820</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17,993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19,321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51,786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52,819</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411,099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402,690</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1,152,066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1,092,957</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70,274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50,732</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149,617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109,242</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1,956</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Loss from unconsolidated affiliates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Other (losses) gains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48,040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47,739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99,026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98,591</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(27,261)</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31,324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34,909</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64,970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71,330</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97"/>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31,334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35,037</w:t>
            </w:r>
          </w:p>
        </w:tc>
        <w:tc>
          <w:tcPr>
            <w:tcW w:w="3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65,321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71,561</w:t>
            </w:r>
          </w:p>
        </w:tc>
      </w:tr>
      <w:tr>
        <w:trPr>
          <w:trHeight w:val="257"/>
        </w:trPr>
        <w:tc>
          <w:tcPr>
            <w:tcW w:w="5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0"/>
              </w:rPr>
              <w:t>Weighted average shares outstanding:</w:t>
            </w:r>
          </w:p>
        </w:tc>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52,617,245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52,512,474</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52,075,388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51,658,823</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54,544,763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54,619,793</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53,944,248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53,740,151</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594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20" w:right="260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64,970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71,330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(61,557)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(54,221)</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17,109</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371</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10,167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17,480</w:t>
            </w: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20,287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3,775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(45,673)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2,001,386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(1,833,796)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borrowings from short-term debt obligations,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179,143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(27,988)</w:t>
            </w: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60,824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241,361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209,826</w:t>
            </w:r>
          </w:p>
        </w:tc>
      </w:tr>
      <w:tr>
        <w:trPr>
          <w:trHeight w:val="230"/>
        </w:trPr>
        <w:tc>
          <w:tcPr>
            <w:tcW w:w="8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528,834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451,187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56,554</w:t>
            </w:r>
          </w:p>
        </w:tc>
      </w:tr>
      <w:tr>
        <w:trPr>
          <w:trHeight w:val="230"/>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78"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67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September 30, 2015, the results of its operations for the three and nine months ended September 30, 2015 and 2014 and cash flows for the nine months ended September 30, 2015 and 2014. The unaudited consolidated financial statements should be read in conjunction with the audited consolidated financial statements of the Company for the year ended December 31, 2014, including the notes thereto, set forth in the Company’s 2014 Annual Report on Form 10-K. Certain amounts in prior years have been reclassified to conform to the current year's presentation.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No.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("ASU 2015-11"), which simplifies the valuation of inventory by using the lower of cost or net realizable value. ASU 2015-11 will become effective for the Company on January 1, 2017 and early adoption is permitted. The guidance is to be applied on a prospective basis. The adoption of ASU 2015-11 is not expected to have a significant impact on the Company's financial position, results of operations or cash flows.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April 2015, the FASB issued Accounting Standards Update No. 2015-03,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xml:space="preserve"> ("ASU 2015-03"), which requires that transaction costs related to the issuance of debt be deducted from the carrying value of the financial liability and not recorded as separate assets. ASU 2015-03 will become effective for the Company on January 1, 2016 and early adoption is permitted. The guidance is to be applied on a retrospective basis. Euronet has debt issuance costs which will be reclassified upon adoption of the guidance, but it is not expected to have a significant impact on the Company's financial position and it will have no impact upon the Company's results of operations or cash flows.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and the Company has the option to adopt it effective January 1, 2017. The standard permits the use of either the retrospective or cumulative effect transition method. The Company is evaluating the effect that ASU 2014-09 will have on its consolidated financial statements and related disclosures. The Company has not yet selected an adoption date, a transition method nor has it determined the effect of the standard on its ongoing financial reporting.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52,617,245</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52,512,474</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52,075,388</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51,658,823</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1,784,106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2,107,319</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1,725,448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2,081,328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143,412</w:t>
            </w:r>
          </w:p>
        </w:tc>
        <w:tc>
          <w:tcPr>
            <w:tcW w:w="12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143,412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54,544,763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54,619,793</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53,944,248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53,740,151</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and nine months ended September 30, 2015 and 2014. The calculation of diluted earnings per share excludes stock options or shares of restricted stock that are anti-dilutive to the Company’s weighted average common shares outstanding of approximately 578,000 and 614,000 for the three and nine months ended September 30, 2015, respectively, and approximately 693,000 and 695,000 for the three and nine months ended September 30, 2014, respectively.</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During the nine months ended September 30, 2015, the Company had convertible notes outstanding that, if converted, would have had a potentially dilutive effect on its common stock. At issuance, the Company stated its intent to settle any conversion of these notes by paying cash for the principal value and issuing common stock for any conversion value in excess of the principal value. As of September 30, 2015, and currently, the Company maintains the intent and ability to settle any conversion as stated. Accordingly, the convertible notes would only have a dilutive effect if the market price per share of common stock exceeds the conversion price per share of common stock, which it did as of September 30, 2015. Therefore, according to Accounting Standards Codification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these notes were dilutive to earnings per share for the three and nine months ended September 30, 2015. See Note 7, Debt Obligations, for more information about the convertible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foreign currency translation losses of $20.3 million and $55.3 million for the three and nine months ended September 30, 2015, respectively, and $61.6 million and $54.2 million for the three and nine months ended September 30, 2014, respectively. During the three months ended September 30, 2015, the Company liquidated a small subsidiary which resulted in a $0.1 million reclassification of foreign currency translation losses into the consolidated statements of income for the three and nine months ended September 30, 2015. There were no reclassifications of foreign currency translation into the consolidated statements of income for the three and nine months ended September 30,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 Corporation</w:t>
      </w:r>
    </w:p>
    <w:p>
      <w:pPr>
        <w:spacing w:after="0" w:line="117" w:lineRule="exact"/>
        <w:rPr>
          <w:sz w:val="20"/>
          <w:szCs w:val="20"/>
          <w:color w:val="auto"/>
        </w:rPr>
      </w:pPr>
    </w:p>
    <w:p>
      <w:pPr>
        <w:ind w:right="580"/>
        <w:spacing w:after="0" w:line="302" w:lineRule="auto"/>
        <w:rPr>
          <w:sz w:val="20"/>
          <w:szCs w:val="20"/>
          <w:color w:val="auto"/>
        </w:rPr>
      </w:pPr>
      <w:r>
        <w:rPr>
          <w:rFonts w:ascii="Arial" w:cs="Arial" w:eastAsia="Arial" w:hAnsi="Arial"/>
          <w:sz w:val="16"/>
          <w:szCs w:val="16"/>
          <w:color w:val="auto"/>
        </w:rPr>
        <w:t>On July 2, 2015, the Company completed the acquisition of all of the capital stock of XE Corporation and its subsidiaries ("XE") pursuant to a Share Purchase Agreement (the "XE Purchase Agreement") among the Company and the selling shareholders of XE (the "XE Sellers"). XE Corporation is a Canadian company which operates the XE.com and x-rates.com websites, providing currency-related data and international payments services. This acquisition provides Euronet an internationally recognized brand and a large Internet presence in which to offer its foreign currency products.</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Purchase Agreement, the Sellers received purchase consideration (the "XE Purchase Consideration") of $79.9 million in cash, including working capital adjustments finalized in the third quarter of 2015, and 642,912 shares of Euronet common stock, with a fair value at date of acquisition of $40.1 million. Half of the common stock portion of the XE Purchase Consideration was placed in escrow at closing as security for the XE Sellers' indemnification and other obligations under the XE Purchase Agreement. Any XE Purchase Consideration remaining in escrow will be released to the XE Sellers two years following the closing date, net of any pending indemnification or other claims under the XE Purchase Agreement.</w:t>
      </w:r>
    </w:p>
    <w:p>
      <w:pPr>
        <w:spacing w:after="0" w:line="64"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The XE Purchase Consideration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The intangible asset amounts are expected to be deductible for income tax purposes, but the goodwill amount is not.</w:t>
      </w:r>
    </w:p>
    <w:p>
      <w:pPr>
        <w:ind w:right="80"/>
        <w:spacing w:after="0" w:line="255" w:lineRule="auto"/>
        <w:rPr>
          <w:sz w:val="20"/>
          <w:szCs w:val="20"/>
          <w:color w:val="auto"/>
        </w:rPr>
      </w:pPr>
      <w:r>
        <w:rPr>
          <w:rFonts w:ascii="Arial" w:cs="Arial" w:eastAsia="Arial" w:hAnsi="Arial"/>
          <w:sz w:val="18"/>
          <w:szCs w:val="18"/>
          <w:color w:val="auto"/>
        </w:rPr>
        <w:t>Pro-forma results of operations, assuming this acquisition was made at the beginning of the earliest period presented, have not been presented because the effect of this acquisition was not material to the Company's results of operations. The net assets of XE and its results of operations are included in the Money Transfer Segment's results.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As of July 2, 2015</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9,636</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28,510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00" w:type="dxa"/>
            <w:vAlign w:val="bottom"/>
            <w:shd w:val="clear" w:color="auto" w:fill="CCEEFF"/>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97"/>
        </w:trPr>
        <w:tc>
          <w:tcPr>
            <w:tcW w:w="45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103,887</w:t>
            </w: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5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119,976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50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XE are being amortized on a straight-line basis, and the estimated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15,367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17, 2015, the Company completed the acquisition of all of the capital stock of IME (M) Sdn Bhd and certain affiliated companies ("IME") pursuant to a Share Purchase Agreement (the "IME Purchase Agreement") among the Company and the selling shareholders of IME (the "IME Sellers"). IME is a leading Malaysian-based money transfer provider and provides the Money Transfer Segment with immediate entry into the Asian and Middle East send markets.</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Under the terms of the IME Purchase Agreement, the IME Sellers received purchase consideration (the "IME Purchase Consideration") of $76.7 million in cash, including working capital adjustments finalized in the third quarter of 2015, and 49,941 shares of Euronet common stock, with a fair value at date of acquisition of $3.0 million. A portion of the IME Purchase Consideration was placed in escrow at closing as security for the IME Sellers' indemnification and other obligations under the IME Purchase Agreement. Any IME Purchase Consideration remaining in escrow will be released to the IME Sellers at various defined dates over five years following the closing date, net of any pending indemnification or other claims under the IME Purchase Agreement.</w:t>
      </w:r>
    </w:p>
    <w:p>
      <w:pPr>
        <w:spacing w:after="0" w:line="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IME Purchase Consideration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of operations. The net assets of IME and its results of operations are included in the Money Transfer Segment's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As of June 17,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35,130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90,725</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30,193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79,711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980" w:type="dxa"/>
            <w:vAlign w:val="bottom"/>
            <w:vMerge w:val="restart"/>
          </w:tcPr>
          <w:p>
            <w:pPr>
              <w:jc w:val="right"/>
              <w:ind w:right="35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of IME are being amortized on a straight-line basis, and the estimated fair values consist of the following:</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57"/>
        </w:trPr>
        <w:tc>
          <w:tcPr>
            <w:tcW w:w="8540" w:type="dxa"/>
            <w:vAlign w:val="bottom"/>
            <w:gridSpan w:val="2"/>
          </w:tcPr>
          <w:p>
            <w:pPr>
              <w:ind w:left="16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35,130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 months ended September 30,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758,130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184,577</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(64,667)</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173,974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686,359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860,333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September 30, 2015, is expected to total $6.1 million for the remainder of 2015, $24.3 million for 2016, $22.2 million for 2017, $20.0 million for 2018, $19.3 million for 2019 and $18.6 million for 2020.</w:t>
      </w:r>
    </w:p>
    <w:p>
      <w:pPr>
        <w:spacing w:after="0" w:line="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2014 resulted in no impairment charge.</w:t>
      </w:r>
    </w:p>
    <w:p>
      <w:pPr>
        <w:spacing w:after="0" w:line="6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2014 annual impairment test could change, which may result in the Company recording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97,115</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Money transfer settlement obligations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137,285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57"/>
        </w:trPr>
        <w:tc>
          <w:tcPr>
            <w:tcW w:w="5320" w:type="dxa"/>
            <w:vAlign w:val="bottom"/>
          </w:tcPr>
          <w:p>
            <w:pPr>
              <w:ind w:left="16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402,960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336,361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540" w:type="dxa"/>
            <w:vAlign w:val="bottom"/>
            <w:vMerge w:val="restart"/>
          </w:tcPr>
          <w:p>
            <w:pPr>
              <w:jc w:val="right"/>
              <w:ind w:right="30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 months ended September 30,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Revolving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Notes</w:t>
            </w:r>
          </w:p>
        </w:tc>
        <w:tc>
          <w:tcPr>
            <w:tcW w:w="180" w:type="dxa"/>
            <w:vAlign w:val="bottom"/>
          </w:tcPr>
          <w:p>
            <w:pPr>
              <w:spacing w:after="0"/>
              <w:rPr>
                <w:sz w:val="12"/>
                <w:szCs w:val="12"/>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Term Loan A</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Due 2044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425,888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borrowings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31,513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loss (gain)</w:t>
            </w: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345,357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467,531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as of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41,386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345,357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61,874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453,323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September 30, 2015, the Company had a $675 million senior secured credit facility (the "Credit Facility") consisting of a $600 million revolving credit facility and a $75 million term loan ("Term Loan A"), which had been reduced to $68.4 million through principal amortization payments. The Credit Facility expires April 9, 2019.</w:t>
      </w:r>
    </w:p>
    <w:p>
      <w:pPr>
        <w:spacing w:after="0" w:line="73"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Interest on borrowings under the revolving credit facility and Term Loan A varies based upon the Company's consolidated total leverage ratio, as defined in the Company's credit agreement, and during the third quarter of 2015 was based on a margin over the London Inter-Bank Offered Rate (“LIBOR”) rate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3.23% and 1.57%, respectively, as of September 30, 2015, excluding amortization of deferred financing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are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Contractual interest expense was $1.5 million and $4.5 million for the three and nine months ended September 30, 2015. Accretion expense was $2.5 million and $7.4 million for the three and nine months ended September 30, 2015. The effective interest rate was 4.7% for the three and nine months ended September 30, 2015. As of September 30, 2015, the unamortized discount was $57.1 million, and will be amortized through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2015, the Company had foreign currency forward contracts outstanding in the U.S. with a notional value of $188 million, primarily in Australian dollars, Canadian dollars, British pounds, euros and Mexican pesos.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$15.5 million and $47.1 million for the three and nine months ended September 30, 2015, respectively, and $15.9 million and $23.0 million for the three and nine months ended September 30, 2014,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HiFX operations as</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 September 30, 2015 was approximately $849 million. The majority of customer contracts are written in major currencies such as the euro, Canadian dollar, British pound, and Australian dollar.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48,094</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tables summarize the gross and net fair value of derivative assets and liabilities as of September 30, 2015 and December 31, 2014 (in thousands):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September 30, 2015</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48,094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48,094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648"/>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2015</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31,838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nine months ended September 30,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9"/>
          </w:tcPr>
          <w:p>
            <w:pPr>
              <w:jc w:val="right"/>
              <w:ind w:right="599"/>
              <w:spacing w:after="0"/>
              <w:rPr>
                <w:sz w:val="20"/>
                <w:szCs w:val="20"/>
                <w:color w:val="auto"/>
              </w:rPr>
            </w:pPr>
            <w:r>
              <w:rPr>
                <w:rFonts w:ascii="Arial" w:cs="Arial" w:eastAsia="Arial" w:hAnsi="Arial"/>
                <w:sz w:val="14"/>
                <w:szCs w:val="14"/>
                <w:b w:val="1"/>
                <w:bCs w:val="1"/>
                <w:color w:val="auto"/>
              </w:rPr>
              <w:t>Amount of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2320" w:type="dxa"/>
            <w:vAlign w:val="bottom"/>
            <w:gridSpan w:val="3"/>
          </w:tcPr>
          <w:p>
            <w:pPr>
              <w:jc w:val="right"/>
              <w:ind w:right="599"/>
              <w:spacing w:after="0" w:line="15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6"/>
                <w:szCs w:val="6"/>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1,501</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991</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As of September 30, 2015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48,094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48,094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(41,351)</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September 30, 2015 and December 31, 2014, the fair values of the Convertible Notes were $495.2 million and $408.0 million, respectively, with carrying values of $345.4 million and $338.0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20" w:hanging="648"/>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which are executed by a third party.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nine months ended September 30,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174,547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188,232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481,373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67,070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43,723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164,482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411,099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40,316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70,274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Three Months Ended September 30,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453,422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274,814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64,587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402,690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50,732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286,650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517,296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498,689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1,301,683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791,749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34,466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100,581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192,158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116,373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23,274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212,926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470,936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1,152,066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73,724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46,360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149,617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Nine Months Ended September 30, 2014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271,580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562,129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369,568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1,202,199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125,773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743,789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41,856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83,472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178,529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52,819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203,018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1,092,957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68,562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41,533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109,242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5"/>
              </w:rPr>
              <w:t>Property and Equipment, net as of</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December 31, 2014</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540,879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390,398</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23,310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565,516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754,448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1,033,915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837,360</w:t>
            </w:r>
          </w:p>
        </w:tc>
        <w:tc>
          <w:tcPr>
            <w:tcW w:w="0" w:type="dxa"/>
            <w:vAlign w:val="bottom"/>
          </w:tcPr>
          <w:p>
            <w:pPr>
              <w:spacing w:after="0"/>
              <w:rPr>
                <w:sz w:val="1"/>
                <w:szCs w:val="1"/>
                <w:color w:val="auto"/>
              </w:rPr>
            </w:pP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25,435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69,353</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149,506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125,307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2,165,745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effective income tax rates were 34.8% and 26.9% for the three months ended September 30, 2015 and 2014, respectively, and 34.4% and 27.7% for the nine months ended September 30, 2015 and 2014, respectively.</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effective income tax rates for the three and nine months ended September 30, 2015 and 2014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Additionally, the effective income tax rates for the three and nine months ended September 30, 2015 were significantly influenced by foreign currency exchange losses, most of which are not currently deductible for income tax purposes, resulting in a higher effective income tax rate when compared to the same periods of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September 30, 2015, the Company had $68.2 million of stand-by letters of credit/bank guarantees issued on its behalf, of which $42.7 million are outstanding under the revolving credit facility. The remaining stand-by letters of credit/bank guarantees are collateralized by $3.1 million of cash deposits held by the respective issuing banks.</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2015, the Company had granted off balance sheet guarantees for cash in various ATM networks amounting to $15.0 million over the terms of the cash supply agreements and performance guarantees amounting to approximately $24.3 million over the terms of agreements with the customers.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 w:lineRule="exact"/>
        <w:rPr>
          <w:sz w:val="20"/>
          <w:szCs w:val="20"/>
          <w:color w:val="auto"/>
        </w:rPr>
      </w:pPr>
    </w:p>
    <w:p>
      <w:pPr>
        <w:jc w:val="both"/>
        <w:ind w:left="580" w:right="2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damage to ATMs and theft of ATM network cash that is not recorded on the Company’s Consolidated Balance Sheets. As of September 30, 2015, the balance of ATM network cash for which the Company was responsible was approximately $450 million. The Company maintains insurance policies to mitigate this exposure;</w:t>
      </w:r>
    </w:p>
    <w:p>
      <w:pPr>
        <w:spacing w:after="0" w:line="38" w:lineRule="exact"/>
        <w:rPr>
          <w:rFonts w:ascii="Arial" w:cs="Arial" w:eastAsia="Arial" w:hAnsi="Arial"/>
          <w:sz w:val="16"/>
          <w:szCs w:val="16"/>
          <w:color w:val="auto"/>
        </w:rPr>
      </w:pPr>
    </w:p>
    <w:p>
      <w:pPr>
        <w:ind w:left="580" w:right="10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6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2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4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2015 or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Unclaimed property 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certain unmatched receipts from money transfer agents, payroll checks, accounts payable checks and accounts receivable credits for the period 1996 through 2007. In June 2015, the Company reached an agreement with the State of Delaware regarding unclaimed property for this period and through periods ending in 2009 and remitted an amount which was not material to the Company's consolidated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2014.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money transfer services. We operate in the following three segments:</w:t>
      </w:r>
    </w:p>
    <w:p>
      <w:pPr>
        <w:spacing w:after="0" w:line="79" w:lineRule="exact"/>
        <w:rPr>
          <w:sz w:val="20"/>
          <w:szCs w:val="20"/>
          <w:color w:val="auto"/>
        </w:rPr>
      </w:pPr>
    </w:p>
    <w:p>
      <w:pPr>
        <w:ind w:left="980" w:right="24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21,128 ATMs and approximately 96,000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665,000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40" w:hanging="648"/>
        <w:spacing w:after="0" w:line="288"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and Europe) and our websites (riamoneytransfer.com and imeremit.com), disbursing money transfers through a worldwide correspondent network that includes approximately 287,000 locations. XE is a provider of foreign currency exchange information and offers money transfer services on its currency data websites (xe.com and x-rates.com), which are executed by a third party. We offer services under the brand name HiFX through our HiFX websites (hifx.co.uk and 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61" w:lineRule="exact"/>
        <w:rPr>
          <w:sz w:val="20"/>
          <w:szCs w:val="20"/>
          <w:color w:val="auto"/>
        </w:rPr>
      </w:pPr>
    </w:p>
    <w:p>
      <w:pPr>
        <w:ind w:left="60" w:right="140"/>
        <w:spacing w:after="0" w:line="259" w:lineRule="auto"/>
        <w:rPr>
          <w:sz w:val="20"/>
          <w:szCs w:val="20"/>
          <w:color w:val="auto"/>
        </w:rPr>
      </w:pPr>
      <w:r>
        <w:rPr>
          <w:rFonts w:ascii="Arial" w:cs="Arial" w:eastAsia="Arial" w:hAnsi="Arial"/>
          <w:sz w:val="18"/>
          <w:szCs w:val="18"/>
          <w:color w:val="auto"/>
        </w:rPr>
        <w:t>We have five processing centers in Europe, five in Asia Pacific and two in North America. We have 30 principal offices in Europe, 12 in Asia Pacific, eight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25% and 22% of our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and first nine months of 2015,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fees received for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36% and 40% of our total consolidated revenues for the third quarter and</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2015,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The proportion of our revenues earned from distribution of prepaid mobile phone time as compared with other electronic products has decreased over time, and non-mobile content now produces approximately 45% of our revenues.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 Agreements with mobile operators and prepaid content providers are important to the success of our business and these agreements permit us to distribute prepaid mobile airtime and other electronic payment products to retailers.</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39% and 38% of our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quarter and first nine months of 2015,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primarily in North America and Europe, and our websites riamoneytransfer.com, hifx.co.uk, hifx.com.au, imeremit.com, xe.com and 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April 2014, the Company and Wal-Mart Stores, Inc. launched a new money transfer service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has an initial term of three years from the launch date which will automatically renew for an initial two year term and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52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legal and regulatory considerations in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our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nine months ended September 30, 2015 and 2014 are summarized in the tables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Revenues 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Revenues for the Nine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center"/>
              <w:ind w:left="95"/>
              <w:spacing w:after="0"/>
              <w:rPr>
                <w:sz w:val="20"/>
                <w:szCs w:val="20"/>
                <w:color w:val="auto"/>
              </w:rPr>
            </w:pPr>
            <w:r>
              <w:rPr>
                <w:rFonts w:ascii="Arial" w:cs="Arial" w:eastAsia="Arial" w:hAnsi="Arial"/>
                <w:sz w:val="14"/>
                <w:szCs w:val="14"/>
                <w:b w:val="1"/>
                <w:bCs w:val="1"/>
                <w:color w:val="auto"/>
                <w:w w:val="92"/>
              </w:rPr>
              <w:t>Ended September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Increase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(Decrease)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118,895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86"/>
              </w:rPr>
              <w:t>107,503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286,650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271,580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174,547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3"/>
          </w:tcPr>
          <w:p>
            <w:pPr>
              <w:jc w:val="right"/>
              <w:ind w:right="36"/>
              <w:spacing w:after="0"/>
              <w:rPr>
                <w:sz w:val="20"/>
                <w:szCs w:val="20"/>
                <w:color w:val="auto"/>
              </w:rPr>
            </w:pPr>
            <w:r>
              <w:rPr>
                <w:rFonts w:ascii="Arial" w:cs="Arial" w:eastAsia="Arial" w:hAnsi="Arial"/>
                <w:sz w:val="18"/>
                <w:szCs w:val="18"/>
                <w:color w:val="auto"/>
                <w:w w:val="86"/>
              </w:rPr>
              <w:t>195,086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(20,539)</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517,296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4"/>
          </w:tcPr>
          <w:p>
            <w:pPr>
              <w:jc w:val="right"/>
              <w:ind w:right="16"/>
              <w:spacing w:after="0"/>
              <w:rPr>
                <w:sz w:val="20"/>
                <w:szCs w:val="20"/>
                <w:color w:val="auto"/>
              </w:rPr>
            </w:pPr>
            <w:r>
              <w:rPr>
                <w:rFonts w:ascii="Arial" w:cs="Arial" w:eastAsia="Arial" w:hAnsi="Arial"/>
                <w:sz w:val="18"/>
                <w:szCs w:val="18"/>
                <w:color w:val="auto"/>
              </w:rPr>
              <w:t>562,129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188,232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86"/>
              </w:rPr>
              <w:t>151,250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498,689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369,568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129,121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481,674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86"/>
              </w:rPr>
              <w:t>453,839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27,835</w:t>
            </w:r>
          </w:p>
        </w:tc>
        <w:tc>
          <w:tcPr>
            <w:tcW w:w="80" w:type="dxa"/>
            <w:vAlign w:val="bottom"/>
            <w:tcBorders>
              <w:top w:val="single" w:sz="8" w:color="auto"/>
            </w:tcBorders>
          </w:tcPr>
          <w:p>
            <w:pPr>
              <w:spacing w:after="0"/>
              <w:rPr>
                <w:sz w:val="20"/>
                <w:szCs w:val="20"/>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1,302,635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1,203,277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99,358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6"/>
              </w:rPr>
              <w:t>eliminations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1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481,373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w w:val="86"/>
              </w:rPr>
              <w:t>453,422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27,951</w:t>
            </w:r>
          </w:p>
        </w:tc>
        <w:tc>
          <w:tcPr>
            <w:tcW w:w="80" w:type="dxa"/>
            <w:vAlign w:val="bottom"/>
            <w:tcBorders>
              <w:top w:val="single" w:sz="8" w:color="auto"/>
              <w:bottom w:val="single" w:sz="8" w:color="auto"/>
            </w:tcBorders>
          </w:tcPr>
          <w:p>
            <w:pPr>
              <w:spacing w:after="0"/>
              <w:rPr>
                <w:sz w:val="22"/>
                <w:szCs w:val="22"/>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6 %</w:t>
            </w:r>
          </w:p>
        </w:tc>
        <w:tc>
          <w:tcPr>
            <w:tcW w:w="2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1,301,683</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1,202,199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99,484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20" w:type="dxa"/>
            <w:vAlign w:val="bottom"/>
            <w:gridSpan w:val="10"/>
          </w:tcPr>
          <w:p>
            <w:pPr>
              <w:ind w:left="20"/>
              <w:spacing w:after="0"/>
              <w:rPr>
                <w:sz w:val="20"/>
                <w:szCs w:val="20"/>
                <w:color w:val="auto"/>
              </w:rPr>
            </w:pPr>
            <w:r>
              <w:rPr>
                <w:rFonts w:ascii="Arial" w:cs="Arial" w:eastAsia="Arial" w:hAnsi="Arial"/>
                <w:sz w:val="14"/>
                <w:szCs w:val="14"/>
                <w:b w:val="1"/>
                <w:bCs w:val="1"/>
                <w:color w:val="auto"/>
                <w:w w:val="97"/>
              </w:rPr>
              <w:t>Operating Income (Expense) for</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6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Operating Income (Expense) for the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9"/>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the 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vMerge w:val="restart"/>
          </w:tcPr>
          <w:p>
            <w:pPr>
              <w:jc w:val="right"/>
              <w:ind w:right="348"/>
              <w:spacing w:after="0"/>
              <w:rPr>
                <w:sz w:val="20"/>
                <w:szCs w:val="20"/>
                <w:color w:val="auto"/>
              </w:rPr>
            </w:pPr>
            <w:r>
              <w:rPr>
                <w:rFonts w:ascii="Arial" w:cs="Arial" w:eastAsia="Arial" w:hAnsi="Arial"/>
                <w:sz w:val="14"/>
                <w:szCs w:val="14"/>
                <w:b w:val="1"/>
                <w:bCs w:val="1"/>
                <w:color w:val="auto"/>
                <w:w w:val="96"/>
              </w:rPr>
              <w:t>Year-over-Year Change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33"/>
              <w:spacing w:after="0"/>
              <w:rPr>
                <w:sz w:val="20"/>
                <w:szCs w:val="20"/>
                <w:color w:val="auto"/>
              </w:rPr>
            </w:pPr>
            <w:r>
              <w:rPr>
                <w:rFonts w:ascii="Arial" w:cs="Arial" w:eastAsia="Arial" w:hAnsi="Arial"/>
                <w:sz w:val="14"/>
                <w:szCs w:val="14"/>
                <w:b w:val="1"/>
                <w:bCs w:val="1"/>
                <w:color w:val="auto"/>
                <w:w w:val="94"/>
              </w:rPr>
              <w:t>Nine Months Ended September 30,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8"/>
              </w:rPr>
              <w:t>Increase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(dollar amounts 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(Decrease)Amount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(Decrease)Amount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40,316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34,210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6,106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1"/>
                <w:szCs w:val="21"/>
                <w:color w:val="auto"/>
              </w:rPr>
            </w:pPr>
          </w:p>
        </w:tc>
        <w:tc>
          <w:tcPr>
            <w:tcW w:w="800" w:type="dxa"/>
            <w:vAlign w:val="bottom"/>
            <w:gridSpan w:val="3"/>
          </w:tcPr>
          <w:p>
            <w:pPr>
              <w:jc w:val="right"/>
              <w:ind w:right="35"/>
              <w:spacing w:after="0"/>
              <w:rPr>
                <w:sz w:val="20"/>
                <w:szCs w:val="20"/>
                <w:color w:val="auto"/>
              </w:rPr>
            </w:pPr>
            <w:r>
              <w:rPr>
                <w:rFonts w:ascii="Arial" w:cs="Arial" w:eastAsia="Arial" w:hAnsi="Arial"/>
                <w:sz w:val="18"/>
                <w:szCs w:val="18"/>
                <w:color w:val="auto"/>
              </w:rPr>
              <w:t>14,607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12,451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2,156</w:t>
            </w:r>
          </w:p>
        </w:tc>
        <w:tc>
          <w:tcPr>
            <w:tcW w:w="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46,360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41,533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8"/>
              </w:rPr>
              <w:t>11,167</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55,308</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27,336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27,972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7"/>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35"/>
              <w:spacing w:after="0"/>
              <w:rPr>
                <w:sz w:val="20"/>
                <w:szCs w:val="20"/>
                <w:color w:val="auto"/>
              </w:rPr>
            </w:pPr>
            <w:r>
              <w:rPr>
                <w:rFonts w:ascii="Arial" w:cs="Arial" w:eastAsia="Arial" w:hAnsi="Arial"/>
                <w:sz w:val="18"/>
                <w:szCs w:val="18"/>
                <w:color w:val="auto"/>
              </w:rPr>
              <w:t>78,673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59,244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8"/>
              </w:rPr>
              <w:t>19,429</w:t>
            </w:r>
          </w:p>
        </w:tc>
        <w:tc>
          <w:tcPr>
            <w:tcW w:w="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175,392</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137,431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37,961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8"/>
              </w:rPr>
              <w:t>(8,512)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19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3"/>
          </w:tcPr>
          <w:p>
            <w:pPr>
              <w:jc w:val="right"/>
              <w:ind w:right="35"/>
              <w:spacing w:after="0"/>
              <w:rPr>
                <w:sz w:val="20"/>
                <w:szCs w:val="20"/>
                <w:color w:val="auto"/>
              </w:rPr>
            </w:pPr>
            <w:r>
              <w:rPr>
                <w:rFonts w:ascii="Arial" w:cs="Arial" w:eastAsia="Arial" w:hAnsi="Arial"/>
                <w:sz w:val="18"/>
                <w:szCs w:val="18"/>
                <w:color w:val="auto"/>
              </w:rPr>
              <w:t>70,274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50,732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8"/>
              </w:rPr>
              <w:t>19,542</w:t>
            </w:r>
          </w:p>
        </w:tc>
        <w:tc>
          <w:tcPr>
            <w:tcW w:w="8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4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149,617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109,242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40,375</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ind w:left="3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the stronger U.S. dollar and positively impacted by the weaker U.S. dollar. On average, the U.S. dollar was considerably stronger in the third quarter and first nine months of 2015 than the same periods of 2014 compared to currencies of most markets in which we operate. Considering the results by country and the associated functional currency, we estimate that our reported consolidated operating income for the third quarter and first nine months of 2015 was 16% and 15% less, respectively, due to the changes in foreign currency exchange rates when compared to the same periods of 2014.</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Average Translation Rate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 September 30,</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c>
          <w:tcPr>
            <w:tcW w:w="120" w:type="dxa"/>
            <w:vAlign w:val="bottom"/>
          </w:tcPr>
          <w:p>
            <w:pPr>
              <w:spacing w:after="0"/>
              <w:rPr>
                <w:sz w:val="16"/>
                <w:szCs w:val="16"/>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1"/>
        </w:trPr>
        <w:tc>
          <w:tcPr>
            <w:tcW w:w="2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0.9244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0.7628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0.9179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0.2840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0.4398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0.3201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0.4374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1.1127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1.3246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1.1153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0.0154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0.0165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0.0158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0.0165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0.6508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0.8463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0.2657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0.3174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0.2685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0.3249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594"/>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 MONTHS ENDED SEPTEMBER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2015 and 2014 for our EFT Processing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15,070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34,466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23,274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212,926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40,316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34,210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6,106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73,724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68,562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5,162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ATMs as of September 30,</w:t>
            </w: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1,320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1,320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revenues for the third quarter and first nine months of 2015 increased when compared to the same periods of 2014 primarily due to an increase in the number of ATMs under management being partially offset by the impact of the U.S. dollar strengthening against key foreign currencies. The increase in ATMs and POS devices under management also contributed to an increase in dynamic currency conversion ("DCC") revenues which were partly offset by a decrease in rates charged for certain debit and credit card outsourcing services as a result of our actions to amend and extend a contract with a large European customer during the first quarter of 2015. The revenue increases were magnified in the third quarter as demand for ATM and DCC services are highest in this period because it is the height of the tourism season.</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EFT Processing business in Greece has been affected by the recent sovereign debt crisis in that country. First, due to capital controls on Greek banks, we were not able to obtain the full amount of cash from them needed to fill our ATMs which resulted in fewer transactions processed due to empty ATMs. However, we had arranged alternative sources of cash to supplement those supplied by Greek banks which largely mitigated ATM cash supply problems. Second, due to the uncertainty in Greece, tourist traffic was lower than usual which reduced the number of ATM withdrawals and DCC transactions processed. Further, some tourists who were concerned about their ability to withdraw cash from ATMs in Greece brought additional cash with them on their travels which resulted in fewer withdrawals from our ATMs, including DCC transactions. These circumstances are likely to continue to impact our operations in the near term, reducing the number of transactions processed and revenues recognized from what would otherwise be expected. Current developments appear to keep Greece as a member of the European Union and the Eurozone which allays the immediate risk of any currency conversion of our cash in Greece; however, the longer term risk of Greece exiting the European Union is still uncertain and any related currency conversion risk remains.</w:t>
      </w:r>
    </w:p>
    <w:p>
      <w:pPr>
        <w:spacing w:after="0" w:line="5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Average monthly revenues per ATM were $1,820 for the third quarter and $1,492 for the first nine months of 2015 compared to $1,830 for the third quarter and $1,589 for the first nine months of 2014. The decreases were primarily due to the strengthening of the U.S. dollar against key foreign currencies, partly offset by revenue growth from an increase in ATMs under management and DCC transactions processed. Revenues per transaction were $0.34 for the third quarter and $0.29 for the first nine months of 2015 compared to $0.33 for the third quarter and $0.29 for the first nine months of 2014. Revenue growth from DCC, which earns higher revenues per transaction than other ATM or card based services, was largely offset by the impact of the U.S. dollar strengthening against key foreign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third quarter and first nine months of 2015 compared to the same periods of 2014, primarily due to an increase in the number of ATMs under management, partly offset by the impact of the U.S. dollar strengthening against key foreign currencies.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$67.3 million for the third quarter and $150.9 million for the first nine months of 2015 compared to $60.9 million for the third quarter and $145.8 million for the first nine months of 2014. The increases in gross profit were primarily due to the growth in revenues from the increases in ATMs under management and DCC transactions processed, partly offset by the impact of the U.S dollar strengthening against key foreign currencies and decreases in rates charged for certain debit and credit card outsourcing services. Gross profit as a percentage of revenues (“gross margin”) was 56.6% for the third quarter and 52.6% for the first nine months of 2015 compared to 56.6% for the third quarter and 53.7% for the first nine months of 2014. The decrease in gross margin for the first nine months of 2015 was primarily due to the decrease in rates charged for certain debit and credit card outsourcing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slight decreases in salaries and benefits for the third quarter and first nine months of 2015 compared to the same periods of 2014 were primarily due to the impact of the U.S. dollar strengthening against key foreign currencies being largely offset by additional headcount to support an increase in the number of ATMs and POS devices under management. As a percentage of revenues, these costs decreased to 10.0% for the third quarter and 12.0% for the first nine months of 2015 from 11.3% for third quarter and 12.9% for the first nine months of 2014. These decreases were primarily due to the growth in revenues earned from DCC and other value added service transactions on our ATMs under management, which require minimal incremental support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Selling, general and administrative expenses increased slightly for the third quarter and first nine months of 2015 compared to the same periods of 2014 primarily due to the increased support costs as a result of the increase in the number of ATMs under management, partly offset by the impact of the U.S. dollar strengthening against key foreign currencies. The increase for the third quarter of 2015 was also affected by an increase in bad debt expense. As a percentage of revenues, these expenses decreased to 5.9% for the third quarter and 6.8% for the first nine months of 2015 from 6.1% for the third quarter and 7.1% for the first nine months of 2014. These decreases were primarily due to the growth in revenues earned from DCC and other value added service transactions on our ATMs and POS devices under management, which require minimal incremental support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minor increases in depreciation and amortization expense for the third quarter and first nine months of 2015 compared to the same periods of 2014 were primarily due to an increase in depreciation on our ATMs under management and software assets, largely offset by the impact of the U.S. dollar strengthening against key foreign currencies. As a percentage of revenues, depreciation and amortization expense decreased to 6.8% for the third quarter and 8.1% for the first nine months of 2015 from 7.5% for the third quarter and 8.5% for the first nine months of 2014, primarily due to revenue growth outpacing the growth in our ATMs under management and the increase in software capitalization.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increase in operating income for the third quarter of 2015 compared to the same period of 2014 was primarily due to the increase in the number of ATMs under management and growth in revenues earned from DCC and other value added service transactions, partly offset by the impact of the U.S. dollar strengthening against key foreign currencies. The increase in operating income for the first nine months of 2015 compared to the same period of 2014 was more significantly impacted by the decrease in rates charged for certain debit and credit card management services than the third quarter of 2015.</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as a percentage of revenues (“operating margin”) increased to 33.9% for the third quarter and 25.7% for the first nine months of 2015 from 31.8% for the third quarter and 25.2% for the first nine months of 2014. The increases in operating margin were primarily due to the increase in the number of ATMs under management and growth in revenues earned from DCC and other value added service transactions. Theses increases were partly offset by the decrease in rates charged for certain debit and credit card management services which impacted the first nine months more than the third quarter of 2015. Operating income per transaction increased to $0.12 for the third quarter and $0.08 for the first nine months of 2015 from $0.11 for the third quarter and $0.07 for the first nine months of 2014.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nine months ended September 30, 2015 and 2014 for our epay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6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174,547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195,086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562,129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153,121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(38,124)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159,940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182,635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520,596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12,451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2,156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41,533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4,827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decreases in revenues for the third quarter and first nine months of 2015 compared to the same periods of 2014 were primarily due to the impact of the U.S. dollar strengthening against key foreign currencies, a decrease in prepaid mobile transactions processed in Brazil and the U.K. and lower rates charged for certain transactions in the U.S. Partially offsetting the decreases in revenues for the third quarter and first nine months of 2015 was an increase in the number of non-mobile transactions processed in Germany and certain emerging markets and an increase in voucher redemptions in our cadooz subsidiary following strong year-end holiday sales. Additionally, third quarter 2015 results included an unexpected high volume of non-mobile transactions related to promotional activities of a content partner which is uncertain to recur.</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currently expect most of our future revenue growth in the epay segment to be derived from: (i) additional electronic payment products sold over the base of POS terminals, (ii) value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Revenues per transaction decreased to $0.52 for both the third quarter and first nine months of 2015 from $0.61 for the third quarter and $0.62 for the first nine months of 2014, primarily due to the impact of the U.S. dollar strengthening against key foreign currencies and growth in the number of prepaid mobile transactions processed in India, where revenues per transaction are considerably lower than average. The decrease in revenues per transaction was partly offset by the increase in the number of non-mobile transactions processed, for which we generally earn higher revenues per transaction than mobile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decreases in direct operating costs for the third quarter and first nine months of 2015 compared to the same periods of 2014 were primarily due to the net impact of the U.S. dollar strengthening against key foreign currencies and the decrease in prepaid mobile transactions processed in the U.K. and Brazil. The decreases were partly offset by the increases in vouchers redeemed in our cadooz subsidiary and non-mobile transactions processed in Germany and certain emerging markets, along with the increase in non-mobile transactions related to promotional activities described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was $41.4 million for the third quarter and $120.4 million for the first nine months of 2015 compared to $42.0 million for the third quarter and $127.1 million for the first nine months of 2014. The decreases in gross profit were primarily due to the net impact of the U.S. dollar strengthening against key foreign currencies and the decreases in revenues in Brazil and the U.K. The decreases were partly offset by growth in non-mobile transactions processed in Germany and certain emerging markets, along with the increase in non-mobile transactions related to promotional activities and the increase in vouchers redeemed in our cadooz subsidiary.</w:t>
      </w:r>
    </w:p>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Gross margin was 23.7% for the third quarter and 23.3% for the first nine months of 2015 compared to 21.5% and 22.6% for the same periods of 2014, respectively. The increase in the third quarter was primarily due to the increase in non-mobile transactions processed. Gross margin for the first nine months of 2015 was also impacted by a decrease in revenues in Brazil and lower gross margins realized on voucher redemptions.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decreases in salaries and benefits for the third quarter and first nine months of 2015 compared to the same periods of 2014 were primarily due the U.S. dollar strengthening against key foreign currencies, partly offset by an increase in bonus expense related to the improved results and headcount added to support growth in Germany.</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percentage of revenues, salaries and benefits decreased to 7.3% for the third quarter and 7.2% for the first nine months of 2015 compared to 7.4% for each of the same periods of 2014, primarily due to transaction growth exceeding headcount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nine months of 2015 compared to the same period of 2014 was primarily due to the net impact of the U.S. dollar strengthening against key foreign currencies. The third quarter of 2015 was also impacted by the write-down of certain deferred costs which were no longer recoverable under the respective contracts.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percentage of revenues, selling, general and administrative expenses increased to 6.5% for the third quarter of 2015 from 5.7% for the same period of 2014, and decreased to 5.5% for the first nine months of 2015 compared to 5.6% for the same period of 2014. The increase for the third quarter of 2015 was primarily due to the deferred cost write-downs discussed above. The decrease for the first nine months of 2015 compared to same period of 2014 was mainly due to transaction growth with little increase in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Depreciation and amortization expense primarily represents depreciation of POS terminals we place in retail stores and the amortization of acquired intangible assets. Depreciation and amortization expense decreased for the third quarter and first nine months of 2015 compared to the same periods of 2014 primarily due to the net impact of the U.S. dollar strengthening against key foreign currencies and certain assets becoming fully depreciated without yet being replaced. As a percentage of revenues, depreciation and amortization expense decreased to 1.5% for the third quarter and 1.6% for the first nine months of 2015 from 2.0% for the third quarter and 2.2% for the first nine months of 2014 mainly as a result of the fully depreciated assets not being replaced.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increases in operating income for the third quarter and first nine months of 2015 compared to the same periods of 2014 were primarily due to the growth in transactions processed exceeding the growth in support costs, partly offset by the net impact of the U.S. dollar strengthening against key foreign currencies and deferred cost write-downs in the third quarter of 2015.</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Operating margin increased to 8.4% for the third quarter and 9.0% for the first nine months of 2015 from 6.4% and 7.4% for the same periods of 2014, respectively, primarily due to the growth in transactions processed while keeping costs stable. Operating income per transaction remained at $0.04 for the third quarters and $0.05 for the first nine months of 2015 and 2014.</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 months ended September 30, 2015 and 2014 for the Money Transfer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36,982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498,689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369,568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129,121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97,928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76,023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36,187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3,968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100,581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83,472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17,109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23,356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19,703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2,366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164,482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443,381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5"/>
              </w:rPr>
              <w:t>101,149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26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23,750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11,167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89 %</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55,308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27,336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27,972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increases in revenues for the third quarter and first nine months of 2015 compared to the same periods of 2014 were primarily due to increases in the number of money transfers processed, driven by growth in our U.S and foreign agent and correspondent payout networks, the April 2014 launch of the domestic Walmart money transfer product and the impacts of our June 2014 acquisition of HiFX, our June 2015 acquisition of IME (M) Sdn Bhd ("IME"), our Malaysian money transfer operation, and our July 2015 acquisition of XE Corporation. Additionally, the third quarter 2015 results include the benefit of increased foreign currency exchange margins related to a market dislocation on a currency pair in one of our markets. The increases were partly offset by the U.S. dollar strengthening against key foreign currencies.</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per transaction decreased to $9.91 for the third quarter and $10.09 for the first nine months of 2015 from $11.12 for the third quarter and $10.90 for the first nine months of 2014, primarily due to the impact of the U.S. dollar strengthening against key foreign currencies and the launch of our Walmart money transfer product during the second quarter of 2014, which earns lower revenues per transaction than other money transfer services. Partly offsetting these decreases in revenues per transaction was the impact of the HiFX transactions which earn higher revenues per transaction than other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increases in direct operating costs for the third quarter and first nine months of 2015 compared to the same periods of 2014 were primarily due to growth in the number of money transfer transactions processed in both the U.S. and non-U.S. locations. Partly offsetting the increases in direct operating costs was the impact of the U.S. dollar strengthening against key foreign currencies.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was $90.3 million for the third quarter and $238.7 million for the first nine months of 2015 compared to $75.8 million for the third quarter and $185.6 million for the first nine months of 2014. The increases in gross profit were primarily due to growth in the number of money transfer transactions processed in both the U.S. and foreign markets and the impact of our acquisitions of HiFX, IME and XE. Partly offsetting the increases in gross profit was the impact of the U.S. dollar strengthening against key foreign currencies.</w:t>
      </w:r>
    </w:p>
    <w:p>
      <w:pPr>
        <w:spacing w:after="0" w:line="7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Gross margin decreased to 48.0% for the third quarter and 47.9% for the first nine months of 2015 from 50.1% for third quarter and 50.2% for the first nine months of 2014, primarily due to the growth of our Walmart money transfer product in the U.S., which earns a lower gross profit per transaction than other money transfer services, partly offset by the impact of our acquisition of HiFX, which has higher margin transactions.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increases in salaries and benefits for the third quarter and first nine months of 2015 compared to the same periods of 2014 were primarily due to the impact of our acquisitions of HiFX, IME and XE, an increase in headcount as a result of the launch of our Walmart money transfer product and expansion of our operations in foreign markets. As a percentage of revenues, salaries and benefits improved to 19.2% for the third quarter and 20.2% for the first nine months of 2015 from 21.3% for the third quarter and 22.6% for the first nine months of 2014, primarily due to the increase in the number of money transfers processed, which did not require a similar increase in support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increase in selling, general and administrative expenses for the first nine months of 2015 compared to the same period of 2014 was primarily due to the impact of our acquisitions of HiFX, IME and XE and expenses incurred to support the expansion of our money transfer products in both the U.S. and foreign markets. Partly offsetting the increases in selling, general and administrative expenses were the impact of the U.S. dollar strengthening against key foreign currencies, a decrease in bad debt expense and the write-down of certain customer acquisition costs in the first and third quarters of 2014. The third quarter 2014 bad debt charges and write-down of customer acquisition costs resulted in a decrease in selling, general and administrative costs in the third quarter of 2015 compared to the same period in 2014.</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decreased to 12.4% for the third quarter and 12.7% for the first nine months of 2015 from 15.7% and 15.5% for the same periods of 2014, respectively, primarily due to an increase in the number of money transfers processed, which did not require a similar increase in support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Depreciation and amortization primarily represents amortization of acquired intangible assets and depreciation of money transfer terminals, computers and software, leasehold improvements and office equipment. The increase in depreciation and amortization for the first nine months of 2015 compared to the same period of 2014 was primarily due to the amortization of intangible assets related to the acquisitions of HiFX, IME and XE and investments made to support the growth in the business. Partly offsetting these increases was the the impact of the U.S. dollar strengthening against key foreign currencies. Additionally, certain intangible assets became fully amortized in the first quarter of 2015, which resulted in a slight decrease in depreciation and amortization expense for the third quarter of 2015 compared to the same period of 2014.</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percentage of revenues, depreciation and amortization decreased to 3.7% for the third quarter and 4.0% for the first nine months of 2015 from 4.8% and 4.7% for the same periods of 2014, respectively. These decreases were primarily due to certain intangible assets becoming fully amortized in the first quarter of 2015 and the effect of revenues earned from our Walmart money transfer product, which required less capital investment than other money transfer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increases in operating income for the third quarter and first nine months of 2015 compared to the same periods of 2014 were primarily due to the increase in the number of money transfers processed, the impact of our acquisitions of HiFX, IME and XE, the write-down of certain customer acquisition costs during the first and third quarters of 2014 and lower bad debt expense, partly offset by an increase in salaries and benefits and other costs to support the growth in the business. Also partly offsetting the increase in operating income was the impact of the U.S. dollar strengthening against key foreign currencies.</w:t>
      </w:r>
    </w:p>
    <w:p>
      <w:pPr>
        <w:spacing w:after="0" w:line="46"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a percentage of revenues, operating margin increased to 12.6% for the third quarter and 11.1% for the first nine months of 2015 from 8.3% and 7.4% for same periods of 2014, respectively, primarily due to the increase in the number of money transfers processed, the acquisitions of HiFX, IME and XE, lower bad debt expense and the write-down of certain customer acquisition costs in the first and third quarters of 2014.</w:t>
      </w:r>
    </w:p>
    <w:p>
      <w:pPr>
        <w:spacing w:after="0" w:line="5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Operating income per transaction increased to $1.25 for the third quarter and $1.12 for the first nine months of 2015 from $0.93 and $0.81 for the same periods of 2014, respectively, primarily due to the increase in the number of money transfers processed, which did not require a similar increase in support costs, along with the impact of the higher margin HiFX transactions, lower bad debt expense and the first and third quarter 2014 write-downs of customer acquisition costs, partly offset by the impact of the U.S. dollar strengthening against key foreign currencies.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operating expenses for the three and nine months ended September 30, 2015 and 2014 for Corporate Services: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1,865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8,399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25,775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Overall, operating expenses for Corporate Services decreased for the third quarter and first nine months of 2015 compared to the same periods of 2014. The increases in salaries and benefits were primarily due to increased headcount, employee raises and an increase in bonus expense related to the Company's improved performance. The decrease in selling, general and administrative expense for the first nine months was primarily due to the settlement during the second quarter of 2014 of a dispute related to a prior period potential acquisition and charges recorded in the third quarter of 2014 related to unclaimed property.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3"/>
            <w:vMerge w:val="restart"/>
          </w:tcPr>
          <w:p>
            <w:pPr>
              <w:jc w:val="right"/>
              <w:ind w:right="238"/>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12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440" w:type="dxa"/>
            <w:vAlign w:val="bottom"/>
            <w:gridSpan w:val="3"/>
            <w:vMerge w:val="restart"/>
          </w:tcPr>
          <w:p>
            <w:pPr>
              <w:jc w:val="right"/>
              <w:ind w:right="4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24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(18,482)</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1000" w:type="dxa"/>
            <w:vAlign w:val="bottom"/>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(15,299)</w:t>
            </w:r>
          </w:p>
        </w:tc>
        <w:tc>
          <w:tcPr>
            <w:tcW w:w="120" w:type="dxa"/>
            <w:vAlign w:val="bottom"/>
          </w:tcPr>
          <w:p>
            <w:pPr>
              <w:spacing w:after="0"/>
              <w:rPr>
                <w:sz w:val="20"/>
                <w:szCs w:val="20"/>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000" w:type="dxa"/>
            <w:vAlign w:val="bottom"/>
          </w:tcPr>
          <w:p>
            <w:pPr>
              <w:jc w:val="right"/>
              <w:spacing w:after="0"/>
              <w:rPr>
                <w:sz w:val="20"/>
                <w:szCs w:val="20"/>
                <w:color w:val="auto"/>
              </w:rPr>
            </w:pPr>
            <w:r>
              <w:rPr>
                <w:rFonts w:ascii="Arial" w:cs="Arial" w:eastAsia="Arial" w:hAnsi="Arial"/>
                <w:sz w:val="18"/>
                <w:szCs w:val="18"/>
                <w:color w:val="auto"/>
              </w:rPr>
              <w:t>(34,066)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(28,999)</w:t>
            </w:r>
          </w:p>
        </w:tc>
        <w:tc>
          <w:tcPr>
            <w:tcW w:w="10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(losses) gains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38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(22,234)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(19,241)</w:t>
            </w:r>
          </w:p>
        </w:tc>
        <w:tc>
          <w:tcPr>
            <w:tcW w:w="120" w:type="dxa"/>
            <w:vAlign w:val="bottom"/>
          </w:tcPr>
          <w:p>
            <w:pPr>
              <w:spacing w:after="0"/>
              <w:rPr>
                <w:sz w:val="22"/>
                <w:szCs w:val="22"/>
                <w:color w:val="auto"/>
              </w:rPr>
            </w:pP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(50,591)</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(10,651)</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(39,940)</w:t>
            </w:r>
          </w:p>
        </w:tc>
        <w:tc>
          <w:tcPr>
            <w:tcW w:w="100" w:type="dxa"/>
            <w:vAlign w:val="bottom"/>
          </w:tcPr>
          <w:p>
            <w:pPr>
              <w:spacing w:after="0"/>
              <w:rPr>
                <w:sz w:val="22"/>
                <w:szCs w:val="22"/>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decreases in interest income for the third quarter and first nine months of 2015 compared to the same periods of 2014 were primarily due to a decrease in interest earned on funds held in Brazil and Australia and the impact of the U.S. dollar strengthening against key foreign currencies.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increases in interest expense for the third quarter and first nine months of 2015 compared to the same periods of 2014 were largely the result of the issuance of the Convertible Notes in the fourth quarter of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recorded net foreign currency exchange losses of $16.0 million and $0.7 million for the third quarters of 2015 and 2014, respectively, and $34.1 million and $5.1 million for the first nine months of 2015 and 2014, respectively. These realized and unrealized net foreign currency exchange losses reflect the fluctuation in the value of the U.S. dollar against the currencies of the countries in which we operated during the respective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(losses) gains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third quarter 2015 loss related to the liquidation of a small subsidiary. The gain for the first nine months of 2015 includes the result of the sale of a minor line of business by one of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effective income tax rates were 34.8% and 26.9% for the third quarter of 2015 and 2014, respectively, and 34.4% and 27.7% for the first nine months of 2015 and 2014, respectively. The effective income tax rates for the third quarter and first nine months of 2015 were significantly influenced by foreign currency exchange losses. Excluding this item from pre-tax income, as well as the related tax effect, the effective income tax rates were 25.8% and 25.3% for the third quarter and first nine months of 2015, respectively.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income tax rates for the third quarter and first nine months of 2015, as adjusted for foreign currency exchange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The decreases in the effective tax rates for the third quarter and the first nine months of 2015, as adjusted for foreign currency exchange losses, compared to the same periods of 2014 were largely due to an increase in the portion of earnings generated in the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Net income attributable to Euronet was $31.3 million for the third quarter and $65.3 million for the first nine months of 2015 compared to $35.0 million for the third quarter and $71.6 million for the first nine months of 2014. As more fully discussed above, the $6.3 million decrease in net income for the first nine months of 2015 compared to the same period of 2014 was primarily due to an increase in net foreign currency exchange loss of $29.0 million, an increase in interest expense of $11.0 million and an increase in income tax expense of $6.8 million. These decreases to net income were partly offset by an increase in operating income of $40.4 million and a decrease in other non-operating costs of $0.1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and December 31, 2014, we had working capital, which is calculated as the difference between total current assets and total current liabilities, of $236.3 million and $257.0 million, respectively. Our ratio of current assets to current liabilities at September 30, 2015 and December 31, 2014 was 1.28 and 1.30, respectively.</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In the Money Transfer Segment, we fund the payout of the majority of our consumer-to-consumer money transfers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September 30, 2015, we had approximately $191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$528.8 million at September 30, 2015, of which $471.5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nine-month periods ended September 30, 2015 and 2014 (in thousands):</w:t>
      </w:r>
    </w:p>
    <w:p>
      <w:pPr>
        <w:spacing w:after="0" w:line="117"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231,518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224,639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179,143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60,824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241,361</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Cash flows provided by operating activities were $231.5 million for the first nine months of 2015 compared to $224.6 million for the first nine months of 2014. The increase is primarily due to improved operating results partially offset by fluctuations in working capital mainly associated with the timing of the settlement processes with mobile operators and other content providers in the epay Segment and with correspondents in the Money Transfer Segment.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flows used in investing activities were $173.1 million for the first nine months of 2015 compared to $134.4 million for the first nine months of 2014. Cash used for acquisitions was $114.0 million for the first nine months of 2015 compared to $84.7 million for the first nine months of 2014. During the first nine months of 2015, we used $55.3 million for purchases of property and equipment compared to $45.7 million during the first nine months of 2014; the increase was primarily related to ATM network expansion. Cash used for software development and other investing activities totaled $3.8 million for the first nine months of 2015 compared to $4.0 million for the same period of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Cash flows provided by financing activities were $31.3 million for the first nine months of 2015 compared to $179.1 million for the first nine months of 2014. Our financing activities for the first nine months of 2015 consisted of net borrowings of $31.4 million compared to $175.5 million for the first nine months of 2014. The decrease in net borrowings during the first nine months of 2015 compared to the same period of 2014 was the result of having cash available during the first half of 2015 from the fourth quarter 2014 issuance of the Convertible Notes compared to borrowings needed for acquisitions and working capital purposes in the first nine months of 2014. Additionally, we used $2.5 million and $1.9 million during the first nine months of 2015 and 2014, respectively, for capital lease repayments. During the first nine months of 2015, we paid $5.1 million for the amount of payroll taxes represented by the common stock withheld on restricted stock vestings and stock option exercises compared to $1.2 million for the same period of 2014; we also purchased $0.1 million of our stock in the open market during the first nine months of 2015. We received proceeds from stock option exercises of $6.7 million and $8.5 million for the first nine months of 2015 and 2014, respectively. During the first nine months of 2014, we paid $2.5 million for debt issuance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2015, we had a $675 million senior secured credit facility (the "Credit Facility") consisting of a $590 million revolving credit facility, a $10 million India revolving credit facility and a $75 million term loan ("Term Loan A"), which had been reduced to $68.4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The Credit Facility expires April 9, 2019.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2015,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2015, we had borrowings of $68.4 million outstanding under Term Loan A. We had $41.4 million of borrowings and $42.7 million of stand-by letters of credit outstanding under the revolving credit facility as of September 30, 2015. The remaining $515.9 million under the revolving credit facility was available for borrowing. As of September 30, 2015, our weighted average interest rates under the revolving credit facility and Term Loan A were 3.23% and 1.57%, respectively, excluding amortization of deferred financing costs.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as of September 30, 2015 were primarily comprised of $6.6 million of payments due in the next twelve months under Term Loan A. Certain of our subsidiaries also have available credit lines and overdraft facilities to supplement short-term working capital requirements, when necessary, and there was $6.4 million outstanding under these facilities as of September 30,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2015 were $59.7 million. These capital expenditures were made primarily for the purchase of ATMs in Poland and India, as well as for office, data center and company store computer equipment and software, and POS terminals for the epay Segment. Total capital expenditures for 2015 are currently estimated to range from approximately $75.0 million to $85.0 million.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17, 2015, the Company completed the acquisition of all of the capital stock of IME (M) Sdn Bhd and certain affiliated companies ("IME") pursuant to a Share Purchase Agreement (the "Purchase Agreement") among the Company and the selling shareholders of IME (the "Sellers"). IME is a leading Malaysian-based money transfer provider and provides the Money Transfer Segment with immediate entry into the Asian and Middle East send markets.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$76.7 million in cash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July 2, 2015, the Company completed the acquisition of all of the capital stock of XE Corporation, a global leader in digital foreign exchange information. XE Corporation is a Canadian company which operates the XE.com and x-rates.com websites, providing currency-related data and international payments services.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terms of the purchase, the Company paid purchase consideration of $79.9 million in cash and 642,912 shares of Euronet common stock, with a fair value at date of acquisition of $40.1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could take place in the open market or in privately negotiated transactions, including derivative transactions, and could be made under a Rule 10b5-1 plan. We purchased 1,600 shares for $85 thousand during the first quarter of 2015 and none in the second or third quarters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2015, there were no material changes from the disclosure in our Annual Report on Form 10-K for the year ended December 31, 2014. To date, we are not aware of any significant claims made by the indemnified parties or parties to whom we have provided guarantees on behalf of our subsidiaries and, accordingly, no liabilities have been recorded as of September 30, 2015.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our future contractual obligations have not changed significantly from the amounts reported within our 2014 Form 10-K.</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320"/>
        <w:spacing w:after="0" w:line="291" w:lineRule="auto"/>
        <w:rPr>
          <w:sz w:val="20"/>
          <w:szCs w:val="20"/>
          <w:color w:val="auto"/>
        </w:rPr>
      </w:pPr>
      <w:r>
        <w:rPr>
          <w:rFonts w:ascii="Arial" w:cs="Arial" w:eastAsia="Arial" w:hAnsi="Arial"/>
          <w:sz w:val="16"/>
          <w:szCs w:val="16"/>
          <w:color w:val="auto"/>
        </w:rPr>
        <w:t>As of September 30, 2015, our total debt outstanding was $467.5 million. Of this amount, $345.4 million, 74% of our total debt obligations, relates to our Convertible Notes having a fixed coupon rate. Our $402.5 million principal amount of Convertible Notes, issued in October 2014, accrue cash interest of</w:t>
      </w:r>
    </w:p>
    <w:p>
      <w:pPr>
        <w:ind w:right="160"/>
        <w:spacing w:after="0" w:line="252" w:lineRule="auto"/>
        <w:rPr>
          <w:sz w:val="20"/>
          <w:szCs w:val="20"/>
          <w:color w:val="auto"/>
        </w:rPr>
      </w:pPr>
      <w:r>
        <w:rPr>
          <w:rFonts w:ascii="Arial" w:cs="Arial" w:eastAsia="Arial" w:hAnsi="Arial"/>
          <w:sz w:val="18"/>
          <w:szCs w:val="18"/>
          <w:color w:val="auto"/>
        </w:rPr>
        <w:t>1.5% of the principal amount per annum. Based on quoted market prices, as of September 30, 2015, the fair value of our fixed rate Convertible Notes was $495.2 million, compared to a carrying value of $345.4 million. Interest expense for these notes, including accretion and amortization of deferred debt issuance costs, has a weighted average interest rate of 4.7% annually. Additionally, $116.2 million, or 25%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$6.3 million.</w:t>
      </w:r>
    </w:p>
    <w:p>
      <w:pPr>
        <w:spacing w:after="0" w:line="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$5.9 million, or 1% of our total debt obligations, relates to capitalized leases with fixed payment and interest terms that expire between 2015 and 2019.</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first nine months of 2015, approximately 70%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September 30, 2015, we estimate that a 10% fluctuation in these foreign currency exchange rates would have the combined annualized effect on reported net income and working capital of approximately $60 million to $65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$80 million to</w:t>
      </w:r>
    </w:p>
    <w:p>
      <w:pPr>
        <w:spacing w:after="0"/>
        <w:rPr>
          <w:sz w:val="20"/>
          <w:szCs w:val="20"/>
          <w:color w:val="auto"/>
        </w:rPr>
      </w:pPr>
      <w:r>
        <w:rPr>
          <w:rFonts w:ascii="Arial" w:cs="Arial" w:eastAsia="Arial" w:hAnsi="Arial"/>
          <w:sz w:val="16"/>
          <w:szCs w:val="16"/>
          <w:color w:val="auto"/>
        </w:rPr>
        <w:t>$85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customers at retail exchange rates. We enter into foreign currency forwards and cross-currency swaps, to minimize exposure related to fluctuations in foreign currency exchange rates. As of September 30, 2015, we had foreign currency derivative contracts outstanding with a notional value of $1.0 billion, primarily in Australian dollars, British pounds, euros and Mexican pesos, that were not designated as hedges and mature within the next twelve months. See Note 8, Derivative Instruments and Hedging Activities to our unaudited consolidated financial statements for additional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2014,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2014, as filed with the SEC.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8"/>
              </w:rPr>
              <w:t>The following materials from Euronet Worldwide, Inc.’s Quarterly Report on Form 10-Q for the quarter ended September 30, 2015,</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formatted in XBRL (eXtensible Business Reporting Language): (i) Consolidated Balance Sheets at September 30, 2015 (unaudited)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December 31, 2014, (ii) Consolidated Statements of Income (unaudited) for the three and nine months ended September 30, 2015 and 2014,</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(iii) Consolidated Statements of Comprehensive Income (Loss) (unaudited) for the three and nine months ended September 30, 2015 and</w:t>
            </w:r>
          </w:p>
        </w:tc>
      </w:tr>
    </w:tbl>
    <w:p>
      <w:pPr>
        <w:ind w:left="1180" w:right="100"/>
        <w:spacing w:after="0" w:line="257" w:lineRule="auto"/>
        <w:rPr>
          <w:sz w:val="20"/>
          <w:szCs w:val="20"/>
          <w:color w:val="auto"/>
        </w:rPr>
      </w:pPr>
      <w:r>
        <w:rPr>
          <w:rFonts w:ascii="Arial" w:cs="Arial" w:eastAsia="Arial" w:hAnsi="Arial"/>
          <w:sz w:val="18"/>
          <w:szCs w:val="18"/>
          <w:color w:val="auto"/>
        </w:rPr>
        <w:t>2014, (iv) Consolidated Statements of Cash Flows (unaudited) for the nine months ended September 30, 2015 and 2014, and (v) Notes to the Unaudited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56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98,655</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13,124</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56,735</w:t>
            </w: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52,843</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122,863</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111,779</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3,046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7,476</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23,837</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13,124</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3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2019-12-29T14:57:37Z</dcterms:created>
  <dcterms:modified xsi:type="dcterms:W3CDTF">2019-12-29T14:57:37Z</dcterms:modified>
</cp:coreProperties>
</file>