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-175895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840" w:hanging="487"/>
        <w:spacing w:after="0"/>
        <w:tabs>
          <w:tab w:leader="none" w:pos="8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387" w:lineRule="exact"/>
        <w:rPr>
          <w:sz w:val="24"/>
          <w:szCs w:val="24"/>
          <w:color w:val="auto"/>
        </w:rPr>
      </w:pPr>
    </w:p>
    <w:p>
      <w:pPr>
        <w:ind w:left="4280" w:right="1400" w:hanging="3912"/>
        <w:spacing w:after="0" w:line="510" w:lineRule="auto"/>
        <w:tabs>
          <w:tab w:leader="none" w:pos="839"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001-31648</w:t>
      </w:r>
    </w:p>
    <w:p>
      <w:pPr>
        <w:jc w:val="center"/>
        <w:ind w:right="-3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(State or other jurisdiction</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(I.R.S. Employer</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of incorporation or organization)</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3"/>
              </w:rPr>
              <w:t>Identification No.)</w:t>
            </w:r>
          </w:p>
        </w:tc>
      </w:tr>
      <w:tr>
        <w:trPr>
          <w:trHeight w:val="54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9"/>
              </w:rPr>
              <w:t>3500 College Boulevard</w:t>
            </w:r>
          </w:p>
        </w:tc>
        <w:tc>
          <w:tcPr>
            <w:tcW w:w="3180" w:type="dxa"/>
            <w:vAlign w:val="bottom"/>
          </w:tcPr>
          <w:p>
            <w:pPr>
              <w:spacing w:after="0"/>
              <w:rPr>
                <w:sz w:val="24"/>
                <w:szCs w:val="24"/>
                <w:color w:val="auto"/>
              </w:rPr>
            </w:pPr>
          </w:p>
        </w:tc>
      </w:tr>
      <w:tr>
        <w:trPr>
          <w:trHeight w:val="270"/>
        </w:trPr>
        <w:tc>
          <w:tcPr>
            <w:tcW w:w="4720" w:type="dxa"/>
            <w:vAlign w:val="bottom"/>
          </w:tcPr>
          <w:p>
            <w:pPr>
              <w:jc w:val="center"/>
              <w:ind w:right="1670"/>
              <w:spacing w:after="0"/>
              <w:rPr>
                <w:sz w:val="20"/>
                <w:szCs w:val="20"/>
                <w:color w:val="auto"/>
              </w:rPr>
            </w:pPr>
            <w:r>
              <w:rPr>
                <w:rFonts w:ascii="Arial" w:cs="Arial" w:eastAsia="Arial" w:hAnsi="Arial"/>
                <w:sz w:val="18"/>
                <w:szCs w:val="18"/>
                <w:b w:val="1"/>
                <w:bCs w:val="1"/>
                <w:color w:val="auto"/>
                <w:w w:val="89"/>
              </w:rPr>
              <w:t>Leawood, Kansas</w:t>
            </w:r>
          </w:p>
        </w:tc>
        <w:tc>
          <w:tcPr>
            <w:tcW w:w="3180" w:type="dxa"/>
            <w:vAlign w:val="bottom"/>
          </w:tcPr>
          <w:p>
            <w:pPr>
              <w:jc w:val="right"/>
              <w:ind w:right="390"/>
              <w:spacing w:after="0"/>
              <w:rPr>
                <w:sz w:val="20"/>
                <w:szCs w:val="20"/>
                <w:color w:val="auto"/>
              </w:rPr>
            </w:pPr>
            <w:r>
              <w:rPr>
                <w:rFonts w:ascii="Arial" w:cs="Arial" w:eastAsia="Arial" w:hAnsi="Arial"/>
                <w:sz w:val="18"/>
                <w:szCs w:val="18"/>
                <w:b w:val="1"/>
                <w:bCs w:val="1"/>
                <w:color w:val="auto"/>
              </w:rPr>
              <w:t>66211</w:t>
            </w:r>
          </w:p>
        </w:tc>
      </w:tr>
      <w:tr>
        <w:trPr>
          <w:trHeight w:val="270"/>
        </w:trPr>
        <w:tc>
          <w:tcPr>
            <w:tcW w:w="4720" w:type="dxa"/>
            <w:vAlign w:val="bottom"/>
          </w:tcPr>
          <w:p>
            <w:pPr>
              <w:jc w:val="center"/>
              <w:ind w:right="16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180" w:type="dxa"/>
            <w:vAlign w:val="bottom"/>
          </w:tcPr>
          <w:p>
            <w:pPr>
              <w:jc w:val="center"/>
              <w:ind w:left="1670"/>
              <w:spacing w:after="0"/>
              <w:rPr>
                <w:sz w:val="20"/>
                <w:szCs w:val="20"/>
                <w:color w:val="auto"/>
              </w:rPr>
            </w:pPr>
            <w:r>
              <w:rPr>
                <w:rFonts w:ascii="Arial" w:cs="Arial" w:eastAsia="Arial" w:hAnsi="Arial"/>
                <w:sz w:val="18"/>
                <w:szCs w:val="18"/>
                <w:b w:val="1"/>
                <w:bCs w:val="1"/>
                <w:color w:val="auto"/>
                <w:w w:val="92"/>
              </w:rPr>
              <w:t>(Zip Code)</w:t>
            </w:r>
          </w:p>
        </w:tc>
      </w:tr>
    </w:tbl>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03"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o</w:t>
      </w:r>
    </w:p>
    <w:p>
      <w:pPr>
        <w:spacing w:after="0" w:line="73"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R No o</w:t>
      </w:r>
    </w:p>
    <w:p>
      <w:pPr>
        <w:spacing w:after="0" w:line="73" w:lineRule="exact"/>
        <w:rPr>
          <w:sz w:val="24"/>
          <w:szCs w:val="24"/>
          <w:color w:val="auto"/>
        </w:rPr>
      </w:pPr>
    </w:p>
    <w:p>
      <w:pPr>
        <w:ind w:right="1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9" w:lineRule="exact"/>
        <w:rPr>
          <w:sz w:val="24"/>
          <w:szCs w:val="24"/>
          <w:color w:val="auto"/>
        </w:rPr>
      </w:pPr>
    </w:p>
    <w:p>
      <w:pPr>
        <w:ind w:left="2660" w:hanging="4410"/>
        <w:spacing w:after="0" w:line="340" w:lineRule="auto"/>
        <w:tabs>
          <w:tab w:leader="none" w:pos="2640" w:val="left"/>
        </w:tabs>
        <w:rPr>
          <w:sz w:val="20"/>
          <w:szCs w:val="20"/>
          <w:color w:val="auto"/>
        </w:rPr>
      </w:pPr>
      <w:r>
        <w:rPr>
          <w:rFonts w:ascii="Arial" w:cs="Arial" w:eastAsia="Arial" w:hAnsi="Arial"/>
          <w:sz w:val="18"/>
          <w:szCs w:val="18"/>
          <w:color w:val="auto"/>
        </w:rPr>
        <w:t>Large accelerated filer R</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6"/>
          <w:szCs w:val="16"/>
          <w:color w:val="auto"/>
        </w:rPr>
        <w:t>o</w:t>
      </w:r>
      <w:r>
        <w:rPr>
          <w:rFonts w:ascii="Arial" w:cs="Arial" w:eastAsia="Arial" w:hAnsi="Arial"/>
          <w:sz w:val="18"/>
          <w:szCs w:val="18"/>
          <w:color w:val="auto"/>
        </w:rPr>
        <w:t xml:space="preserve"> Non-accelerated filer o Smaller reporting company </w:t>
      </w:r>
      <w:r>
        <w:rPr>
          <w:rFonts w:ascii="Arial" w:cs="Arial" w:eastAsia="Arial" w:hAnsi="Arial"/>
          <w:sz w:val="16"/>
          <w:szCs w:val="16"/>
          <w:color w:val="auto"/>
        </w:rPr>
        <w:t>o</w:t>
      </w:r>
      <w:r>
        <w:rPr>
          <w:rFonts w:ascii="Arial" w:cs="Arial" w:eastAsia="Arial" w:hAnsi="Arial"/>
          <w:sz w:val="18"/>
          <w:szCs w:val="18"/>
          <w:color w:val="auto"/>
        </w:rPr>
        <w:t xml:space="preserve"> (Do not check if a smaller reporting company)</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$0.02 par value, outstanding as of October 29, 2012 was 50,848,631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255270</wp:posOffset>
            </wp:positionV>
            <wp:extent cx="721233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2603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169545</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180" w:type="dxa"/>
            <w:vAlign w:val="bottom"/>
            <w:gridSpan w:val="11"/>
          </w:tcPr>
          <w:p>
            <w:pPr>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0180" w:type="dxa"/>
            <w:vAlign w:val="bottom"/>
            <w:gridSpan w:val="11"/>
          </w:tcPr>
          <w:p>
            <w:pPr>
              <w:ind w:left="40"/>
              <w:spacing w:after="0"/>
              <w:rPr>
                <w:rFonts w:ascii="Arial" w:cs="Arial" w:eastAsia="Arial" w:hAnsi="Arial"/>
                <w:sz w:val="18"/>
                <w:szCs w:val="18"/>
                <w:color w:val="0000FF"/>
              </w:rPr>
            </w:pPr>
            <w:hyperlink w:anchor="page2">
              <w:r>
                <w:rPr>
                  <w:rFonts w:ascii="Arial" w:cs="Arial" w:eastAsia="Arial" w:hAnsi="Arial"/>
                  <w:sz w:val="18"/>
                  <w:szCs w:val="18"/>
                  <w:color w:val="0000FF"/>
                </w:rPr>
                <w:t>PART I—FINANCIAL INFORMATION</w:t>
              </w:r>
            </w:hyperlink>
          </w:p>
        </w:tc>
        <w:tc>
          <w:tcPr>
            <w:tcW w:w="122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9"/>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ITEM 1. FINANCIAL STATEMENTS</w:t>
              </w:r>
            </w:hyperlink>
          </w:p>
        </w:tc>
        <w:tc>
          <w:tcPr>
            <w:tcW w:w="122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0" w:type="dxa"/>
            <w:vAlign w:val="bottom"/>
            <w:gridSpan w:val="9"/>
          </w:tcPr>
          <w:p>
            <w:pPr>
              <w:spacing w:after="0"/>
              <w:rPr>
                <w:rFonts w:ascii="Arial" w:cs="Arial" w:eastAsia="Arial" w:hAnsi="Arial"/>
                <w:sz w:val="18"/>
                <w:szCs w:val="18"/>
                <w:b w:val="1"/>
                <w:bCs w:val="1"/>
                <w:color w:val="0000FF"/>
                <w:w w:val="99"/>
              </w:rPr>
            </w:pPr>
            <w:hyperlink w:anchor="page15">
              <w:r>
                <w:rPr>
                  <w:rFonts w:ascii="Arial" w:cs="Arial" w:eastAsia="Arial" w:hAnsi="Arial"/>
                  <w:sz w:val="18"/>
                  <w:szCs w:val="18"/>
                  <w:b w:val="1"/>
                  <w:bCs w:val="1"/>
                  <w:color w:val="0000FF"/>
                  <w:w w:val="99"/>
                </w:rPr>
                <w:t>ITEM 2. MANAGEMENT’S DISCUSSION AND ANALYSIS OF FINANCIAL CONDITION AND RESULTS OF OPERATIONS</w:t>
              </w:r>
            </w:hyperlink>
          </w:p>
        </w:tc>
        <w:tc>
          <w:tcPr>
            <w:tcW w:w="122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16</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60" w:type="dxa"/>
            <w:vAlign w:val="bottom"/>
            <w:gridSpan w:val="8"/>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ITEM 3. QUANTITATIVE AND QUALITATIVE DISCLOSURES ABOUT MARKET RISK</w:t>
              </w:r>
            </w:hyperlink>
          </w:p>
        </w:tc>
        <w:tc>
          <w:tcPr>
            <w:tcW w:w="284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74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160" w:type="dxa"/>
            <w:vAlign w:val="bottom"/>
            <w:gridSpan w:val="8"/>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ITEM 4. CONTROLS AND PROCEDURES</w:t>
              </w:r>
            </w:hyperlink>
          </w:p>
        </w:tc>
        <w:tc>
          <w:tcPr>
            <w:tcW w:w="2840" w:type="dxa"/>
            <w:vAlign w:val="bottom"/>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36</w:t>
              </w:r>
            </w:hyperlink>
          </w:p>
        </w:tc>
      </w:tr>
      <w:tr>
        <w:trPr>
          <w:trHeight w:val="20"/>
        </w:trPr>
        <w:tc>
          <w:tcPr>
            <w:tcW w:w="180" w:type="dxa"/>
            <w:vAlign w:val="bottom"/>
            <w:gridSpan w:val="2"/>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0180" w:type="dxa"/>
            <w:vAlign w:val="bottom"/>
            <w:gridSpan w:val="11"/>
          </w:tcPr>
          <w:p>
            <w:pPr>
              <w:ind w:left="40"/>
              <w:spacing w:after="0"/>
              <w:rPr>
                <w:rFonts w:ascii="Arial" w:cs="Arial" w:eastAsia="Arial" w:hAnsi="Arial"/>
                <w:sz w:val="18"/>
                <w:szCs w:val="18"/>
                <w:color w:val="0000FF"/>
              </w:rPr>
            </w:pPr>
            <w:hyperlink w:anchor="page36">
              <w:r>
                <w:rPr>
                  <w:rFonts w:ascii="Arial" w:cs="Arial" w:eastAsia="Arial" w:hAnsi="Arial"/>
                  <w:sz w:val="18"/>
                  <w:szCs w:val="18"/>
                  <w:color w:val="0000FF"/>
                </w:rPr>
                <w:t>PART II—OTHER INFORMATION</w:t>
              </w:r>
            </w:hyperlink>
          </w:p>
        </w:tc>
        <w:tc>
          <w:tcPr>
            <w:tcW w:w="122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gridSpan w:val="4"/>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1. LEGAL PROCEEDINGS</w:t>
              </w:r>
            </w:hyperlink>
          </w:p>
        </w:tc>
        <w:tc>
          <w:tcPr>
            <w:tcW w:w="7300" w:type="dxa"/>
            <w:vAlign w:val="bottom"/>
            <w:gridSpan w:val="5"/>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2"/>
          </w:tcPr>
          <w:p>
            <w:pPr>
              <w:spacing w:after="0"/>
              <w:rPr>
                <w:rFonts w:ascii="Arial" w:cs="Arial" w:eastAsia="Arial" w:hAnsi="Arial"/>
                <w:sz w:val="18"/>
                <w:szCs w:val="18"/>
                <w:b w:val="1"/>
                <w:bCs w:val="1"/>
                <w:color w:val="0000FF"/>
                <w:w w:val="99"/>
              </w:rPr>
            </w:pPr>
            <w:hyperlink w:anchor="page36">
              <w:r>
                <w:rPr>
                  <w:rFonts w:ascii="Arial" w:cs="Arial" w:eastAsia="Arial" w:hAnsi="Arial"/>
                  <w:sz w:val="18"/>
                  <w:szCs w:val="18"/>
                  <w:b w:val="1"/>
                  <w:bCs w:val="1"/>
                  <w:color w:val="0000FF"/>
                  <w:w w:val="99"/>
                </w:rPr>
                <w:t>ITEM 1A. RISK FACTORS</w:t>
              </w:r>
            </w:hyperlink>
          </w:p>
        </w:tc>
        <w:tc>
          <w:tcPr>
            <w:tcW w:w="540" w:type="dxa"/>
            <w:vAlign w:val="bottom"/>
            <w:gridSpan w:val="2"/>
          </w:tcPr>
          <w:p>
            <w:pPr>
              <w:spacing w:after="0"/>
              <w:rPr>
                <w:sz w:val="21"/>
                <w:szCs w:val="21"/>
                <w:color w:val="auto"/>
              </w:rPr>
            </w:pPr>
          </w:p>
        </w:tc>
        <w:tc>
          <w:tcPr>
            <w:tcW w:w="7300" w:type="dxa"/>
            <w:vAlign w:val="bottom"/>
            <w:gridSpan w:val="5"/>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40" w:type="dxa"/>
            <w:vAlign w:val="bottom"/>
            <w:gridSpan w:val="7"/>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2"/>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6. EXHIBITS</w:t>
              </w:r>
            </w:hyperlink>
          </w:p>
        </w:tc>
        <w:tc>
          <w:tcPr>
            <w:tcW w:w="7840" w:type="dxa"/>
            <w:vAlign w:val="bottom"/>
            <w:gridSpan w:val="7"/>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1" w:right="2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00" w:type="dxa"/>
            <w:vAlign w:val="bottom"/>
            <w:tcBorders>
              <w:bottom w:val="single" w:sz="8" w:color="auto"/>
            </w:tcBorders>
          </w:tcPr>
          <w:p>
            <w:pPr>
              <w:spacing w:after="0"/>
              <w:rPr>
                <w:sz w:val="16"/>
                <w:szCs w:val="16"/>
                <w:color w:val="auto"/>
              </w:rPr>
            </w:pP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3"/>
                <w:szCs w:val="13"/>
                <w:color w:val="auto"/>
              </w:rPr>
            </w:pPr>
          </w:p>
        </w:tc>
        <w:tc>
          <w:tcPr>
            <w:tcW w:w="110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r>
      <w:tr>
        <w:trPr>
          <w:trHeight w:val="250"/>
        </w:trPr>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170,663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93,152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73,305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66,199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98,819</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1"/>
              </w:rPr>
              <w:t>Trade accounts receivable, net of allowances for doubtful accounts of $19,004 at September 30, 2012 and $14,787</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at December 31, 2011</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316,087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349,543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61,640</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728,041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753,970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Property and equipment, net of accumulated depreciation of $201,215 at September 30, 2012 and $175,875 at December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31, 2011</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109,318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102,900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490,934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488,628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$135,652 at September 30, 2012 and $129,119 at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2011</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84,897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99,878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3"/>
              </w:rPr>
              <w:t>Other assets, net of accumulated amortization of $23,084 at September 30, 2012 and $19,529 at December 31, 2011</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58,448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60,953</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1,471,638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1,506,329</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9"/>
        </w:trPr>
        <w:tc>
          <w:tcPr>
            <w:tcW w:w="8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368,288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351,360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206,219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216,794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178,100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170,654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26,066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28,272</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784,884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774,486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78,596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161,694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23,772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26,003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13,152</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903,041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979,584</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4"/>
              </w:rPr>
              <w:t>Common Stock, $0.02 par value. 90,000,000 shares authorized; 52,486,286 issued at September 30, 2012 and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51,982,227 issued at December 31, 2011</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1,040</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777,196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766,221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w w:val="95"/>
              </w:rPr>
              <w:t>Treasury stock, at cost, 1,667,284 shares at September 30, 2012 and 1,543,441 shares at December 31, 2011</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(21,869)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(204,550)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Restricted reserve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(21,408)</w:t>
            </w:r>
          </w:p>
        </w:tc>
      </w:tr>
      <w:tr>
        <w:trPr>
          <w:trHeight w:val="237"/>
        </w:trPr>
        <w:tc>
          <w:tcPr>
            <w:tcW w:w="88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564,306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520,435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6,310</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568,597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526,745</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1,471,638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1,506,329</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53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53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24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240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299,507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916,355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841,902</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Direct operating costs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200,378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190,534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586,965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536,810</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and benefits</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43,969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134,624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124,062</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30,071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30,058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86,738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80,344</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44,547</w:t>
            </w:r>
          </w:p>
        </w:tc>
        <w:tc>
          <w:tcPr>
            <w:tcW w:w="0" w:type="dxa"/>
            <w:vAlign w:val="bottom"/>
          </w:tcPr>
          <w:p>
            <w:pPr>
              <w:spacing w:after="0"/>
              <w:rPr>
                <w:sz w:val="1"/>
                <w:szCs w:val="1"/>
                <w:color w:val="auto"/>
              </w:rPr>
            </w:pPr>
          </w:p>
        </w:tc>
      </w:tr>
      <w:tr>
        <w:trPr>
          <w:trHeight w:val="237"/>
        </w:trPr>
        <w:tc>
          <w:tcPr>
            <w:tcW w:w="518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7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292,161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279,385</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856,464</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785,763</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59,891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56,139</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1,745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4,332</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Income from unconsolidated affiliates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(losses) gains, net</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(11,854)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expense, net</w:t>
            </w: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(9,706)</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50,546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46,433</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7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(19,433)</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29"/>
        </w:trPr>
        <w:tc>
          <w:tcPr>
            <w:tcW w:w="5180" w:type="dxa"/>
            <w:vAlign w:val="bottom"/>
          </w:tcPr>
          <w:p>
            <w:pPr>
              <w:ind w:left="380"/>
              <w:spacing w:after="0"/>
              <w:rPr>
                <w:sz w:val="20"/>
                <w:szCs w:val="20"/>
                <w:color w:val="auto"/>
              </w:rPr>
            </w:pPr>
            <w:r>
              <w:rPr>
                <w:rFonts w:ascii="Arial" w:cs="Arial" w:eastAsia="Arial" w:hAnsi="Arial"/>
                <w:sz w:val="18"/>
                <w:szCs w:val="18"/>
                <w:color w:val="auto"/>
              </w:rPr>
              <w:t>Less: Net loss (income) attributable to noncontrolling</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480"/>
              <w:spacing w:after="0"/>
              <w:rPr>
                <w:sz w:val="20"/>
                <w:szCs w:val="20"/>
                <w:color w:val="auto"/>
              </w:rPr>
            </w:pPr>
            <w:r>
              <w:rPr>
                <w:rFonts w:ascii="Arial" w:cs="Arial" w:eastAsia="Arial" w:hAnsi="Arial"/>
                <w:sz w:val="18"/>
                <w:szCs w:val="18"/>
                <w:color w:val="auto"/>
              </w:rPr>
              <w:t>interests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Euronet Worldwide, Inc.</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14,630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33,549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25,993</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per share attributable to Euronet Worldwide, Inc.</w:t>
            </w: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37"/>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 — basic</w:t>
            </w:r>
          </w:p>
        </w:tc>
        <w:tc>
          <w:tcPr>
            <w:tcW w:w="1000" w:type="dxa"/>
            <w:vAlign w:val="bottom"/>
            <w:gridSpan w:val="2"/>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50,827,767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51,116,512</w:t>
            </w:r>
          </w:p>
        </w:tc>
        <w:tc>
          <w:tcPr>
            <w:tcW w:w="2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50,705,222</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51,134,940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per share attributable to Euronet Worldwide, Inc.</w:t>
            </w: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7"/>
        </w:trPr>
        <w:tc>
          <w:tcPr>
            <w:tcW w:w="5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 — diluted</w:t>
            </w:r>
          </w:p>
        </w:tc>
        <w:tc>
          <w:tcPr>
            <w:tcW w:w="1000" w:type="dxa"/>
            <w:vAlign w:val="bottom"/>
            <w:gridSpan w:val="2"/>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51,597,319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51,116,512</w:t>
            </w:r>
          </w:p>
        </w:tc>
        <w:tc>
          <w:tcPr>
            <w:tcW w:w="2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51,521,203</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51,897,498</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8"/>
          </w:tcPr>
          <w:p>
            <w:pPr>
              <w:jc w:val="center"/>
              <w:ind w:left="2530"/>
              <w:spacing w:after="0"/>
              <w:rPr>
                <w:sz w:val="20"/>
                <w:szCs w:val="20"/>
                <w:color w:val="auto"/>
              </w:rPr>
            </w:pPr>
            <w:r>
              <w:rPr>
                <w:rFonts w:ascii="Arial" w:cs="Arial" w:eastAsia="Arial" w:hAnsi="Arial"/>
                <w:sz w:val="18"/>
                <w:szCs w:val="18"/>
                <w:color w:val="auto"/>
                <w:w w:val="89"/>
              </w:rPr>
              <w:t>See accompanying notes to the unaudited consolidated financial statements.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180" w:type="dxa"/>
            <w:vAlign w:val="bottom"/>
          </w:tcPr>
          <w:p>
            <w:pPr>
              <w:spacing w:after="0"/>
              <w:rPr>
                <w:sz w:val="24"/>
                <w:szCs w:val="24"/>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2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24"/>
                <w:szCs w:val="24"/>
                <w:color w:val="auto"/>
              </w:rPr>
            </w:pPr>
          </w:p>
        </w:tc>
      </w:tr>
      <w:tr>
        <w:trPr>
          <w:trHeight w:val="264"/>
        </w:trPr>
        <w:tc>
          <w:tcPr>
            <w:tcW w:w="5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14,341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(2,925)</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33,165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27,000</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10,577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(46,731)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(15,788)</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24,918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(49,656)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35,084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11,212</w:t>
            </w:r>
          </w:p>
        </w:tc>
      </w:tr>
      <w:tr>
        <w:trPr>
          <w:trHeight w:val="243"/>
        </w:trPr>
        <w:tc>
          <w:tcPr>
            <w:tcW w:w="5960" w:type="dxa"/>
            <w:vAlign w:val="bottom"/>
          </w:tcPr>
          <w:p>
            <w:pPr>
              <w:ind w:left="600"/>
              <w:spacing w:after="0"/>
              <w:rPr>
                <w:sz w:val="20"/>
                <w:szCs w:val="20"/>
                <w:color w:val="auto"/>
              </w:rPr>
            </w:pPr>
            <w:r>
              <w:rPr>
                <w:rFonts w:ascii="Arial" w:cs="Arial" w:eastAsia="Arial" w:hAnsi="Arial"/>
                <w:sz w:val="18"/>
                <w:szCs w:val="18"/>
                <w:color w:val="auto"/>
                <w:w w:val="98"/>
              </w:rPr>
              <w:t>Comprehensive loss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7"/>
        </w:trPr>
        <w:tc>
          <w:tcPr>
            <w:tcW w:w="5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 (loss) attributable to Euronet Worldwide,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25,140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35,519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10,182</w:t>
            </w:r>
          </w:p>
        </w:tc>
      </w:tr>
      <w:tr>
        <w:trPr>
          <w:trHeight w:val="20"/>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2011</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44,547</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7,957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(gain),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Loss on early retirement of debt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1,899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step acquisition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6,962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31,319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20,840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46,789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(7,032)</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77,964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(54,070)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(33,247)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(32,744)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other long-term assets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(89,436)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Repurchase of shares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(10,390)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282,055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247,475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(360,596)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(172,200)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(127,000)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subsidiary shares from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Payment of acquisition contingent consideration</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(5,455)</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dividends paid to noncontrolling interests 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170,663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187,235</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191,770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180,945</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49"/>
        </w:trPr>
        <w:tc>
          <w:tcPr>
            <w:tcW w:w="8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during the period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 paid during the period</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24,633</w:t>
            </w: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125" w:right="239" w:bottom="584"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584"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Euronet Worldwide, Inc. and its subsidiaries (the “Company” or “Euronet”) are a leading global electronic payments provider. Euronet offers payment and transaction processing and distribution solutions to financial institutions, retailers, service providers and individual consumers. The Company's primary product offerings include: comprehensive automated teller machine (“ATM”), point-of-sale (“POS”) and card outsourcing services; electronic distribution of prepaid mobile airtime and other electronic payment products; and global consumer money transfer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on a consolidated basis the financial position of the Company as of September 30, 2012, and the results of its operations for the three- and nine-month periods ended September 30, 2012 and 2011 and cash flows for the nine-month periods ended September 30, 2012 and 2011. The unaudited consolidated financial statements should be read in conjunction with the audited consolidated financial statements of Euronet for the year ended December 31, 2011, including the notes thereto, set forth in the Company’s 2011 Annual Report on Form 10-K.</w:t>
      </w:r>
    </w:p>
    <w:p>
      <w:pPr>
        <w:spacing w:after="0" w:line="5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unaudited consolidated financial statements and accompanying notes. Actual results could differ from those estimates. The results of operations for the three- and nine-month periods ended September 30, 2012 are not necessarily indicative of the results to be expected for the full year ending December 31, 2012.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September 2011, the Financial Accounting Standards Board ("FASB") issued Accounting Standards Update ("ASU") 2011-08, </w:t>
      </w:r>
      <w:r>
        <w:rPr>
          <w:rFonts w:ascii="Arial" w:cs="Arial" w:eastAsia="Arial" w:hAnsi="Arial"/>
          <w:sz w:val="18"/>
          <w:szCs w:val="18"/>
          <w:i w:val="1"/>
          <w:iCs w:val="1"/>
          <w:color w:val="auto"/>
        </w:rPr>
        <w:t>Intangibles -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(Topic 350): Testing Goodwill for Impairment</w:t>
      </w:r>
      <w:r>
        <w:rPr>
          <w:rFonts w:ascii="Arial" w:cs="Arial" w:eastAsia="Arial" w:hAnsi="Arial"/>
          <w:sz w:val="18"/>
          <w:szCs w:val="18"/>
          <w:color w:val="auto"/>
        </w:rPr>
        <w:t>. ASU 2011-08 permits an entity to make a qualitative assessment of whether it is more likely than not</w:t>
      </w:r>
      <w:r>
        <w:rPr>
          <w:rFonts w:ascii="Arial" w:cs="Arial" w:eastAsia="Arial" w:hAnsi="Arial"/>
          <w:sz w:val="18"/>
          <w:szCs w:val="18"/>
          <w:i w:val="1"/>
          <w:iCs w:val="1"/>
          <w:color w:val="auto"/>
        </w:rPr>
        <w:t xml:space="preserve"> </w:t>
      </w:r>
      <w:r>
        <w:rPr>
          <w:rFonts w:ascii="Arial" w:cs="Arial" w:eastAsia="Arial" w:hAnsi="Arial"/>
          <w:sz w:val="18"/>
          <w:szCs w:val="18"/>
          <w:color w:val="auto"/>
        </w:rPr>
        <w:t>that a reporting unit's fair value is less than its carrying amount before applying the two-step goodwill impairment test. If an entity concludes that it is not more likely than not that the fair value of a reporting unit is less than its carrying amount, it would not be required to perform the two-step impairment test for that reporting unit. The qualitative assessment is applicable to the annual test of goodwill impairment as well as determining if an interim test of goodwill impairment is necessary. The Company adopted ASU 2011-08 effective January 1, 2012 and its adoption did not materially affect the Company's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 and consist of amounts owed by the Company to money transfer recipients. As of September 30, 2012, the Company’s money transfer settlement obligations were $60.4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any potential dilution of the assumed conversion of the Company’s convertible debentures, restricted stock and options to purchase the Company’s common stock. The following table provides the computation of diluted weighted average number of common shares outstanding:</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28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960" w:type="dxa"/>
            <w:vAlign w:val="bottom"/>
          </w:tcPr>
          <w:p>
            <w:pPr>
              <w:spacing w:after="0"/>
              <w:rPr>
                <w:sz w:val="24"/>
                <w:szCs w:val="24"/>
                <w:color w:val="auto"/>
              </w:rPr>
            </w:pPr>
          </w:p>
        </w:tc>
        <w:tc>
          <w:tcPr>
            <w:tcW w:w="2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2600" w:type="dxa"/>
            <w:vAlign w:val="bottom"/>
            <w:gridSpan w:val="3"/>
          </w:tcPr>
          <w:p>
            <w:pPr>
              <w:jc w:val="right"/>
              <w:ind w:right="754"/>
              <w:spacing w:after="0"/>
              <w:rPr>
                <w:sz w:val="20"/>
                <w:szCs w:val="20"/>
                <w:color w:val="auto"/>
              </w:rPr>
            </w:pPr>
            <w:r>
              <w:rPr>
                <w:rFonts w:ascii="Arial" w:cs="Arial" w:eastAsia="Arial" w:hAnsi="Arial"/>
                <w:sz w:val="14"/>
                <w:szCs w:val="14"/>
                <w:b w:val="1"/>
                <w:bCs w:val="1"/>
                <w:color w:val="auto"/>
              </w:rPr>
              <w:t>September 30,</w:t>
            </w:r>
          </w:p>
        </w:tc>
      </w:tr>
      <w:tr>
        <w:trPr>
          <w:trHeight w:val="263"/>
        </w:trPr>
        <w:tc>
          <w:tcPr>
            <w:tcW w:w="596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2011</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50,827,767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51,116,512</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50,705,222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51,134,940</w:t>
            </w:r>
          </w:p>
        </w:tc>
      </w:tr>
      <w:tr>
        <w:trPr>
          <w:trHeight w:val="229"/>
        </w:trPr>
        <w:tc>
          <w:tcPr>
            <w:tcW w:w="5960" w:type="dxa"/>
            <w:vAlign w:val="bottom"/>
          </w:tcPr>
          <w:p>
            <w:pPr>
              <w:ind w:left="180"/>
              <w:spacing w:after="0"/>
              <w:rPr>
                <w:sz w:val="20"/>
                <w:szCs w:val="20"/>
                <w:color w:val="auto"/>
              </w:rPr>
            </w:pPr>
            <w:r>
              <w:rPr>
                <w:rFonts w:ascii="Arial" w:cs="Arial" w:eastAsia="Arial" w:hAnsi="Arial"/>
                <w:sz w:val="18"/>
                <w:szCs w:val="18"/>
                <w:color w:val="auto"/>
                <w:w w:val="94"/>
              </w:rPr>
              <w:t>Incremental shares from assumed conversion of stock options and restricted</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stock</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769,552</w:t>
            </w:r>
          </w:p>
        </w:tc>
        <w:tc>
          <w:tcPr>
            <w:tcW w:w="12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815,981</w:t>
            </w: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762,558</w:t>
            </w:r>
          </w:p>
        </w:tc>
      </w:tr>
      <w:tr>
        <w:trPr>
          <w:trHeight w:val="27"/>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51,597,319</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51,116,512</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51,521,203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51,897,498</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table includes the impact of all stock options and restricted stock that are dilutive to Euronet’s weighted average common shares outstanding during the three-month period ended September 30, 2012 and the first nine months of 2012 and 2011. For the three-month period ended September 30, 2011, the Company incurred a net loss; therefore, diluted loss per share is the same as basic for the period. The calculation of diluted earnings per share excludes stock options or shares of restricted stock that are anti-dilutive to the Company’s weighted average common shares outstanding of approximately 3,567,000 and 3,593,000 for the three- and nine-month periods ended September 30, 2012, respectively, and approximately 5,140,000 and 1,749,000 for the three- and nine-month periods ended September 30, 2011, respectively.</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Company has convertible debentures that, if converted, would have a potentially dilutive effect on the Company’s stock. As required by Accounting Standards Codification (“ASC”)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The Company’s debentures outstanding are convertible into 4.2 million shares of common stock only upon the occurrence of certain conditions. Under the if-converted method, the assumed conversion of the debentures was anti-dilutive for the three- and nine-month periods ended September 30, 2012 and 2011 and, accordingly, associated shares have been excluded from diluted weighted average shares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January 2012, the Company acquired the remaining 51% of the common stock, which it did not previously own, of Euronet Middle East W.L.L. The purchase price of approximately $6.4 million was paid from cash on hand. Accordingly, all assets and liabilities of Euronet Middle East W.L.L. were recorded at fair value which resulted in a $4.4 million gain on the increase of the book value of the 49% interest previously owned.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acquired net assets at the acquisition date: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 in thousands)</w:t>
            </w:r>
          </w:p>
        </w:tc>
        <w:tc>
          <w:tcPr>
            <w:tcW w:w="6800" w:type="dxa"/>
            <w:vAlign w:val="bottom"/>
            <w:tcBorders>
              <w:bottom w:val="single" w:sz="8" w:color="auto"/>
            </w:tcBorders>
            <w:gridSpan w:val="2"/>
          </w:tcPr>
          <w:p>
            <w:pPr>
              <w:jc w:val="center"/>
              <w:ind w:left="4253"/>
              <w:spacing w:after="0"/>
              <w:rPr>
                <w:sz w:val="20"/>
                <w:szCs w:val="20"/>
                <w:color w:val="auto"/>
              </w:rPr>
            </w:pPr>
            <w:r>
              <w:rPr>
                <w:rFonts w:ascii="Arial" w:cs="Arial" w:eastAsia="Arial" w:hAnsi="Arial"/>
                <w:sz w:val="14"/>
                <w:szCs w:val="14"/>
                <w:b w:val="1"/>
                <w:bCs w:val="1"/>
                <w:color w:val="auto"/>
                <w:w w:val="94"/>
              </w:rPr>
              <w:t>Estimated Life</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68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4,413</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6800" w:type="dxa"/>
            <w:vAlign w:val="bottom"/>
            <w:gridSpan w:val="2"/>
          </w:tcPr>
          <w:p>
            <w:pPr>
              <w:jc w:val="center"/>
              <w:ind w:left="4253"/>
              <w:spacing w:after="0"/>
              <w:rPr>
                <w:sz w:val="20"/>
                <w:szCs w:val="20"/>
                <w:color w:val="auto"/>
              </w:rPr>
            </w:pPr>
            <w:r>
              <w:rPr>
                <w:rFonts w:ascii="Arial" w:cs="Arial" w:eastAsia="Arial" w:hAnsi="Arial"/>
                <w:sz w:val="18"/>
                <w:szCs w:val="18"/>
                <w:color w:val="auto"/>
                <w:w w:val="87"/>
              </w:rPr>
              <w:t>3-5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6800" w:type="dxa"/>
            <w:vAlign w:val="bottom"/>
            <w:tcBorders>
              <w:bottom w:val="single" w:sz="8" w:color="CCEEFF"/>
            </w:tcBorders>
            <w:gridSpan w:val="2"/>
            <w:shd w:val="clear" w:color="auto" w:fill="CCEEFF"/>
          </w:tcPr>
          <w:p>
            <w:pPr>
              <w:jc w:val="center"/>
              <w:ind w:left="4273"/>
              <w:spacing w:after="0"/>
              <w:rPr>
                <w:sz w:val="20"/>
                <w:szCs w:val="20"/>
                <w:color w:val="auto"/>
              </w:rPr>
            </w:pPr>
            <w:r>
              <w:rPr>
                <w:rFonts w:ascii="Arial" w:cs="Arial" w:eastAsia="Arial" w:hAnsi="Arial"/>
                <w:sz w:val="18"/>
                <w:szCs w:val="18"/>
                <w:color w:val="auto"/>
                <w:w w:val="88"/>
              </w:rPr>
              <w:t>8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00" w:type="dxa"/>
            <w:vAlign w:val="bottom"/>
            <w:gridSpan w:val="2"/>
          </w:tcPr>
          <w:p>
            <w:pPr>
              <w:jc w:val="center"/>
              <w:ind w:left="4253"/>
              <w:spacing w:after="0"/>
              <w:rPr>
                <w:sz w:val="20"/>
                <w:szCs w:val="20"/>
                <w:color w:val="auto"/>
              </w:rPr>
            </w:pPr>
            <w:r>
              <w:rPr>
                <w:rFonts w:ascii="Arial" w:cs="Arial" w:eastAsia="Arial" w:hAnsi="Arial"/>
                <w:sz w:val="18"/>
                <w:szCs w:val="18"/>
                <w:color w:val="auto"/>
                <w:w w:val="95"/>
              </w:rPr>
              <w:t>Indefinite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64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3740" w:type="dxa"/>
            <w:vAlign w:val="bottom"/>
          </w:tcPr>
          <w:p>
            <w:pPr>
              <w:ind w:left="180"/>
              <w:spacing w:after="0"/>
              <w:rPr>
                <w:sz w:val="20"/>
                <w:szCs w:val="20"/>
                <w:color w:val="auto"/>
              </w:rPr>
            </w:pPr>
            <w:r>
              <w:rPr>
                <w:rFonts w:ascii="Arial" w:cs="Arial" w:eastAsia="Arial" w:hAnsi="Arial"/>
                <w:sz w:val="18"/>
                <w:szCs w:val="18"/>
                <w:color w:val="auto"/>
              </w:rPr>
              <w:t>Fair value of net assets</w:t>
            </w:r>
          </w:p>
        </w:tc>
        <w:tc>
          <w:tcPr>
            <w:tcW w:w="64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13,102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64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57"/>
        </w:trPr>
        <w:tc>
          <w:tcPr>
            <w:tcW w:w="374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64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420" w:type="dxa"/>
            <w:vAlign w:val="bottom"/>
            <w:vMerge w:val="restart"/>
          </w:tcPr>
          <w:p>
            <w:pPr>
              <w:jc w:val="right"/>
              <w:ind w:right="4313"/>
              <w:spacing w:after="0"/>
              <w:rPr>
                <w:sz w:val="20"/>
                <w:szCs w:val="20"/>
                <w:color w:val="auto"/>
              </w:rPr>
            </w:pPr>
            <w:r>
              <w:rPr>
                <w:rFonts w:ascii="Arial" w:cs="Arial" w:eastAsia="Arial" w:hAnsi="Arial"/>
                <w:sz w:val="18"/>
                <w:szCs w:val="18"/>
                <w:color w:val="auto"/>
              </w:rPr>
              <w:t>8</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74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nine-month period ended September 30, 2012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Acquired</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0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Goodwill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99,878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488,628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588,506</w:t>
            </w:r>
          </w:p>
        </w:tc>
        <w:tc>
          <w:tcPr>
            <w:tcW w:w="0" w:type="dxa"/>
            <w:vAlign w:val="bottom"/>
          </w:tcPr>
          <w:p>
            <w:pPr>
              <w:spacing w:after="0"/>
              <w:rPr>
                <w:sz w:val="1"/>
                <w:szCs w:val="1"/>
                <w:color w:val="auto"/>
              </w:rPr>
            </w:pPr>
          </w:p>
        </w:tc>
      </w:tr>
      <w:tr>
        <w:trPr>
          <w:trHeight w:val="243"/>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8,604</w:t>
            </w:r>
          </w:p>
        </w:tc>
        <w:tc>
          <w:tcPr>
            <w:tcW w:w="0" w:type="dxa"/>
            <w:vAlign w:val="bottom"/>
          </w:tcPr>
          <w:p>
            <w:pPr>
              <w:spacing w:after="0"/>
              <w:rPr>
                <w:sz w:val="1"/>
                <w:szCs w:val="1"/>
                <w:color w:val="auto"/>
              </w:rPr>
            </w:pPr>
          </w:p>
        </w:tc>
      </w:tr>
      <w:tr>
        <w:trPr>
          <w:trHeight w:val="24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(16,935)</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57"/>
        </w:trPr>
        <w:tc>
          <w:tcPr>
            <w:tcW w:w="7420" w:type="dxa"/>
            <w:vAlign w:val="bottom"/>
            <w:gridSpan w:val="2"/>
          </w:tcPr>
          <w:p>
            <w:pPr>
              <w:ind w:left="40"/>
              <w:spacing w:after="0"/>
              <w:rPr>
                <w:sz w:val="20"/>
                <w:szCs w:val="20"/>
                <w:color w:val="auto"/>
              </w:rPr>
            </w:pPr>
            <w:r>
              <w:rPr>
                <w:rFonts w:ascii="Arial" w:cs="Arial" w:eastAsia="Arial" w:hAnsi="Arial"/>
                <w:sz w:val="18"/>
                <w:szCs w:val="18"/>
                <w:color w:val="auto"/>
              </w:rPr>
              <w:t>Balance as of September 30, 2012</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84,897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490,934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575,831</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Estimated amortization expense on intangible assets with finite lives, before income taxes, as of September 30, 2012, is expected to total $5.3 million for the fourth quarter of 2012. Estimated annual amortization expense for the next five fiscal years is expected to total $17.7 million for 2013, $15.0 million for 2014, $9.8 million for 2015, $8.2 million for 2016 and $6.8 million for 2017.</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Company’s annual goodwill impairment test is performed during the fourth quarter. The Company’s annual impairment test for the year ended December 31, 2011 resulted in no impairment charges. 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material non-cash impairment charges during the year in which these changes take place.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nine-month period ended September 30, 2012 is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Revolving</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76"/>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Debt</w:t>
            </w:r>
          </w:p>
        </w:tc>
        <w:tc>
          <w:tcPr>
            <w:tcW w:w="20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Credit</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20" w:type="dxa"/>
            <w:vAlign w:val="bottom"/>
          </w:tcPr>
          <w:p>
            <w:pPr>
              <w:spacing w:after="0"/>
              <w:rPr>
                <w:sz w:val="12"/>
                <w:szCs w:val="12"/>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3"/>
              </w:rPr>
              <w:t>Term Loans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Facilities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Obligations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Leases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Due 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December 31, 2011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87,194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165,173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338,775</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additions (repayments)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(82,384)</w:t>
            </w:r>
          </w:p>
        </w:tc>
        <w:tc>
          <w:tcPr>
            <w:tcW w:w="0" w:type="dxa"/>
            <w:vAlign w:val="bottom"/>
          </w:tcPr>
          <w:p>
            <w:pPr>
              <w:spacing w:after="0"/>
              <w:rPr>
                <w:sz w:val="1"/>
                <w:szCs w:val="1"/>
                <w:color w:val="auto"/>
              </w:rPr>
            </w:pPr>
          </w:p>
        </w:tc>
      </w:tr>
      <w:tr>
        <w:trPr>
          <w:trHeight w:val="243"/>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Accretion</w:t>
            </w: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5,924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5,924</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lease interest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4500" w:type="dxa"/>
            <w:vAlign w:val="bottom"/>
            <w:gridSpan w:val="2"/>
          </w:tcPr>
          <w:p>
            <w:pPr>
              <w:ind w:left="180"/>
              <w:spacing w:after="0"/>
              <w:rPr>
                <w:sz w:val="20"/>
                <w:szCs w:val="20"/>
                <w:color w:val="auto"/>
              </w:rPr>
            </w:pPr>
            <w:r>
              <w:rPr>
                <w:rFonts w:ascii="Arial" w:cs="Arial" w:eastAsia="Arial" w:hAnsi="Arial"/>
                <w:sz w:val="18"/>
                <w:szCs w:val="18"/>
                <w:color w:val="auto"/>
              </w:rPr>
              <w:t>Foreign currency exchange (gain) loss</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September 30, 2012</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171,097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261,670</w:t>
            </w:r>
          </w:p>
        </w:tc>
        <w:tc>
          <w:tcPr>
            <w:tcW w:w="0" w:type="dxa"/>
            <w:vAlign w:val="bottom"/>
          </w:tcPr>
          <w:p>
            <w:pPr>
              <w:spacing w:after="0"/>
              <w:rPr>
                <w:sz w:val="1"/>
                <w:szCs w:val="1"/>
                <w:color w:val="auto"/>
              </w:rPr>
            </w:pPr>
          </w:p>
        </w:tc>
      </w:tr>
      <w:tr>
        <w:trPr>
          <w:trHeight w:val="243"/>
        </w:trPr>
        <w:tc>
          <w:tcPr>
            <w:tcW w:w="4500" w:type="dxa"/>
            <w:vAlign w:val="bottom"/>
            <w:gridSpan w:val="2"/>
          </w:tcPr>
          <w:p>
            <w:pPr>
              <w:ind w:left="40"/>
              <w:spacing w:after="0"/>
              <w:rPr>
                <w:sz w:val="20"/>
                <w:szCs w:val="20"/>
                <w:color w:val="auto"/>
              </w:rPr>
            </w:pPr>
            <w:r>
              <w:rPr>
                <w:rFonts w:ascii="Arial" w:cs="Arial" w:eastAsia="Arial" w:hAnsi="Arial"/>
                <w:sz w:val="18"/>
                <w:szCs w:val="18"/>
                <w:color w:val="auto"/>
              </w:rPr>
              <w:t>Less — current maturities</w:t>
            </w: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(171,097)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(180,049)</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Long-term obligations at September 30, 2012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8,596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3,025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81,621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3.50% convertible debentures had principal amounts outstanding of $171.4 million and unamortized discounts outstanding of $0.3 million and $6.3 million as of September 30, 2012 and December 31, 2011, respectively. The discount will be amortized through October 15, 2012. Interest expense, including contractual interest and discount accretion, was $3.5 million and $3.4 million for the three-month periods ended September 30, 2012 and 2011, respectively, and $10.4 million and $10.3 million for the nine-month periods ended September 30, 2012 and 2011, respectively. The effective interest rate was 8.4% for the three- and nine-month periods ended September 30, 2012 and 2011.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As of September 30, 2012, the Company had foreign currency forward contracts outstanding with a notional value of $79.1 million, primarily in Australian dollars, euros and Mexican pesos, which were not designated as hedges and had a weighted average remaining maturity of two days. Although the Company enters into foreign currency forward contracts to offset foreign currency exposure related to the notional value of money transfer transactions collected in currencies other than the U.S. dollar, they are not designated as hedges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This is mainly due to the relatively short duration of the contracts, typically 1 to 14 days, and the frequency with which the Company enters into them. Due to the short duration of the contracts and the Company’s credit profile, the Company is generally not required to post collateral with respect to its foreign currency forward contracts.</w:t>
      </w:r>
    </w:p>
    <w:p>
      <w:pPr>
        <w:spacing w:after="0" w:line="5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per ASC Topic 815. At September 30, 2012 and December 31, 2011, the embedded derivative is recorded at fair value in the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required tabular disclosures for derivative instruments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10"/>
          </w:tcPr>
          <w:p>
            <w:pPr>
              <w:ind w:left="100"/>
              <w:spacing w:after="0"/>
              <w:rPr>
                <w:sz w:val="20"/>
                <w:szCs w:val="20"/>
                <w:color w:val="auto"/>
              </w:rPr>
            </w:pPr>
            <w:r>
              <w:rPr>
                <w:rFonts w:ascii="Arial" w:cs="Arial" w:eastAsia="Arial" w:hAnsi="Arial"/>
                <w:sz w:val="14"/>
                <w:szCs w:val="14"/>
                <w:b w:val="1"/>
                <w:bCs w:val="1"/>
                <w:color w:val="auto"/>
              </w:rPr>
              <w:t>Fair Values of Derivative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9"/>
              </w:rPr>
              <w:t>Instruments as of</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gridSpan w:val="5"/>
          </w:tcPr>
          <w:p>
            <w:pPr>
              <w:jc w:val="center"/>
              <w:ind w:left="79"/>
              <w:spacing w:after="0" w:line="153" w:lineRule="exact"/>
              <w:rPr>
                <w:sz w:val="20"/>
                <w:szCs w:val="20"/>
                <w:color w:val="auto"/>
              </w:rPr>
            </w:pPr>
            <w:r>
              <w:rPr>
                <w:rFonts w:ascii="Arial" w:cs="Arial" w:eastAsia="Arial" w:hAnsi="Arial"/>
                <w:sz w:val="14"/>
                <w:szCs w:val="14"/>
                <w:b w:val="1"/>
                <w:bCs w:val="1"/>
                <w:color w:val="auto"/>
                <w:w w:val="91"/>
              </w:rPr>
              <w:t>Consolidated Balance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right"/>
              <w:ind w:right="2"/>
              <w:spacing w:after="0" w:line="153" w:lineRule="exact"/>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5"/>
          </w:tcPr>
          <w:p>
            <w:pPr>
              <w:jc w:val="right"/>
              <w:ind w:right="2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96"/>
              <w:spacing w:after="0"/>
              <w:rPr>
                <w:sz w:val="20"/>
                <w:szCs w:val="20"/>
                <w:color w:val="auto"/>
              </w:rPr>
            </w:pPr>
            <w:r>
              <w:rPr>
                <w:rFonts w:ascii="Arial" w:cs="Arial" w:eastAsia="Arial" w:hAnsi="Arial"/>
                <w:sz w:val="14"/>
                <w:szCs w:val="14"/>
                <w:b w:val="1"/>
                <w:bCs w:val="1"/>
                <w:color w:val="auto"/>
                <w:w w:val="89"/>
              </w:rPr>
              <w:t>Sheet Location</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1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Topic 815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40" w:type="dxa"/>
            <w:vAlign w:val="bottom"/>
            <w:gridSpan w:val="10"/>
          </w:tcPr>
          <w:p>
            <w:pPr>
              <w:ind w:left="60"/>
              <w:spacing w:after="0"/>
              <w:rPr>
                <w:sz w:val="20"/>
                <w:szCs w:val="20"/>
                <w:color w:val="auto"/>
              </w:rPr>
            </w:pPr>
            <w:r>
              <w:rPr>
                <w:rFonts w:ascii="Arial" w:cs="Arial" w:eastAsia="Arial" w:hAnsi="Arial"/>
                <w:sz w:val="18"/>
                <w:szCs w:val="18"/>
                <w:b w:val="1"/>
                <w:bCs w:val="1"/>
                <w:color w:val="auto"/>
              </w:rPr>
              <w:t>Liability Derivatives</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96"/>
              <w:spacing w:after="0"/>
              <w:rPr>
                <w:sz w:val="20"/>
                <w:szCs w:val="20"/>
                <w:color w:val="auto"/>
              </w:rPr>
            </w:pPr>
            <w:r>
              <w:rPr>
                <w:rFonts w:ascii="Arial" w:cs="Arial" w:eastAsia="Arial" w:hAnsi="Arial"/>
                <w:sz w:val="18"/>
                <w:szCs w:val="18"/>
                <w:color w:val="auto"/>
                <w:w w:val="92"/>
              </w:rPr>
              <w:t>Other current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8"/>
                <w:szCs w:val="18"/>
                <w:color w:val="auto"/>
              </w:rPr>
              <w:t>Foreign currency derivative contracts — gross gains</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96"/>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center"/>
              <w:ind w:right="96"/>
              <w:spacing w:after="0"/>
              <w:rPr>
                <w:sz w:val="20"/>
                <w:szCs w:val="20"/>
                <w:color w:val="auto"/>
              </w:rPr>
            </w:pPr>
            <w:r>
              <w:rPr>
                <w:rFonts w:ascii="Arial" w:cs="Arial" w:eastAsia="Arial" w:hAnsi="Arial"/>
                <w:sz w:val="18"/>
                <w:szCs w:val="18"/>
                <w:color w:val="auto"/>
                <w:w w:val="92"/>
              </w:rPr>
              <w:t>Other current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gridSpan w:val="5"/>
          </w:tcPr>
          <w:p>
            <w:pPr>
              <w:ind w:left="180"/>
              <w:spacing w:after="0"/>
              <w:rPr>
                <w:sz w:val="20"/>
                <w:szCs w:val="20"/>
                <w:color w:val="auto"/>
              </w:rPr>
            </w:pPr>
            <w:r>
              <w:rPr>
                <w:rFonts w:ascii="Arial" w:cs="Arial" w:eastAsia="Arial" w:hAnsi="Arial"/>
                <w:sz w:val="18"/>
                <w:szCs w:val="18"/>
                <w:color w:val="auto"/>
              </w:rPr>
              <w:t>Foreign currency derivative contracts — gross losses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center"/>
              <w:ind w:left="36"/>
              <w:spacing w:after="0"/>
              <w:rPr>
                <w:sz w:val="20"/>
                <w:szCs w:val="20"/>
                <w:color w:val="auto"/>
              </w:rPr>
            </w:pPr>
            <w:r>
              <w:rPr>
                <w:rFonts w:ascii="Arial" w:cs="Arial" w:eastAsia="Arial" w:hAnsi="Arial"/>
                <w:sz w:val="18"/>
                <w:szCs w:val="18"/>
                <w:color w:val="auto"/>
                <w:w w:val="96"/>
              </w:rPr>
              <w:t>liabilities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3"/>
              </w:rPr>
              <w:t>Other long-term</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Embedded derivative in foreign lease</w:t>
            </w:r>
          </w:p>
        </w:tc>
        <w:tc>
          <w:tcPr>
            <w:tcW w:w="12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96"/>
              </w:rPr>
              <w:t>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105</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80" w:type="dxa"/>
            <w:vAlign w:val="bottom"/>
            <w:gridSpan w:val="13"/>
          </w:tcPr>
          <w:p>
            <w:pPr>
              <w:jc w:val="right"/>
              <w:ind w:right="210"/>
              <w:spacing w:after="0"/>
              <w:rPr>
                <w:sz w:val="20"/>
                <w:szCs w:val="20"/>
                <w:color w:val="auto"/>
              </w:rPr>
            </w:pPr>
            <w:r>
              <w:rPr>
                <w:rFonts w:ascii="Arial" w:cs="Arial" w:eastAsia="Arial" w:hAnsi="Arial"/>
                <w:sz w:val="14"/>
                <w:szCs w:val="14"/>
                <w:b w:val="1"/>
                <w:bCs w:val="1"/>
                <w:color w:val="auto"/>
                <w:w w:val="92"/>
              </w:rPr>
              <w:t>Amount of Gain (Loss) Recognized</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4"/>
                <w:szCs w:val="14"/>
                <w:b w:val="1"/>
                <w:bCs w:val="1"/>
                <w:color w:val="auto"/>
              </w:rPr>
              <w:t>in Income on Derivative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6"/>
          </w:tcPr>
          <w:p>
            <w:pPr>
              <w:jc w:val="right"/>
              <w:ind w:right="219"/>
              <w:spacing w:after="0" w:line="153" w:lineRule="exact"/>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3"/>
                <w:szCs w:val="13"/>
                <w:color w:val="auto"/>
              </w:rPr>
            </w:pPr>
          </w:p>
        </w:tc>
        <w:tc>
          <w:tcPr>
            <w:tcW w:w="1920" w:type="dxa"/>
            <w:vAlign w:val="bottom"/>
            <w:gridSpan w:val="9"/>
          </w:tcPr>
          <w:p>
            <w:pPr>
              <w:jc w:val="right"/>
              <w:ind w:right="320"/>
              <w:spacing w:after="0" w:line="153"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Location of Gain (Loss) Recognized</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439"/>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72"/>
        </w:trPr>
        <w:tc>
          <w:tcPr>
            <w:tcW w:w="3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8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gridSpan w:val="3"/>
            <w:vMerge w:val="restart"/>
          </w:tcPr>
          <w:p>
            <w:pPr>
              <w:jc w:val="right"/>
              <w:ind w:right="219"/>
              <w:spacing w:after="0"/>
              <w:rPr>
                <w:sz w:val="20"/>
                <w:szCs w:val="20"/>
                <w:color w:val="auto"/>
              </w:rPr>
            </w:pPr>
            <w:r>
              <w:rPr>
                <w:rFonts w:ascii="Arial" w:cs="Arial" w:eastAsia="Arial" w:hAnsi="Arial"/>
                <w:sz w:val="14"/>
                <w:szCs w:val="14"/>
                <w:b w:val="1"/>
                <w:bCs w:val="1"/>
                <w:color w:val="auto"/>
                <w:w w:val="89"/>
              </w:rPr>
              <w:t>2011</w:t>
            </w:r>
          </w:p>
        </w:tc>
        <w:tc>
          <w:tcPr>
            <w:tcW w:w="90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3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34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in Income on Derivative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90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w:t>
            </w:r>
          </w:p>
        </w:tc>
        <w:tc>
          <w:tcPr>
            <w:tcW w:w="1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 under ASC Topic 815</w:t>
            </w:r>
          </w:p>
        </w:tc>
        <w:tc>
          <w:tcPr>
            <w:tcW w:w="120" w:type="dxa"/>
            <w:vAlign w:val="bottom"/>
            <w:tcBorders>
              <w:bottom w:val="single" w:sz="8" w:color="CCEEFF"/>
            </w:tcBorders>
            <w:shd w:val="clear" w:color="auto" w:fill="CCEEFF"/>
          </w:tcPr>
          <w:p>
            <w:pPr>
              <w:spacing w:after="0"/>
              <w:rPr>
                <w:sz w:val="20"/>
                <w:szCs w:val="20"/>
                <w:color w:val="auto"/>
              </w:rPr>
            </w:pPr>
          </w:p>
        </w:tc>
        <w:tc>
          <w:tcPr>
            <w:tcW w:w="3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Foreign currency derivative contracts</w:t>
            </w:r>
          </w:p>
        </w:tc>
        <w:tc>
          <w:tcPr>
            <w:tcW w:w="120" w:type="dxa"/>
            <w:vAlign w:val="bottom"/>
          </w:tcPr>
          <w:p>
            <w:pPr>
              <w:spacing w:after="0"/>
              <w:rPr>
                <w:sz w:val="21"/>
                <w:szCs w:val="21"/>
                <w:color w:val="auto"/>
              </w:rPr>
            </w:pPr>
          </w:p>
        </w:tc>
        <w:tc>
          <w:tcPr>
            <w:tcW w:w="3480" w:type="dxa"/>
            <w:vAlign w:val="bottom"/>
            <w:gridSpan w:val="3"/>
          </w:tcPr>
          <w:p>
            <w:pPr>
              <w:ind w:left="40"/>
              <w:spacing w:after="0"/>
              <w:rPr>
                <w:sz w:val="20"/>
                <w:szCs w:val="20"/>
                <w:color w:val="auto"/>
              </w:rPr>
            </w:pPr>
            <w:r>
              <w:rPr>
                <w:rFonts w:ascii="Arial" w:cs="Arial" w:eastAsia="Arial" w:hAnsi="Arial"/>
                <w:sz w:val="18"/>
                <w:szCs w:val="18"/>
                <w:color w:val="auto"/>
              </w:rPr>
              <w:t>Foreign currency exchange gain (loss), net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ind w:right="19"/>
              <w:spacing w:after="0"/>
              <w:rPr>
                <w:sz w:val="20"/>
                <w:szCs w:val="20"/>
                <w:color w:val="auto"/>
              </w:rPr>
            </w:pPr>
            <w:r>
              <w:rPr>
                <w:rFonts w:ascii="Arial" w:cs="Arial" w:eastAsia="Arial" w:hAnsi="Arial"/>
                <w:sz w:val="18"/>
                <w:szCs w:val="18"/>
                <w:color w:val="auto"/>
              </w:rPr>
              <w:t>682</w:t>
            </w:r>
          </w:p>
        </w:tc>
        <w:tc>
          <w:tcPr>
            <w:tcW w:w="740" w:type="dxa"/>
            <w:vAlign w:val="bottom"/>
            <w:gridSpan w:val="2"/>
          </w:tcPr>
          <w:p>
            <w:pPr>
              <w:jc w:val="right"/>
              <w:ind w:right="322"/>
              <w:spacing w:after="0"/>
              <w:rPr>
                <w:sz w:val="20"/>
                <w:szCs w:val="20"/>
                <w:color w:val="auto"/>
              </w:rPr>
            </w:pPr>
            <w:r>
              <w:rPr>
                <w:rFonts w:ascii="Arial" w:cs="Arial" w:eastAsia="Arial" w:hAnsi="Arial"/>
                <w:sz w:val="18"/>
                <w:szCs w:val="18"/>
                <w:color w:val="auto"/>
              </w:rPr>
              <w:t>$</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755</w:t>
            </w: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120" w:type="dxa"/>
            <w:vAlign w:val="bottom"/>
            <w:tcBorders>
              <w:bottom w:val="single" w:sz="8" w:color="CCEEFF"/>
            </w:tcBorders>
            <w:shd w:val="clear" w:color="auto" w:fill="CCEEFF"/>
          </w:tcPr>
          <w:p>
            <w:pPr>
              <w:spacing w:after="0"/>
              <w:rPr>
                <w:sz w:val="23"/>
                <w:szCs w:val="23"/>
                <w:color w:val="auto"/>
              </w:rPr>
            </w:pPr>
          </w:p>
        </w:tc>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exchange gain (loss), net</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354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864</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8, Fair Value Measurements, for the determination of the fair values of derivatives.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carrying amounts of cash and cash equivalents, trade accounts receivable, trade accounts payable and short-term debt obligations approximate fair values due to their short maturities. The carrying values of the Company’s term loan due 2016 and revolving credit agreements approximate fair values because interest is based on the London Inter-Bank Offered Rate ("LIBOR") that resets at various intervals of less than one year. The following table provides the estimated fair values of the Company’s other financial instruments, based on quoted market prices or significant other observable inputs.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December 31, 2011</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06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10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3.50% convertible debentures, unsecured, due 2025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(170,581)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Foreign currency derivative contracts</w:t>
            </w:r>
          </w:p>
        </w:tc>
        <w:tc>
          <w:tcPr>
            <w:tcW w:w="22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Embedded derivative in foreign lease</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fair values disclosed above for the Company's convertible debentures are based on quoted prices in active markets for identical assets and liabilities (Level 1). The Company’s assets and liabilities recorded at fair value on a recurring basis using significant other observable inputs (Level 2) are the foreign currency derivative contracts and the embedded derivative in foreign lease. The Company values foreign currency derivative contracts using foreign currency exchange quotations for similar assets and liabilities. The embedded derivative in foreign lease is valued using present value techniques and foreign currency exchange quotations.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40" w:hanging="648"/>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North America and South America.</w:t>
      </w:r>
    </w:p>
    <w:p>
      <w:pPr>
        <w:spacing w:after="0" w:line="62" w:lineRule="exact"/>
        <w:rPr>
          <w:rFonts w:ascii="Arial" w:cs="Arial" w:eastAsia="Arial" w:hAnsi="Arial"/>
          <w:sz w:val="18"/>
          <w:szCs w:val="18"/>
          <w:color w:val="auto"/>
        </w:rPr>
      </w:pPr>
    </w:p>
    <w:p>
      <w:pPr>
        <w:ind w:left="980" w:right="40" w:hanging="648"/>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consumer-to-consumer money transfer services through a network of sending agents and Company-owned stores (primarily in North America and Europe), disbursing money transfers through a worldwide correspondent network. The Company also offers customers bill payment services, payment alternatives such as money orders and prepaid debit cards, comprehensive check cashing services and foreign currency exchange services.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to the three segments in its administrative division, “Corporate Services, Eliminations and Other.” These services are not directly identifiable with the Company’s reportable operating segments.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segment results of the Company’s operations for the three- and nine-month periods ended September 30, 2012 and 2011:</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 September 30, 2012</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171,529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80,042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316,356</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131,999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200,378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8,700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12,717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4,682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45,549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30,071</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4,925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16,163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161,398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73,828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6,530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292,161</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14,483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10,131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24,195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 September 30, 2011</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50,246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174,269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75,103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299,507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133,198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190,534</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7,409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13,012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18,517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43,969</w:t>
            </w:r>
          </w:p>
        </w:tc>
        <w:tc>
          <w:tcPr>
            <w:tcW w:w="0" w:type="dxa"/>
            <w:vAlign w:val="bottom"/>
          </w:tcPr>
          <w:p>
            <w:pPr>
              <w:spacing w:after="0"/>
              <w:rPr>
                <w:sz w:val="1"/>
                <w:szCs w:val="1"/>
                <w:color w:val="auto"/>
              </w:rPr>
            </w:pPr>
          </w:p>
        </w:tc>
      </w:tr>
      <w:tr>
        <w:trPr>
          <w:trHeight w:val="27"/>
        </w:trPr>
        <w:tc>
          <w:tcPr>
            <w:tcW w:w="4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30,058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5,170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5,086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14,824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41,242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160,987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70,302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279,385</w:t>
            </w:r>
          </w:p>
        </w:tc>
        <w:tc>
          <w:tcPr>
            <w:tcW w:w="0" w:type="dxa"/>
            <w:vAlign w:val="bottom"/>
          </w:tcPr>
          <w:p>
            <w:pPr>
              <w:spacing w:after="0"/>
              <w:rPr>
                <w:sz w:val="1"/>
                <w:szCs w:val="1"/>
                <w:color w:val="auto"/>
              </w:rPr>
            </w:pPr>
          </w:p>
        </w:tc>
      </w:tr>
      <w:tr>
        <w:trPr>
          <w:trHeight w:val="25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9,004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13,282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20,122</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9"/>
              </w:rPr>
              <w:t>For the Nine Months Ended September 30, 2012</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EFT</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Money</w:t>
            </w:r>
          </w:p>
        </w:tc>
        <w:tc>
          <w:tcPr>
            <w:tcW w:w="1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Services,</w:t>
            </w: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4"/>
              </w:rPr>
              <w:t>Processing</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and Other</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514,543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916,355</w:t>
            </w:r>
          </w:p>
        </w:tc>
        <w:tc>
          <w:tcPr>
            <w:tcW w:w="0" w:type="dxa"/>
            <w:vAlign w:val="bottom"/>
          </w:tcPr>
          <w:p>
            <w:pPr>
              <w:spacing w:after="0"/>
              <w:rPr>
                <w:sz w:val="1"/>
                <w:szCs w:val="1"/>
                <w:color w:val="auto"/>
              </w:rPr>
            </w:pPr>
          </w:p>
        </w:tc>
      </w:tr>
      <w:tr>
        <w:trPr>
          <w:trHeight w:val="23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586,965</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56,067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15,693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134,624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86,738</w:t>
            </w:r>
          </w:p>
        </w:tc>
        <w:tc>
          <w:tcPr>
            <w:tcW w:w="0" w:type="dxa"/>
            <w:vAlign w:val="bottom"/>
          </w:tcPr>
          <w:p>
            <w:pPr>
              <w:spacing w:after="0"/>
              <w:rPr>
                <w:sz w:val="1"/>
                <w:szCs w:val="1"/>
                <w:color w:val="auto"/>
              </w:rPr>
            </w:pPr>
          </w:p>
        </w:tc>
      </w:tr>
      <w:tr>
        <w:trPr>
          <w:trHeight w:val="243"/>
        </w:trPr>
        <w:tc>
          <w:tcPr>
            <w:tcW w:w="37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48,137</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481,221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21,211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856,464</w:t>
            </w:r>
          </w:p>
        </w:tc>
        <w:tc>
          <w:tcPr>
            <w:tcW w:w="0" w:type="dxa"/>
            <w:vAlign w:val="bottom"/>
          </w:tcPr>
          <w:p>
            <w:pPr>
              <w:spacing w:after="0"/>
              <w:rPr>
                <w:sz w:val="1"/>
                <w:szCs w:val="1"/>
                <w:color w:val="auto"/>
              </w:rPr>
            </w:pPr>
          </w:p>
        </w:tc>
      </w:tr>
      <w:tr>
        <w:trPr>
          <w:trHeight w:val="257"/>
        </w:trPr>
        <w:tc>
          <w:tcPr>
            <w:tcW w:w="378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9"/>
          </w:tcPr>
          <w:p>
            <w:pPr>
              <w:ind w:left="120"/>
              <w:spacing w:after="0"/>
              <w:rPr>
                <w:sz w:val="20"/>
                <w:szCs w:val="20"/>
                <w:color w:val="auto"/>
              </w:rPr>
            </w:pPr>
            <w:r>
              <w:rPr>
                <w:rFonts w:ascii="Arial" w:cs="Arial" w:eastAsia="Arial" w:hAnsi="Arial"/>
                <w:sz w:val="14"/>
                <w:szCs w:val="14"/>
                <w:b w:val="1"/>
                <w:bCs w:val="1"/>
                <w:color w:val="auto"/>
                <w:w w:val="97"/>
              </w:rPr>
              <w:t>For the Nine Months Ended September 30, 2011</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Money</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Services,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Transfer</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485,861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841,902</w:t>
            </w:r>
          </w:p>
        </w:tc>
        <w:tc>
          <w:tcPr>
            <w:tcW w:w="0" w:type="dxa"/>
            <w:vAlign w:val="bottom"/>
          </w:tcPr>
          <w:p>
            <w:pPr>
              <w:spacing w:after="0"/>
              <w:rPr>
                <w:sz w:val="1"/>
                <w:szCs w:val="1"/>
                <w:color w:val="auto"/>
              </w:rPr>
            </w:pPr>
          </w:p>
        </w:tc>
      </w:tr>
      <w:tr>
        <w:trPr>
          <w:trHeight w:val="237"/>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371,663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536,810</w:t>
            </w:r>
          </w:p>
        </w:tc>
        <w:tc>
          <w:tcPr>
            <w:tcW w:w="0" w:type="dxa"/>
            <w:vAlign w:val="bottom"/>
          </w:tcPr>
          <w:p>
            <w:pPr>
              <w:spacing w:after="0"/>
              <w:rPr>
                <w:sz w:val="1"/>
                <w:szCs w:val="1"/>
                <w:color w:val="auto"/>
              </w:rPr>
            </w:pPr>
          </w:p>
        </w:tc>
      </w:tr>
      <w:tr>
        <w:trPr>
          <w:trHeight w:val="243"/>
        </w:trPr>
        <w:tc>
          <w:tcPr>
            <w:tcW w:w="392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51,882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124,062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80,344</w:t>
            </w:r>
          </w:p>
        </w:tc>
        <w:tc>
          <w:tcPr>
            <w:tcW w:w="0" w:type="dxa"/>
            <w:vAlign w:val="bottom"/>
          </w:tcPr>
          <w:p>
            <w:pPr>
              <w:spacing w:after="0"/>
              <w:rPr>
                <w:sz w:val="1"/>
                <w:szCs w:val="1"/>
                <w:color w:val="auto"/>
              </w:rPr>
            </w:pPr>
          </w:p>
        </w:tc>
      </w:tr>
      <w:tr>
        <w:trPr>
          <w:trHeight w:val="243"/>
        </w:trPr>
        <w:tc>
          <w:tcPr>
            <w:tcW w:w="392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44,547</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445,964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785,763</w:t>
            </w:r>
          </w:p>
        </w:tc>
        <w:tc>
          <w:tcPr>
            <w:tcW w:w="0" w:type="dxa"/>
            <w:vAlign w:val="bottom"/>
          </w:tcPr>
          <w:p>
            <w:pPr>
              <w:spacing w:after="0"/>
              <w:rPr>
                <w:sz w:val="1"/>
                <w:szCs w:val="1"/>
                <w:color w:val="auto"/>
              </w:rPr>
            </w:pPr>
          </w:p>
        </w:tc>
      </w:tr>
      <w:tr>
        <w:trPr>
          <w:trHeight w:val="257"/>
        </w:trPr>
        <w:tc>
          <w:tcPr>
            <w:tcW w:w="392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12,593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56,139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GUARANTEES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As of September 30, 2012, the Company had $93.2 million of stand-by letters of credit/bank guarantees issued on its behalf, of which $36.9 million are outstanding under the revolving credit facility. The remaining stand-by letters of credit/bank guarantees are collateralized by $15.3 million of cash deposits held by the respective issuing banks.</w:t>
      </w:r>
    </w:p>
    <w:p>
      <w:pPr>
        <w:spacing w:after="0" w:line="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September 30, 2012, the Company had granted off balance sheet guarantees for cash in various ATM networks amounting to $17.1 million over the terms of the cash supply agreements and performance guarantees amounting to approximately $35.9 million over the terms of the agreements with the customers.</w:t>
      </w:r>
    </w:p>
    <w:p>
      <w:pPr>
        <w:spacing w:after="0" w:line="7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right="220" w:hanging="648"/>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September 30, 2012, the balance of ATM network cash for which the Company was responsible was approximately $345 million. The Company maintains insurance policies to mitigate this exposure;</w:t>
      </w:r>
    </w:p>
    <w:p>
      <w:pPr>
        <w:spacing w:after="0" w:line="78" w:lineRule="exact"/>
        <w:rPr>
          <w:rFonts w:ascii="Arial" w:cs="Arial" w:eastAsia="Arial" w:hAnsi="Arial"/>
          <w:sz w:val="18"/>
          <w:szCs w:val="18"/>
          <w:color w:val="auto"/>
        </w:rPr>
      </w:pPr>
    </w:p>
    <w:p>
      <w:pPr>
        <w:jc w:val="both"/>
        <w:ind w:left="980" w:right="36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2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160" w:hanging="648"/>
        <w:spacing w:after="0" w:line="25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81" w:lineRule="exact"/>
        <w:rPr>
          <w:rFonts w:ascii="Arial" w:cs="Arial" w:eastAsia="Arial" w:hAnsi="Arial"/>
          <w:sz w:val="18"/>
          <w:szCs w:val="18"/>
          <w:color w:val="auto"/>
        </w:rPr>
      </w:pPr>
    </w:p>
    <w:p>
      <w:pPr>
        <w:ind w:left="980" w:hanging="648"/>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carrying out their respective duties under such agreements.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September 30, 2012 or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Company’s effective tax rates were 32.3% and 182.2% for the three-month periods ended September 30, 2012 and 2011, respectively, and 34.4% and 41.9% for the nine-month periods ended September 30, 2012 and 2011, respectively. The effective tax rates were significantly influenced by the foreign currency exchange gains and losses, a $4.4 million gain on acquisition during the nine-month period ended September 30, 2012, a $1.9 million loss on early retirement of debt during the three and nine-month periods ended September 30, 2011 and a $1.0 million gain on legal settlement during the nine-month period ended September 30, 2011. The effective tax rates were also influenced by other non-operating gains and losses during the three and nine-month periods ended September 30, 2012. Excluding these items from pre-tax income, as well as the related tax effects for these items, the Company’s effective tax rates were 34.4% and 39.0% for the three-month periods ended September 30, 2012 and 2011, respectively, and 36.6% and 42.4% for the nine-month periods ended September 30, 2012 and 2011, respectively.</w:t>
      </w:r>
    </w:p>
    <w:p>
      <w:pPr>
        <w:spacing w:after="0" w:line="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effective tax rate, as adjusted, for the third quarter of 2012 was lower than the applicable statutory rate of 35% primarily because of the reduction in unrecognized tax benefits. The Company's effective tax rate, as adjusted, for the nine-month period ended September 30, 2012 was higher than the applicable statutory rate of 35% primarily because of our U.S. income tax positions, partly offset by the reduction in unrecognized tax benefits and tax return true-ups in foreign jurisdictions. For the nine-month period ended September 30, 2012, we have recorded a valuation allowance against our U.S. income tax net operating losses as it is more likely than not that a tax benefit will not be realized. Accordingly, the income tax benefits associated with pre-tax book losses generated by our U.S. entities have not been recognized. There have not been any material changes in unrecognized income tax benefits since December 31,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u w:val="single" w:color="auto"/>
          <w:color w:val="auto"/>
        </w:rPr>
        <w:t>Computer Security Breach</w:t>
      </w:r>
      <w:r>
        <w:rPr>
          <w:rFonts w:ascii="Arial" w:cs="Arial" w:eastAsia="Arial" w:hAnsi="Arial"/>
          <w:sz w:val="18"/>
          <w:szCs w:val="18"/>
          <w:color w:val="auto"/>
        </w:rPr>
        <w:t xml:space="preserve"> - A unit of the Company's European processing business was the subject of a criminal security breach in late 2011. The affected business represents less than 5% of the Company's revenues, profits and transactions. Euronet took immediate steps to remediate the breach and ensure its impact was contained.</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Bank card association rules provide a process by which loss and expense arising from such breaches is allocated among card issuers, acquirers and service providers such as Euronet. The Company expects that some claims may be asserted against it under such rules or under its agreements with acquiring banks. However, the Company believes that any liability under such claims will be limited by a number of factors including the fact that the majority of cards processed by the affected business were EMV compliant chip and PIN cards to which such rules either do not apply or apply a lower level of liability. Losses from fraudulent card activity appear to have been limited to magnetic stripe transactions processed on the affected systems. In addition, the Company maintains insurance to cover the financial exposure for response costs, losses by card issuers and fines or penalties from such incidents.</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At this time, the Company is unable to predict the possible range of loss, if any, associated with the resolution of claims against it in connection with the breach. However, the Company does not at this time expect the net financial impact of loss or expense from the breach after the probable insurance recovery to be material.</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is continuing take to aggressive measures to strengthen its security controls, and is working closely with computer security specialists in this regard.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Expenses related to the breach were $0.5 million in the first nine months of 2012, net of $1.9 million in amounts recovered from our insurance carrier.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Antitrust Investigation</w:t>
      </w:r>
      <w:r>
        <w:rPr>
          <w:rFonts w:ascii="Arial" w:cs="Arial" w:eastAsia="Arial" w:hAnsi="Arial"/>
          <w:sz w:val="18"/>
          <w:szCs w:val="18"/>
          <w:color w:val="auto"/>
        </w:rPr>
        <w:t xml:space="preserve"> - In the second quarter of 2009, the Antitrust Division of the United States Department of Justice (the “DOJ”) served Continental Exchange Solutions, Inc. d/b/a Ria Financial Services (“CES”), an indirect, wholly owned subsidiary of the Company, with a grand jury subpoena requesting documents from CES and its affiliates in connection with an investigation into possible price collusion related to money transmission services to the Dominican Republic (“D.R.”) during the period from January 1, 2004 to the date of the subpoena. The Company acquired all of the stock of Ria Envia, Inc., the parent of CES, in April 2007.</w:t>
      </w:r>
    </w:p>
    <w:p>
      <w:pPr>
        <w:spacing w:after="0" w:line="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September 26, 2012, the Company received notification from the DOJ that its investigation was completed. The Company believes this brings the matter to a close without any further implications for CES. During the three- and nine-month periods ended September 30, 2012, no significant fees were incurred related to this investigation and related matters.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From time to time, the Company is a party to litigation arising in the ordinary course of its business. Currently, there are no legal proceedings that management believes, either individually or in the aggregate, would have a material adverse effect upon the consolidated results of operations or financial condition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October 11, 2012, the Company exercised its right to increase the aggregate commitments under its senior secured revolving credit facility by $125 million. In the process, additional financial institutions were added as lenders under the credit agreement (the "Credit Agreement"). Borrowing capacity under the senior secured revolving credit facility increased from $275 million to $400 million, and the Company remains entitled to increase the aggregate commitments under the senior secured revolving credit facility by an additional $80 million. All other terms of the Credit Agreement remain unchanged. In connection with the $125 million increase, the Company executed a commitment increase agreement. Additional financing costs of $1.0 million have been deferred and are being amortized over the remaining period of the revolving credit agreement.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October 15, 2012, the Company repurchased $167.8 million in principal amount of its 3.50% debentures due 2025 submitted to the Company for repurchase. Under the terms of the debentures, holders had the right to require the Company to repurchase some or all of their debentures on such date. As a result of this repurchase, $3.6 million in principal amount of such debentures remains outstanding. The Company utilized cash on hand and borrowings on its revolving credit facility to fund the repurchase.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Euronet Worldwide, Inc. and its subsidiaries (“Euronet,” the “Company,” “we” or “us”)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and card outsourcing services; electronic distribution of prepaid mobile airtime and other electronic payment products; and global consumer money transfer services. As of September 30, 2012, we operate in the following three principal operating segments:</w:t>
      </w:r>
    </w:p>
    <w:p>
      <w:pPr>
        <w:spacing w:after="0" w:line="80" w:lineRule="exact"/>
        <w:rPr>
          <w:sz w:val="20"/>
          <w:szCs w:val="20"/>
          <w:color w:val="auto"/>
        </w:rPr>
      </w:pPr>
    </w:p>
    <w:p>
      <w:pPr>
        <w:ind w:left="980" w:right="340" w:hanging="648"/>
        <w:spacing w:after="0" w:line="25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17,370 ATMs and approximately 69,000 POS terminals across Europe, the Middle East and Asia-Pacific. We provide comprehensive electronic payment solutions consisting of ATM cash withdrawal services, ATM network participation, outsourced ATM and POS management solutions, credit and debit card outsourcing, and value added services, including dynamic currency conversion. Through this segment, we also offer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hanging="648"/>
        <w:spacing w:after="0" w:line="279"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epay Segment, which provides distribution, processing and collection services for prepaid mobile airtime and other electronic payment products. Including terminals operated by unconsolidated subsidiaries, we operate a network of approximately 631,000 POS terminals providing electronic processing of prepaid mobile airtime top-up services and other electronic payment products in Europe, the Middle East, Asia-Pacific, North America and South America. We also provide vouchers and physical gift fulfillment services in Europe.</w:t>
      </w:r>
    </w:p>
    <w:p>
      <w:pPr>
        <w:spacing w:after="0" w:line="63" w:lineRule="exact"/>
        <w:rPr>
          <w:rFonts w:ascii="Arial" w:cs="Arial" w:eastAsia="Arial" w:hAnsi="Arial"/>
          <w:sz w:val="17"/>
          <w:szCs w:val="17"/>
          <w:color w:val="auto"/>
        </w:rPr>
      </w:pPr>
    </w:p>
    <w:p>
      <w:pPr>
        <w:ind w:left="980" w:hanging="648"/>
        <w:spacing w:after="0" w:line="297"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Money Transfer Segment, which provides global consumer-to-consumer money transfer services, primarily under the brand name Ria. We offer this service through a network of sending agents and Company-owned stores (primarily in North America and Europe), disbursing money transfers through a worldwide correspondent network that includes approximately 170,000 locations.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four processing centers in Europe, two in Asia-Pacific, two in North America and one in the Middle East. We have 28 principal offices in Europe, six in North America, seven in Asia-Pacific, three in the Middle East, two in South America, and one in Africa. Our executive offices are located in Leawood, Kansas, USA. With approximately 77% of our revenues denominated in currencies other than the U.S. dollar, any significant changes in currency exchange rates will likely have a significant impact on our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Euronet primarily earns revenues and income based on ATM management fees, transaction fees, commissions and foreign currency spreads. Each operating segment’s sources of revenues are described below.</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EFT Processing Segment </w:t>
      </w:r>
      <w:r>
        <w:rPr>
          <w:rFonts w:ascii="Arial" w:cs="Arial" w:eastAsia="Arial" w:hAnsi="Arial"/>
          <w:sz w:val="16"/>
          <w:szCs w:val="16"/>
          <w:color w:val="auto"/>
        </w:rPr>
        <w:t>— Revenues in the EFT Processing Segment, which represented approximately 19% of total consolidated revenues for the first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2012,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and other value added services such as advertising, money transfers and foreign currency exchange margin on dynamic currency conversion transactions provided over ATMs. Through our proprietary network, we generally charge fees or earn margin on four types of ATM transactions: i) cash withdrawals, ii) balance inquiries, iii) transactions not completed because the relevant card issuer did not give authorization, and iv) value added services such as prepaid telecommunication recharges, dynamic currency conversion, bill payment and ATM advertising. Revenues in this segment are also derived from license fees, professional services and maintenance fees for proprietary application software and sales of related hardware.</w:t>
      </w:r>
    </w:p>
    <w:p>
      <w:pPr>
        <w:spacing w:after="0" w:line="58"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56% of total consolidated revenues for the first nine months of 2012, are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derived from commissions or processing fees received from mobile phone operators for the sale and distribution of prepaid mobile airtime. We also generate revenues from commissions earned from the distribution of other electronic payment products, vouchers and physical gifts. Due to certain provisions in our mobile phone operator agreements, the operators have the ability to reduce the overall commission paid on top-up transactions. However, by virtue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agreements with retailers (distributors where POS terminals are located) in certain markets, not all of these reductions are absorbed by us because we are able to pass a significant portion of the reductions to subdistributors and/or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subdistributors and/or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25% of total consolidated revenues for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2012, are primarily derived from charging a transaction fee, as well as the margin earned from purchasing foreign currency at wholesale exchange rates and selling the foreign currency to consumers at retail exchange rates. We have a sending agent network in place comprised of agents and Company-owned stores primarily in North America and Europe and a worldwide network of correspondent agents, consisting primarily of financial institutions in the transfer destination countries. Sending and correspondent agents each earn fees for cash collection and distribution services. These fees are recognized as direct operating costs at the time of sale.</w:t>
      </w:r>
    </w:p>
    <w:p>
      <w:pPr>
        <w:spacing w:after="0" w:line="85"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entrance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360" w:hanging="648"/>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phone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continued use of third-party providers such as ourselves to supply electronic processing solutions for existing</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and additional content;</w:t>
      </w:r>
    </w:p>
    <w:p>
      <w:pPr>
        <w:spacing w:after="0" w:line="131"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development of mobile phone networks in the markets in which we do business and the increase in the number of mobile phone users;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420" w:hanging="648"/>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Money Transfer Segment,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Segment business will depend on various factors, including, but not</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necessarily limited to, the following:</w:t>
      </w:r>
    </w:p>
    <w:p>
      <w:pPr>
        <w:spacing w:after="0" w:line="62"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0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70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60" w:hanging="648"/>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Services Directive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Revenues and operating income by segment for the three- and nine-month periods ended September 30, 2012 and 2011 are summarized in the tables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Revenues for the Three Months</w:t>
            </w:r>
          </w:p>
        </w:tc>
        <w:tc>
          <w:tcPr>
            <w:tcW w:w="160" w:type="dxa"/>
            <w:vAlign w:val="bottom"/>
          </w:tcPr>
          <w:p>
            <w:pPr>
              <w:spacing w:after="0"/>
              <w:rPr>
                <w:sz w:val="14"/>
                <w:szCs w:val="14"/>
                <w:color w:val="auto"/>
              </w:rPr>
            </w:pPr>
          </w:p>
        </w:tc>
        <w:tc>
          <w:tcPr>
            <w:tcW w:w="20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gridSpan w:val="2"/>
            <w:vMerge w:val="restart"/>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7"/>
          </w:tcPr>
          <w:p>
            <w:pPr>
              <w:ind w:left="20"/>
              <w:spacing w:after="0"/>
              <w:rPr>
                <w:sz w:val="20"/>
                <w:szCs w:val="20"/>
                <w:color w:val="auto"/>
              </w:rPr>
            </w:pPr>
            <w:r>
              <w:rPr>
                <w:rFonts w:ascii="Arial" w:cs="Arial" w:eastAsia="Arial" w:hAnsi="Arial"/>
                <w:sz w:val="14"/>
                <w:szCs w:val="14"/>
                <w:b w:val="1"/>
                <w:bCs w:val="1"/>
                <w:color w:val="auto"/>
                <w:w w:val="98"/>
              </w:rPr>
              <w:t>Revenues for the Nine Months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vMerge w:val="restart"/>
          </w:tcPr>
          <w:p>
            <w:pPr>
              <w:jc w:val="right"/>
              <w:ind w:right="24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2"/>
              </w:rPr>
              <w:t>Ended 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rPr>
              <w:t>Ended September 30,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60" w:type="dxa"/>
            <w:vAlign w:val="bottom"/>
            <w:gridSpan w:val="4"/>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6"/>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2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(Decrease)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64,888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50,246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14,642</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173,114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144,985</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28,129</w:t>
            </w: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0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171,529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174,269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(2,740)</w:t>
            </w:r>
          </w:p>
        </w:tc>
        <w:tc>
          <w:tcPr>
            <w:tcW w:w="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514,543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485,861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28,682</w:t>
            </w:r>
          </w:p>
        </w:tc>
        <w:tc>
          <w:tcPr>
            <w:tcW w:w="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80,042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75,103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228,960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211,285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17,675</w:t>
            </w:r>
          </w:p>
        </w:tc>
        <w:tc>
          <w:tcPr>
            <w:tcW w:w="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316,459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299,618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16,841</w:t>
            </w:r>
          </w:p>
        </w:tc>
        <w:tc>
          <w:tcPr>
            <w:tcW w:w="20" w:type="dxa"/>
            <w:vAlign w:val="bottom"/>
            <w:tcBorders>
              <w:top w:val="single" w:sz="8" w:color="auto"/>
            </w:tcBorders>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916,617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842,131</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74,486</w:t>
            </w:r>
          </w:p>
        </w:tc>
        <w:tc>
          <w:tcPr>
            <w:tcW w:w="40" w:type="dxa"/>
            <w:vAlign w:val="bottom"/>
            <w:tcBorders>
              <w:top w:val="single" w:sz="8" w:color="auto"/>
            </w:tcBorders>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242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316,356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299,507</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16,849</w:t>
            </w:r>
          </w:p>
        </w:tc>
        <w:tc>
          <w:tcPr>
            <w:tcW w:w="20" w:type="dxa"/>
            <w:vAlign w:val="bottom"/>
            <w:tcBorders>
              <w:top w:val="single" w:sz="8" w:color="auto"/>
              <w:bottom w:val="single" w:sz="8" w:color="auto"/>
            </w:tcBorders>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916,355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841,902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74,453</w:t>
            </w:r>
          </w:p>
        </w:tc>
        <w:tc>
          <w:tcPr>
            <w:tcW w:w="40" w:type="dxa"/>
            <w:vAlign w:val="bottom"/>
            <w:tcBorders>
              <w:top w:val="single" w:sz="8" w:color="auto"/>
              <w:bottom w:val="single" w:sz="8" w:color="auto"/>
            </w:tcBorders>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Operating Income (Expense) for</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4"/>
              </w:rPr>
              <w:t>Operating Income (Expense) for</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the Three Months Ended</w:t>
            </w:r>
          </w:p>
        </w:tc>
        <w:tc>
          <w:tcPr>
            <w:tcW w:w="160" w:type="dxa"/>
            <w:vAlign w:val="bottom"/>
          </w:tcPr>
          <w:p>
            <w:pPr>
              <w:spacing w:after="0"/>
              <w:rPr>
                <w:sz w:val="12"/>
                <w:szCs w:val="12"/>
                <w:color w:val="auto"/>
              </w:rPr>
            </w:pPr>
          </w:p>
        </w:tc>
        <w:tc>
          <w:tcPr>
            <w:tcW w:w="198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7"/>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the Nine Months Ended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5"/>
            <w:vMerge w:val="restart"/>
          </w:tcPr>
          <w:p>
            <w:pPr>
              <w:jc w:val="right"/>
              <w:ind w:right="26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tcPr>
          <w:p>
            <w:pPr>
              <w:jc w:val="center"/>
              <w:ind w:right="53"/>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60" w:type="dxa"/>
            <w:vAlign w:val="bottom"/>
            <w:gridSpan w:val="4"/>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Increase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Increase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6"/>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6"/>
                <w:szCs w:val="16"/>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(Decrease)</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(Decrease)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6"/>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14,483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5,479</w:t>
            </w:r>
          </w:p>
        </w:tc>
        <w:tc>
          <w:tcPr>
            <w:tcW w:w="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30,856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24,328</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6,528</w:t>
            </w:r>
          </w:p>
        </w:tc>
        <w:tc>
          <w:tcPr>
            <w:tcW w:w="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0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10,131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13,282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(3,151)</w:t>
            </w:r>
          </w:p>
        </w:tc>
        <w:tc>
          <w:tcPr>
            <w:tcW w:w="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33,322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39,897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(6,575)</w:t>
            </w:r>
          </w:p>
        </w:tc>
        <w:tc>
          <w:tcPr>
            <w:tcW w:w="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1,413</w:t>
            </w:r>
          </w:p>
        </w:tc>
        <w:tc>
          <w:tcPr>
            <w:tcW w:w="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17,186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12,593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4,593</w:t>
            </w:r>
          </w:p>
        </w:tc>
        <w:tc>
          <w:tcPr>
            <w:tcW w:w="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7"/>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30,828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27,087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3,741</w:t>
            </w:r>
          </w:p>
        </w:tc>
        <w:tc>
          <w:tcPr>
            <w:tcW w:w="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81,364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76,818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4,546</w:t>
            </w:r>
          </w:p>
        </w:tc>
        <w:tc>
          <w:tcPr>
            <w:tcW w:w="4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2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eliminations and other</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332</w:t>
            </w:r>
          </w:p>
        </w:tc>
        <w:tc>
          <w:tcPr>
            <w:tcW w:w="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(21,473)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(20,679)</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57"/>
        </w:trPr>
        <w:tc>
          <w:tcPr>
            <w:tcW w:w="24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24,195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20,122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4,073</w:t>
            </w:r>
          </w:p>
        </w:tc>
        <w:tc>
          <w:tcPr>
            <w:tcW w:w="2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59,891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56,139</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3,752</w:t>
            </w:r>
          </w:p>
        </w:tc>
        <w:tc>
          <w:tcPr>
            <w:tcW w:w="4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Compared to most of the currencies of the foreign countries in which we operate, the U.S. dollar was stronger during the third quarter and first nine months of 2012 than it was during the comparable 2011 periods. Because our revenues and local expenses are recorded in the functional currencies of our operating entities, amounts we earned for the third quarter and first nine months of 2012 reflected a negative impact due to the weaker foreign currencies. Considering the results by country and the associated functional currency, we estimate that our consolidated operating income for the third quarter and first nine months of 2012 was approximately 9% and 8% lower, respectively, when compared to the same periods of 2011 as a result of changes in foreign currency exchange rates. If significant, in our discussion we will refer to the impact of fluctuations in foreign currency exchange rates in our comparison of operating segment results for the three- and nine-month periods ended September 30, 2012 and 2011. To provide further perspective on the impact of foreign currency exchange rates, the following table shows the changes in currency values relative to the U.S. dollar from the third quarter and first nine months of 2011 to the same periods of 2012 for the countries and regions in which we have our most significant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center"/>
              <w:ind w:right="132"/>
              <w:spacing w:after="0"/>
              <w:rPr>
                <w:sz w:val="20"/>
                <w:szCs w:val="20"/>
                <w:color w:val="auto"/>
              </w:rPr>
            </w:pPr>
            <w:r>
              <w:rPr>
                <w:rFonts w:ascii="Arial" w:cs="Arial" w:eastAsia="Arial" w:hAnsi="Arial"/>
                <w:sz w:val="14"/>
                <w:szCs w:val="14"/>
                <w:b w:val="1"/>
                <w:bCs w:val="1"/>
                <w:color w:val="auto"/>
                <w:w w:val="92"/>
              </w:rPr>
              <w:t>Average Translation Rate</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w w:val="93"/>
              </w:rPr>
              <w:t>Average Translation Rate</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 September 30,</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Nine Months Ended September 30,</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Decrease</w:t>
            </w:r>
          </w:p>
        </w:tc>
        <w:tc>
          <w:tcPr>
            <w:tcW w:w="300" w:type="dxa"/>
            <w:vAlign w:val="bottom"/>
          </w:tcPr>
          <w:p>
            <w:pPr>
              <w:spacing w:after="0"/>
              <w:rPr>
                <w:sz w:val="14"/>
                <w:szCs w:val="14"/>
                <w:color w:val="auto"/>
              </w:rPr>
            </w:pPr>
          </w:p>
        </w:tc>
        <w:tc>
          <w:tcPr>
            <w:tcW w:w="1160" w:type="dxa"/>
            <w:vAlign w:val="bottom"/>
            <w:vMerge w:val="restart"/>
          </w:tcPr>
          <w:p>
            <w:pPr>
              <w:jc w:val="right"/>
              <w:ind w:right="49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1040" w:type="dxa"/>
            <w:vAlign w:val="bottom"/>
          </w:tcPr>
          <w:p>
            <w:pPr>
              <w:jc w:val="right"/>
              <w:ind w:right="15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2"/>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Currency (dollars per foreign currency)</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Australian dollar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1.0393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1.0504</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1.0349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1.0396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Brazilian real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0.4936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0.6138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0.5237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0.6137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British pound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1.5808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1.6106</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1.5784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1.6147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1.4070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Hungarian forint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0.0044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0.0052</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0.0044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0.0052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0.0219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0.0221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Polish zloty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0.3033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0.3418</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0.3054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0.3510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460"/>
        <w:spacing w:after="0" w:line="378" w:lineRule="auto"/>
        <w:rPr>
          <w:sz w:val="20"/>
          <w:szCs w:val="20"/>
          <w:color w:val="auto"/>
        </w:rPr>
      </w:pPr>
      <w:r>
        <w:rPr>
          <w:rFonts w:ascii="Arial" w:cs="Arial" w:eastAsia="Arial" w:hAnsi="Arial"/>
          <w:sz w:val="18"/>
          <w:szCs w:val="18"/>
          <w:b w:val="1"/>
          <w:bCs w:val="1"/>
          <w:color w:val="auto"/>
        </w:rPr>
        <w:t>COMPARISON OF OPERATING RESULTS FOR THE THREE- AND NINE-MONTH PERIODS ENDED SEPTEMBER 30, 2012 AND 2011 EFT PROCESSING SEGMENT</w:t>
      </w:r>
    </w:p>
    <w:p>
      <w:pPr>
        <w:ind w:right="460"/>
        <w:spacing w:after="0" w:line="277" w:lineRule="auto"/>
        <w:rPr>
          <w:sz w:val="20"/>
          <w:szCs w:val="20"/>
          <w:color w:val="auto"/>
        </w:rPr>
      </w:pPr>
      <w:r>
        <w:rPr>
          <w:rFonts w:ascii="Arial" w:cs="Arial" w:eastAsia="Arial" w:hAnsi="Arial"/>
          <w:sz w:val="18"/>
          <w:szCs w:val="18"/>
          <w:color w:val="auto"/>
        </w:rPr>
        <w:t>The following table presents the results of operations for the three- and nine-month periods ended September 30, 2012 and 2011 for our EFT Processing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7"/>
          </w:tcPr>
          <w:p>
            <w:pPr>
              <w:ind w:left="80"/>
              <w:spacing w:after="0"/>
              <w:rPr>
                <w:sz w:val="20"/>
                <w:szCs w:val="20"/>
                <w:color w:val="auto"/>
              </w:rPr>
            </w:pPr>
            <w:r>
              <w:rPr>
                <w:rFonts w:ascii="Arial" w:cs="Arial" w:eastAsia="Arial" w:hAnsi="Arial"/>
                <w:sz w:val="14"/>
                <w:szCs w:val="14"/>
                <w:b w:val="1"/>
                <w:bCs w:val="1"/>
                <w:color w:val="auto"/>
                <w:w w:val="99"/>
              </w:rPr>
              <w:t>Three Months Ended September</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w:t>
            </w:r>
          </w:p>
        </w:tc>
        <w:tc>
          <w:tcPr>
            <w:tcW w:w="160" w:type="dxa"/>
            <w:vAlign w:val="bottom"/>
          </w:tcPr>
          <w:p>
            <w:pPr>
              <w:spacing w:after="0"/>
              <w:rPr>
                <w:sz w:val="14"/>
                <w:szCs w:val="14"/>
                <w:color w:val="auto"/>
              </w:rPr>
            </w:pPr>
          </w:p>
        </w:tc>
        <w:tc>
          <w:tcPr>
            <w:tcW w:w="184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Increase</w:t>
            </w:r>
          </w:p>
        </w:tc>
        <w:tc>
          <w:tcPr>
            <w:tcW w:w="120" w:type="dxa"/>
            <w:vAlign w:val="bottom"/>
          </w:tcPr>
          <w:p>
            <w:pPr>
              <w:spacing w:after="0"/>
              <w:rPr>
                <w:sz w:val="13"/>
                <w:szCs w:val="13"/>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6"/>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5"/>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64,888</w:t>
            </w: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14,642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173,114</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144,985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28,129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7,019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83,965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15,444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8,700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7,409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1,291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22,330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2,125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15,128</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6,435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5,170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1,265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3,358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50,405</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9,163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142,258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120,657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21,601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7"/>
        </w:trPr>
        <w:tc>
          <w:tcPr>
            <w:tcW w:w="26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14,483</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9,004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5,479</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61 %</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30,856</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24,328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6,528</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9"/>
        </w:trPr>
        <w:tc>
          <w:tcPr>
            <w:tcW w:w="26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ATMs as of September 30</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17,370</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12,668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4,702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17,370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12,668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4,702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ATMs</w:t>
            </w:r>
          </w:p>
        </w:tc>
        <w:tc>
          <w:tcPr>
            <w:tcW w:w="2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12,506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4,789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11,714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revenues for the third quarter and first nine months of 2012 increased when compared to the same periods of 2011, primarily due to an increase in the number of ATMs under management, including those added from 2011 acquisitions, the acquisition of the remaining 51% of Euronet Middle East W.L.L in January 2012 and growth in value added services, including dynamic currency conversion. These increases were partly offset by the impact of the weaker foreign currencies in 2012.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Average monthly revenue per ATM was $1,251 for the third quarter and $1,172 for the first nine months of 2012 compared to $1,339 for the third quarter and $1,375 for the first nine months of 2011. These decreases were primarily the result of ATM and transaction growth in India and Pakistan, where revenues per ATM and revenues per transaction are generally lower than those in Europe, and the impact of the weaker foreign currencies. Revenue per transaction was $0.21 for the third quarter and $0.20 for the first nine months of 2012 compared to $0.20 for the third quarter and $0.21 the first nine months of 2011. The increase for the third quarter of 2012 compared to the same period of 2011 was primarily due to an increase in revenues from value added services caused by seasonal growth in tourism activity in certain countries, partly offset by ATM and transaction growth in India and Pakistan, and the impact of the weaker foreign currencies. The decrease for the first nine months of 2012 compared to the same period of 2011, was primarily due to a higher percentage transactions that earned less revenue per transaction in the first half of 2012, primarily in India and Pakistan, and the impact of the weaker foreign currencies, partly offset by the increase in revenues from dynamic currency conversion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facility-related costs and other processing center-related expenses. Direct operating costs increased in the third quarter and first nine months of 2012 compared to the same periods of 2011, primarily due to the increase in the number of ATMs under management, partly offset by the impact of the weaker foreign currencies.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Gross profit, which is calculated as revenues less direct operating costs, was $34.8 million for the third quarter and $89.1 million for the first nine months of 2012 compared to $27.2 million for the third quarter and $76.5 million for the first nine months of 2011. The increase for the third quarter and first nine months of 2012 was primarily due to the increase in ATMs under management and the growth in revenues from value added services, including dynamic currency conversion, which we earn a higher gross profit than other services, partly offset by the impact of the weaker foreign currencies. Gross profit as a percentage of revenues (“gross margin”) was 53.7% for the third quarter and 51.5% for the first nine months of 2012 compared to 54.1% for the third quarter and 52.7% for the first nine months of 2011; these decreases were largely due to the greater number of newly installed ATMs in India during the first nine months of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increases in salaries and benefits for the third quarter and first nine months of 2012 were primarily due to adding employees to support the growth in ATMs under management, partly offset by the impact of the weaker foreign currencies. As a percentage of revenues, these costs decreased to 13.4% for the third quarter and 14.1% for the first nine months of 2012 compared to 14.7% for the third quarter and 15.4% for the first nine months of 2011; these decreases resulted from revenue growth that did not require similar increases in support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decrease in selling, general and administrative expenses for the third quarter of 2012 compared to the same period of 2011 was primarily due to cost control measures implemented during second the quarter of 2012, partly offset by increased expenses resulting from the acquisition of the remaining 51% of Euronet Middle East W.L.L in January 2012 and the impact of weaker foreign currencies. The increase in selling, general and administrative expenses for the first nine months of 2012 compared to the same period of 2011 was due to increased costs in growing markets during the first half of 2012 and the acquisition of the remaining 51% of Euronet Middle East W.L.L discussed above, partly offset by the impact of weaker foreign currencies. As a percentage of revenues, selling, general and administrative expenses decreased to 8.0% for the third quarter and 8.7% for the first nine months of 2012 from 11.2% for the third quarter and 10.0% for the first nine months of 2011. These decreases were primarily due to the growth in revenues from additional ATMs under management together with value added services, including dynamic currency conversion, which require minimal incremental support costs.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Depreciation and amortization expense increased for the third quarter and first nine months of 2012 compared to the same periods of 2011, primarily due to the increase in ATMs under management and the amortization of intangible assets related to the acquisition of the remaining 51% of Euronet Middle East W.L.L in January 2012, partly offset by the impact of the weaker foreign currencies. As a percentage of revenues, depreciation and amortization expense decreased to 9.9% for the third quarter of 2012 from 10.3% in the same period of 2011. This decrease is primarily due to an increase in revenues from additional ATMs under management together with higher revenues from value added services in certain countries, which require minimal incremental support costs, partly offset by the acquisition of the remaining 51% of Euronet Middle East W.L.L. For the first nine months of 2012, as a percentage of revenues, these expenses increased to 10.8% from 10.6% in the same period of 2011, mainly as a result of the amortization of intangible assets related to the acquisition of the remaining 51% of Euronet Middle East W.L.L and the growth ATMs under management. The increase as a percentage of revenues was partly offset by the increase in revenues from value added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Operating income increased for the third quarter and first nine months of 2012 compared to the same periods of 2011, primarily due to an increase in ATMs under management and growth in value added services, including dynamic currency conversion, partly offset by the impact of the weaker foreign currencies. The increase for the first nine months was also partly offset by $1.2 million of previously deferred revenue recognized in the first quarter of 2011 related to a customer discontinuing a certain product in Greece. Operating income per transaction was $0.05 for the third quarter and $0.04 for the first nine months of 2012 compared to $0.04 for both the third quarter and first nine months of 2011. The increase in operating income per transaction for the third quarter of 2012 compared to 2011 was primarily due to the growth in value added services in certain countries, partly offset by the impact of weaker foreign currencies. Operating income as a percentage of revenues (“operating margin”) increased to 22.3% for the third quarter and 17.8% for the first nine months of 2012 compared to 17.9% for the third quarter and 16.8% for the first nine months of 2011. These increases are primarily due to an increase in the number of ATMs under management and growth in value added services, including dynamic currency conversion, as discussed above. The increase for the first nine months of 2012 compared to the same period of 2011 was partly offset by the additional revenues recognized in Greece in the first quarter of 2011.</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results of operations for the three- and nine-month periods ended September 30, 2012 and 2011 for our epay Segment: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7"/>
          </w:tcPr>
          <w:p>
            <w:pPr>
              <w:ind w:left="80"/>
              <w:spacing w:after="0"/>
              <w:rPr>
                <w:sz w:val="20"/>
                <w:szCs w:val="20"/>
                <w:color w:val="auto"/>
              </w:rPr>
            </w:pPr>
            <w:r>
              <w:rPr>
                <w:rFonts w:ascii="Arial" w:cs="Arial" w:eastAsia="Arial" w:hAnsi="Arial"/>
                <w:sz w:val="14"/>
                <w:szCs w:val="14"/>
                <w:b w:val="1"/>
                <w:bCs w:val="1"/>
                <w:color w:val="auto"/>
                <w:w w:val="99"/>
              </w:rPr>
              <w:t>Three Months Ended September</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15"/>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Increase</w:t>
            </w: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6"/>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(Decrease)</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76"/>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171,529</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174,269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514,543</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485,861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28,682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131,999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133,198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395,185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371,663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23,522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12,717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13,012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34,952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3,457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11,757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32,563</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6,694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26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4,925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10 %</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13,480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1,584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161,398</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160,987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481,221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445,964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35,257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97"/>
        </w:trPr>
        <w:tc>
          <w:tcPr>
            <w:tcW w:w="26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10,131</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13,282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(3,151)</w:t>
            </w: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33,322</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39,897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(6,575)</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89"/>
        </w:trPr>
        <w:tc>
          <w:tcPr>
            <w:tcW w:w="262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8"/>
                <w:szCs w:val="18"/>
                <w:color w:val="auto"/>
              </w:rPr>
              <w:t>Transactions processed</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459"/>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decrease in revenues for the third quarter of 2012 compared to the same period of 2011 was primarily due to revenue declines in Australia, Brazil, Spain and the U.K., as well as the impact of the weaker foreign currencies. Revenues in Australia decreased for the third quarter of 2012 compared to the same period of 2011 primarily due to the impact of certain large retailers entering into direct agreements with two mobile operators during the second half of 2011. Revenues in Brazil decreased for the third quarter compared to the same period of 2011 due to certain mobile operators modifying their distribution strategies beginning in the fourth quarter of 2011. These mobile operator changes are expected to negatively impact revenues for the remainder of 2012. The revenue declines in Spain and the U.K. were mostly driven by economic and competitive pressures. These decreases were partly offset by the impact of our September 2011 acquisition of cadooz Holding GmbH ("cadooz"), an increase in transactions processed in the U.S. and increased demand for non-mobile products in Germany. The increase in revenues for the first nine months of 2012 compared to the same period of 2011 was primarily due to nine months of revenues recognized during 2012 from our September 2011 acquisition of cadooz, an increase in transactions processed in the U.S. and increased demand for non-mobile products in Germany. These increases were partly offset by revenue declines for the first nine months of 2012 compared to the same period of 2011 in Australia, Brazil, Spain and the U.K, as discussed above, and the impact of weaker foreign currencies.</w:t>
      </w:r>
    </w:p>
    <w:p>
      <w:pPr>
        <w:spacing w:after="0" w:line="6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certain markets, our revenues have declined or growth has slowed due to mobile phone operators driving competitive reductions in commissions or removing us from the airtime distribution chain by using alternative distribution strategies, as well as overall economic conditions impacting customers' buying decisions. We expect most of our future revenue growth to be derived from: (i) additional electronic payment products sold over the base of POS terminals, (ii) developing markets or markets in which there is organic growth in the electronic top-up sector overall, and (iii) acquisitions, if available and commercially appropriate.</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Revenues per transaction were $0.62 for the third quarter and $0.63 for the first nine months of 2012 compared to $0.64 for the third quarter and $0.62 for the first nine months of 2011. The decrease in revenues per transaction for the third quarter of 2012 compared to the same period of 2011 was primarily due to changes in the mix of transactions, particularly due to growth in transactions at our ATX subsidiary, a decrease in revenues per transaction in Australia, Brazil, and Spain for the reasons discussed above and the impact of weaker foreign currencies. These decreases were partly offset by the impact of our cadooz transactions, which are recorded at gross value, in contrast to our other electronic payment products which are recorded at net value. ATX provides only transaction processing services without significant direct costs and other operating costs related to installing and managing terminals; therefore, the revenues we recognize from these transactions are a fraction of those recognized on average transactions, but with a strong contribution to gross profit. The increase in revenues per transaction for the first nine months of 2012 compared to the same period of 2011 was primarily due the impact of our September 2011 acquisition of cadooz, partly offset by growth in transactions at our ATX subsidiary, a decrease in revenues per transaction in Australia, Brazil, and Spain for the reasons discussed above and the impact of weaker foreign currencies.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Direct operating costs in the epay Segment include the commissions we pay to retail merchants for the distribution and sale of prepaid mobile airtime and other prepaid products, as well as expenses required to operate POS terminals, and the cost of vouchers sold and physical gifts fulfilled. The decrease in direct operating costs for the third quarter of 2012 compared to the same period of 2011, was primarily attributable to the decrease in the number of transactions processed in Australia, Brazil and Spain, and the impact of the weaker foreign currencies, partly offset by the impact of cadooz transactions and growth in transactions processed in the U.S. and Germany. The increase in direct operating costs for the first nine months of 2012 compared to the same period of 2011 is primarily due to the impact of the September 2011 acquisition of cadooz, as well as the growth in transactions in the U.S. and Germany, partly offset by the decrease in the number of transactions processed in Australia, Brazil, and Spain, and the impact of the weaker foreign currencies.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Gross profit, which represents revenues less direct costs, was $39.5 million for the third quarter and $119.4 million for the first nine months of 2012 compared to $41.1 million for the third quarter and $114.2 million for the first nine months of 2011. The primary factors behind the decrease for the third quarter of 2012 compared to the same period of 2011 are the declines in transaction volumes in Australia, Brazil and Spain, lower gross margin percentages in Brazil and Spain, as a result of the events described above, and the impact of weaker foreign currencies. These decreases were partly offset by the impact of the cadooz acquisition in September 2011, an increase in transactions processed in the U.S. and increased demand for non-mobile products in Germany. The increase in gross profit for the first nine months of 2012 compared to the same period of 2011 is due to the impact of the cadooz acquisition and increased transaction volumes in the U.S. and Germany. These increases were partly offset by a decline in transaction volume in Australia, Brazil and Spain and the impact of weaker foreign currencies. Gross margin was 23.0% for the third quarter and 23.2% for first nine months of 2012 compared to 23.6% for the third quarter and 23.5% for the first nine months of 2011. These decreases were primarily due to the impact of the cadooz transactions and lower gross margins in certain countries. Gross profit per transaction decreased to $0.14 for the third quarter of 2012 compared to $0.15 in the same period of 2011. This decrease reflects the impact of a higher percentage of lower profit transactions, particularly due to growth in transactions at our ATX subsidiary and the impact of weaker foreign currencies, partly offset by the impact of the cadooz transactions. Gross profit per transaction was flat at $0.15 for the first nine months of 2012 and 2011.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decrease in salaries and benefits for the third quarter of 2012 compared to the same period of 2011 was primarily due to a decrease in staff in response to the decline in revenue in Brazil and the impact of weaker foreign currencies, partly offset by the impact of the cadooz acquisition. The increase in salaries and benefits for the first nine months of 2012 compared to the same period of 2011 was primarily due to nine months of salaries and benefits during 2012 related to cadooz compared to one month of salaries and benefits during the same period of 2011 and an increase in staff in Germany primarily to support the growth of non-mobile transactions. These increases were partly offset by decreases in salaries and benefits in Brazil and the U.K., in response to declines in revenues, and the impact of the weaker foreign currencies. As a percentage of revenues, salaries and benefits decreased to 7.4% for the third quarter of 2012 from 7.5% in the same period of 2011. This decrease resulted from staff reductions in certain countries during the period. As a percentage of revenues, salaries and benefits increased to 7.5% for the first nine months of 2012 from 7.2% in the same period of 2011. This increase was primarily due to the impact of the cadooz acquisition.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increase in selling, general and administrative expenses for the third quarter and first nine months of 2012 compared to the same periods of 2011 was mainly due to the impact of the cadooz acquisition, increased bad debt expense in Spain, and increased expenses in Germany as a result of the growth in non-mobile transaction volume and revenues, partly offset by the impact of the weaker foreign currencies. The increase for the first nine months of 2012 was also caused by an increase in bad debt expense in Australia during the second quarter of 2012. As a percentage of revenues, these expenses increased to 6.9% for the third quarter and 6.3% for the first nine months of 2012 from 5.9% for the third quarter and 5.3% for the first nine months of 2011, primarily because of the decreases in revenues in Australia, Brazil, and Spain and an increase in bad debt expense during the periods.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Depreciation and amortization expense primarily represents amortization of acquired intangible assets and the depreciation of POS terminals we install in retail stores. Depreciation and amortization expense increased for the third quarter and first nine months of 2012 compared to the same periods of 2011 mainly due to the impact of the cadooz acquisition, resulting in amortization of acquired intangible assets, and the addition of POS terminals in growing markets. These increases were partly offset by the impact of the weaker foreign currencies. As a percentage of revenues, these expenses increased to 2.9% for both the third quarter and first nine months of 2012 compared to 2.6% for the third quarter and 2.8% for the first nine months of 2011.</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decrease in operating income for the third quarter and first nine months of 2012 compared to the same periods of 2011 was primarily due to transaction volume and revenue declines in Australia, Brazil and Spain, and the impact of the weaker foreign currencies. The declines in volume and revenues in Brazil were due to certain mobile operators modifying their distribution strategies beginning in the fourth quarter of 2011. These mobile operator changes are expected to negatively impact operating income for the remainder of 2012. The declines in volume and revenues in Spain were mostly driven by economic and competitive pressures. In addition, the declines in volume and revenues in Australia were due to certain large retailers entering into direct agreements with two mobile operators during the second half of 2011. These decreases were partly offset by increases in transaction volumes in the U.S. and Germany and the impact of the cadooz acquisition. Operating margin was 5.9% for the third quarter and 6.5% for the first nine months of 2012 compared to 7.6% for the third quarter and 8.2% for the first nine months of 2011. These decreases were primarily due to the revenue declines in Australia, Brazil and Spain and the increase in bad debt expense for both the third quarter and first nine months of 2012 compared to the same periods of 2011. The decrease for the third quarter of 2012 was also caused by changes in the mix of transactions, particularly due to growth in transactions at our ATX subsidiary which earns lower revenue per transaction than mobile top-up distribution. Operating income per transaction declined to $0.04 for both the third quarter and first nine months of 2012 compared to $0.05 for the same periods of 2011, primarily due to the declines in operating income discussed above.</w:t>
      </w:r>
    </w:p>
    <w:p>
      <w:pPr>
        <w:spacing w:after="0" w:line="6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discussed earlier, in our epay Brazil operations, operating income has been negatively impacted by certain mobile operators' distribution strategies throughout 2012. To regain our desired profitability in Brazil, we are adjusting our strategy and making changes in the business to better align costs with revenues. Additionally, we expect to introduce other electronic payment products in this market during 2013 to increase revenues. However, if we are unable to achieve adequate profitability within epay Brazil in the longer term, it is possible that the goodwill or other acquired intangible assets of this reporting unit could become impaired. As of September 30, 2012, the carrying value of epay Brazil's goodwill and other acquired intangible assets were $24.1 million and $5.4 million,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tables present the results of operations for the three- and nine-month periods ended September 30, 2012 and 2011 for the Money Transfer Segment: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3"/>
                <w:szCs w:val="13"/>
                <w:color w:val="auto"/>
              </w:rPr>
            </w:pPr>
          </w:p>
        </w:tc>
        <w:tc>
          <w:tcPr>
            <w:tcW w:w="202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6"/>
          </w:tcPr>
          <w:p>
            <w:pPr>
              <w:spacing w:after="0"/>
              <w:rPr>
                <w:sz w:val="20"/>
                <w:szCs w:val="20"/>
                <w:color w:val="auto"/>
              </w:rPr>
            </w:pPr>
            <w:r>
              <w:rPr>
                <w:rFonts w:ascii="Arial" w:cs="Arial" w:eastAsia="Arial" w:hAnsi="Arial"/>
                <w:sz w:val="14"/>
                <w:szCs w:val="14"/>
                <w:b w:val="1"/>
                <w:bCs w:val="1"/>
                <w:color w:val="auto"/>
              </w:rPr>
              <w:t>Nine Months Ended September</w:t>
            </w:r>
          </w:p>
        </w:tc>
        <w:tc>
          <w:tcPr>
            <w:tcW w:w="120" w:type="dxa"/>
            <w:vAlign w:val="bottom"/>
          </w:tcPr>
          <w:p>
            <w:pPr>
              <w:spacing w:after="0"/>
              <w:rPr>
                <w:sz w:val="13"/>
                <w:szCs w:val="13"/>
                <w:color w:val="auto"/>
              </w:rPr>
            </w:pPr>
          </w:p>
        </w:tc>
        <w:tc>
          <w:tcPr>
            <w:tcW w:w="1920" w:type="dxa"/>
            <w:vAlign w:val="bottom"/>
            <w:gridSpan w:val="3"/>
            <w:vMerge w:val="restart"/>
          </w:tcPr>
          <w:p>
            <w:pPr>
              <w:jc w:val="right"/>
              <w:ind w:right="20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Pr>
          <w:p>
            <w:pPr>
              <w:spacing w:after="0"/>
              <w:rPr>
                <w:sz w:val="13"/>
                <w:szCs w:val="13"/>
                <w:color w:val="auto"/>
              </w:rPr>
            </w:pPr>
          </w:p>
        </w:tc>
        <w:tc>
          <w:tcPr>
            <w:tcW w:w="12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6"/>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3"/>
        </w:trPr>
        <w:tc>
          <w:tcPr>
            <w:tcW w:w="2740" w:type="dxa"/>
            <w:vAlign w:val="bottom"/>
            <w:vMerge w:val="restart"/>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Percent</w:t>
            </w:r>
          </w:p>
        </w:tc>
        <w:tc>
          <w:tcPr>
            <w:tcW w:w="120" w:type="dxa"/>
            <w:vAlign w:val="bottom"/>
          </w:tcPr>
          <w:p>
            <w:pPr>
              <w:spacing w:after="0"/>
              <w:rPr>
                <w:sz w:val="17"/>
                <w:szCs w:val="17"/>
                <w:color w:val="auto"/>
              </w:rPr>
            </w:pPr>
          </w:p>
        </w:tc>
        <w:tc>
          <w:tcPr>
            <w:tcW w:w="8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80,042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4,939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228,960</w:t>
            </w: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211,285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17,675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7"/>
        </w:trPr>
        <w:tc>
          <w:tcPr>
            <w:tcW w:w="28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38,394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4,061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108,037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96,797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11,240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19,450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18,517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933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56,067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51,882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4,185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5"/>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5,086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14,092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15,460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73,828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70,302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3,526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211,774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198,692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13,082</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97"/>
        </w:trPr>
        <w:tc>
          <w:tcPr>
            <w:tcW w:w="28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6,214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4,801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1,413</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17,186</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12,593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4,593</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0"/>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Transactions processed (millions)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2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increase in revenues for the third quarter and first nine months of 2012 compared to the same periods of 2011 was primarily due to an increase in the number of transactions processed and growth in other products such as mobile top-up, check cashing, bill payment and money order transactions, partly offset by the impact of the weaker foreign currencies. The growth in transactions processed was driven by a 14% and 13% increase in money transfers, including an 19% and 15% increase from the U.S. and a 7% and 9% increase from non-U.S. markets in the third quarter and first nine months of 2012, respectively. The increase in transfers from the U.S. was primarily the result of growth in the U.S. to Mexico money transfer activity and the expansion of the number of company-owned stores and agents. The increase in transfers from non-U.S. markets was due to the expansion of our agent and correspondent payout networks.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Revenues per transaction decreased to $10.13 for the third quarter and $10.41 for the first nine months of 2012 from $11.92 for the third quarter and $11.94 for the first nine months of 2011. The growth rate of transactions exceeded the revenue growth rate for the third quarter and first nine months of 2012 compared to the same periods of 2011 largely because of the increase in the number of non-money transfer transactions, which generate considerably lower revenues per transaction than money transfers, and the impact of the weaker foreign currencies.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who originate money transfers on our behalf and correspondent agents who disburse funds to the customers’ destination beneficiary, together with less significant costs, such as telecommunication costs and bank depository fees. The increase in direct operating costs in the third quarter and first nine months of 2012 compared to the same periods of 2011 was primarily due to the growth in transactions processed.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profit, which represents revenues less direct costs, was $41.6 million for the third quarter and $120.9 for the first nine months of 2012 compared to $40.8 million for the third quarter and $114.5 million for the first nine months of 2011. These increases were primarily due to the growth in money transfer transactions and other services such as mobile top-up, check cashing, bill payment and money order transactions, partly offset by the impact of weaker foreign currencies. Gross margin was 52.0% for the third quarter of 2012 and 52.8% for the first nine months of 2012 compared to 54.3% for the third quarter and 54.2% for the first nine months of 2011. These declines were primarily due to the increase in the number of non-money transfer transactions, which generate lower revenues and margin per transaction than money transfers.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increase in salaries and benefits for the third quarter and first nine months of 2012 compared to the same periods of 2011 was due to the increased expenditures we incurred to support expansion of our operations both in the U.S and internationally. As a percentage of revenues, salaries and benefits decreased slightly to 24.3% for the third quarter and 24.5% for the first nine months of 2012 from 24.7% for the third quarter and 24.6% for the first nine months of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decrease in selling, general and administrative expenses for both the third quarter and first nine months of 2012 compared to the same periods of 2011, was primarily due to cost control measures implemented during second quarter of 2012, both in the U.S. and internationally, and the impact of weaker foreign currencies. As a percentage of revenues, selling, general and administrative expenses decreased to 14.1% for the third quarter and 14.7% for the first nine months of 2012 from 16.5% for the third quarter and 16.4% for the first nine months of 2011; these decreases resulted from the cost controls discussed above, along with growth in revenues from non-money transfer transactions, which do not require similar increases in selling, general and administrative expenses.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Depreciation and amortization primarily represents amortization of acquired intangible assets and depreciation of money transfer terminals, computers and software, leasehold improvements and office equipment. For the third quarter and first nine months of 2012, depreciation and amortization decreased compared to the same periods in 2011, primarily as a result of certain acquired intangible assets becoming fully amortized at the end of the first quarter of 2012 and 2011. As a percentage of revenues, depreciation and amortization decreased to 5.9% for the third quarter and 6.2% for the first nine months of 2012 from 6.8% for the third quarter and 7.3% for the first nine months of 2011, primarily due to the decreases in depreciation and amortization discussed above combined with the increases in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Operating income increased by 29% for the third quarter and 36% for the first nine months of 2012 compared to the same periods of 2011. These increases reflect the growth in transactions processed and certain acquired intangible assets which became fully amortized. As a result, operating margin increased to 7.8% for the third quarter and 7.5% for the first nine months of 2012 from 6.4% for the third quarter and 6.0% for the first nine months of 2011. Operating income per transaction increased to $0.79 for the third quarter and $0.78 for the first nine months of 2012 from $0.76 for the third quarter and $0.71 for the first nine months of 2011. These increases were primarily due to the increases in transaction-based revenues discussed above and the decrease in amortization expense during 2012, partly offset by the impact of weaker foreign currencies.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operating expenses for the three- and nine-month periods ended September 30, 2012 and 2011 for Corporate Services: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4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920" w:type="dxa"/>
            <w:vAlign w:val="bottom"/>
            <w:gridSpan w:val="3"/>
            <w:vMerge w:val="restart"/>
          </w:tcPr>
          <w:p>
            <w:pPr>
              <w:jc w:val="right"/>
              <w:ind w:right="22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39"/>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9"/>
              <w:spacing w:after="0" w:line="153"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2"/>
                <w:szCs w:val="12"/>
                <w:color w:val="auto"/>
              </w:rPr>
            </w:pPr>
          </w:p>
        </w:tc>
        <w:tc>
          <w:tcPr>
            <w:tcW w:w="70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4,682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15,693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14,898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795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296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680" w:type="dxa"/>
            <w:vAlign w:val="bottom"/>
          </w:tcPr>
          <w:p>
            <w:pPr>
              <w:jc w:val="right"/>
              <w:ind w:right="38"/>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34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8"/>
              <w:spacing w:after="0"/>
              <w:rPr>
                <w:sz w:val="20"/>
                <w:szCs w:val="20"/>
                <w:color w:val="auto"/>
              </w:rPr>
            </w:pPr>
            <w:r>
              <w:rPr>
                <w:rFonts w:ascii="Arial" w:cs="Arial" w:eastAsia="Arial" w:hAnsi="Arial"/>
                <w:sz w:val="18"/>
                <w:szCs w:val="18"/>
                <w:color w:val="auto"/>
              </w:rPr>
              <w:t>5,509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5,526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57"/>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6,633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6,965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21,473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20,679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794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Overall, operating expenses for Corporate Services decreased for the third quarter of 2012 compared to the same period of 2011, mostly due to a decrease in salaries and benefits. This decrease was primarily the result of lower share-based compensation and bonus expense due to the reversal of previously recorded expense because it is now estimated that the performance criteria established for the recognition awards will not be achieved. Operating expenses for Corporate Services increased for the first nine months of 2012 compared to the same period of 2011, mostly due to an increase in salaries and benefits expenses. This increase was primarily the result of an increase in share-based compensation expense recognized in the first half of 2012 compared to 2011, partly offset by a decrease in bonus expense. For both the third quarter and first nine months of 2012 compared to the same periods of 2011, selling, general, and administrative expense and deprecation and amortization expense were relatively flat.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7"/>
          </w:tcPr>
          <w:p>
            <w:pPr>
              <w:ind w:left="80"/>
              <w:spacing w:after="0"/>
              <w:rPr>
                <w:sz w:val="20"/>
                <w:szCs w:val="20"/>
                <w:color w:val="auto"/>
              </w:rPr>
            </w:pPr>
            <w:r>
              <w:rPr>
                <w:rFonts w:ascii="Arial" w:cs="Arial" w:eastAsia="Arial" w:hAnsi="Arial"/>
                <w:sz w:val="14"/>
                <w:szCs w:val="14"/>
                <w:b w:val="1"/>
                <w:bCs w:val="1"/>
                <w:color w:val="auto"/>
                <w:w w:val="99"/>
              </w:rPr>
              <w:t>Three Months Ended September</w:t>
            </w:r>
          </w:p>
        </w:tc>
        <w:tc>
          <w:tcPr>
            <w:tcW w:w="180" w:type="dxa"/>
            <w:vAlign w:val="bottom"/>
          </w:tcPr>
          <w:p>
            <w:pPr>
              <w:spacing w:after="0"/>
              <w:rPr>
                <w:sz w:val="14"/>
                <w:szCs w:val="14"/>
                <w:color w:val="auto"/>
              </w:rPr>
            </w:pPr>
          </w:p>
        </w:tc>
        <w:tc>
          <w:tcPr>
            <w:tcW w:w="1960" w:type="dxa"/>
            <w:vAlign w:val="bottom"/>
            <w:gridSpan w:val="3"/>
            <w:vMerge w:val="restart"/>
          </w:tcPr>
          <w:p>
            <w:pPr>
              <w:jc w:val="right"/>
              <w:ind w:right="253"/>
              <w:spacing w:after="0"/>
              <w:rPr>
                <w:sz w:val="20"/>
                <w:szCs w:val="20"/>
                <w:color w:val="auto"/>
              </w:rPr>
            </w:pPr>
            <w:r>
              <w:rPr>
                <w:rFonts w:ascii="Arial" w:cs="Arial" w:eastAsia="Arial" w:hAnsi="Arial"/>
                <w:sz w:val="14"/>
                <w:szCs w:val="14"/>
                <w:b w:val="1"/>
                <w:bCs w:val="1"/>
                <w:color w:val="auto"/>
              </w:rPr>
              <w:t>Year-over-Year Change</w:t>
            </w:r>
          </w:p>
        </w:tc>
        <w:tc>
          <w:tcPr>
            <w:tcW w:w="220" w:type="dxa"/>
            <w:vAlign w:val="bottom"/>
            <w:vMerge w:val="restart"/>
          </w:tcPr>
          <w:p>
            <w:pPr>
              <w:spacing w:after="0"/>
              <w:rPr>
                <w:sz w:val="14"/>
                <w:szCs w:val="14"/>
                <w:color w:val="auto"/>
              </w:rPr>
            </w:pPr>
          </w:p>
        </w:tc>
        <w:tc>
          <w:tcPr>
            <w:tcW w:w="21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Nine Months Ended September</w:t>
            </w:r>
          </w:p>
        </w:tc>
        <w:tc>
          <w:tcPr>
            <w:tcW w:w="180" w:type="dxa"/>
            <w:vAlign w:val="bottom"/>
          </w:tcPr>
          <w:p>
            <w:pPr>
              <w:spacing w:after="0"/>
              <w:rPr>
                <w:sz w:val="14"/>
                <w:szCs w:val="14"/>
                <w:color w:val="auto"/>
              </w:rPr>
            </w:pPr>
          </w:p>
        </w:tc>
        <w:tc>
          <w:tcPr>
            <w:tcW w:w="1960" w:type="dxa"/>
            <w:vAlign w:val="bottom"/>
            <w:gridSpan w:val="3"/>
            <w:vMerge w:val="restart"/>
          </w:tcPr>
          <w:p>
            <w:pPr>
              <w:jc w:val="right"/>
              <w:ind w:right="253"/>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(15,686)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from unconsolidated</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Other (losses) gains, net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4,146</w:t>
            </w:r>
          </w:p>
        </w:tc>
        <w:tc>
          <w:tcPr>
            <w:tcW w:w="120" w:type="dxa"/>
            <w:vAlign w:val="bottom"/>
          </w:tcPr>
          <w:p>
            <w:pPr>
              <w:spacing w:after="0"/>
              <w:rPr>
                <w:sz w:val="21"/>
                <w:szCs w:val="21"/>
                <w:color w:val="auto"/>
              </w:rPr>
            </w:pP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Loss on early retirement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Legal settlement</w:t>
            </w: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Foreign currency exchange gain</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(loss), net</w:t>
            </w:r>
          </w:p>
        </w:tc>
        <w:tc>
          <w:tcPr>
            <w:tcW w:w="2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13,273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13,537</w:t>
            </w:r>
          </w:p>
        </w:tc>
        <w:tc>
          <w:tcPr>
            <w:tcW w:w="120" w:type="dxa"/>
            <w:vAlign w:val="bottom"/>
          </w:tcPr>
          <w:p>
            <w:pPr>
              <w:spacing w:after="0"/>
              <w:rPr>
                <w:sz w:val="22"/>
                <w:szCs w:val="22"/>
                <w:color w:val="auto"/>
              </w:rPr>
            </w:pPr>
          </w:p>
        </w:tc>
        <w:tc>
          <w:tcPr>
            <w:tcW w:w="12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2"/>
                <w:szCs w:val="22"/>
                <w:color w:val="auto"/>
              </w:rPr>
            </w:pPr>
          </w:p>
        </w:tc>
        <w:tc>
          <w:tcPr>
            <w:tcW w:w="102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decrease in interest income for the third quarter and first nine months of 2012 compared to the same periods of 2011 was primarily due to less interest earned on overnight deposits in Australia and Brazil, as a result of decreases in revenue in these countries during the periods, and the impact of weaker foreign currencies. These decreases were partly offset by an increase in interest earned on overnight deposits in various other locations.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increase in interest expense for the third quarter and first nine months of 2012 compared to the same periods of 2011 was primarily related to having larger amounts outstanding under the credit facility during both periods of 2012 than during the same periods of 2011, primarily due to borrowings to fund our September 2011 acquisition of cadooz and capital expenditures in 2012 related to the deployment of ATMs in India and Europe.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Income from unconsolidated affiliates primarily represents the equity in income of our 40% equity investment in epay Malaysia and our 49% investment in Euronet Middle East W.L.L during 2011 before our acquisition of the remaining 51% interest in January 2012. The decrease in income from unconsolidated affiliates was almost entirely the result of consolidating Euronet Middle East W.L.L's results beginning in January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(losses) gains, net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third quarter and first nine months of 2012, we recorded an investment in marketable securities at fair value which resulted in a loss of $0.03 million and $0.2 million, respectively.</w:t>
      </w:r>
    </w:p>
    <w:p>
      <w:pPr>
        <w:spacing w:after="0" w:line="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Additionally, our acquisition of the remaining 51% interest of Euronet Middle East W.L.L in January 2012 resulted in Euronet obtaining control of the entity and, therefore, was considered a business combination. Accordingly, we valued all assets and liabilities at fair value which resulted in a $4.4 million gain on the increase of the book value of the 49% interest previously owned.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third quarter of 2011, we entered into an amended and expanded credit facility and recorded a $1.7 million loss primarily related to the write-off of deferred financing costs associated with the extinguished credit facility. Also during the third quarter of 2011, we repurchased $3.6 million principal amount of our 3.5% convertible debentures and recognized a $0.2 million loss representing the difference in the amounts paid for the convertible debentures over their carrying amounts, including deferred financing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2011, we recorded a $1.0 million gain from the settlement of a class action lawsuit related to losses on MoneyGram International,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we formerly held.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which are not long-term in nature,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recorded a net foreign currency exchange gain of $1.4 million in the third quarter and a net foreign currency exchange loss of $1.2 million in the first nine months of 2012 compared to a net foreign currency exchange loss of $11.9 million in the third quarter and a net foreign currency exchange gain of $1.1 million in the first nine months of 2011. These realized and unrealized foreign currency exchange gains and losses reflect the respective weakening and strengthening of the U.S. dollar against most of the currencies of the countries in which we operate during the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32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4"/>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2011</w:t>
            </w: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21,168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3,558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50,546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46,433</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(6,827)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(6,483)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(17,381)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(19,433)</w:t>
            </w:r>
          </w:p>
        </w:tc>
      </w:tr>
      <w:tr>
        <w:trPr>
          <w:trHeight w:val="27"/>
        </w:trPr>
        <w:tc>
          <w:tcPr>
            <w:tcW w:w="6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14,341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(2,925)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33,165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27,000</w:t>
            </w: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6"/>
        </w:trPr>
        <w:tc>
          <w:tcPr>
            <w:tcW w:w="6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4"/>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6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21,168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3,558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50,546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46,433</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Adjust: Foreign currency exchange gain (loss), net</w:t>
            </w:r>
          </w:p>
        </w:tc>
        <w:tc>
          <w:tcPr>
            <w:tcW w:w="16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1,419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(11,854)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color w:val="auto"/>
              </w:rPr>
              <w:t>1,083</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Other (loss) gains, net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gridSpan w:val="2"/>
          </w:tcPr>
          <w:p>
            <w:pPr>
              <w:spacing w:after="0"/>
              <w:rPr>
                <w:sz w:val="20"/>
                <w:szCs w:val="20"/>
                <w:color w:val="auto"/>
              </w:rPr>
            </w:pPr>
            <w:r>
              <w:rPr>
                <w:rFonts w:ascii="Arial" w:cs="Arial" w:eastAsia="Arial" w:hAnsi="Arial"/>
                <w:sz w:val="18"/>
                <w:szCs w:val="18"/>
                <w:color w:val="auto"/>
              </w:rPr>
              <w:t>Adjust: Loss on early retirement of debt</w:t>
            </w:r>
          </w:p>
        </w:tc>
        <w:tc>
          <w:tcPr>
            <w:tcW w:w="16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(1,899)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(1,899)</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 Legal settlement</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1,000</w:t>
            </w:r>
          </w:p>
        </w:tc>
      </w:tr>
      <w:tr>
        <w:trPr>
          <w:trHeight w:val="297"/>
        </w:trPr>
        <w:tc>
          <w:tcPr>
            <w:tcW w:w="6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before income taxes, as adjusted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19,774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17,311</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47,637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46,249</w:t>
            </w:r>
          </w:p>
        </w:tc>
      </w:tr>
      <w:tr>
        <w:trPr>
          <w:trHeight w:val="311"/>
        </w:trPr>
        <w:tc>
          <w:tcPr>
            <w:tcW w:w="6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(6,827)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(6,483)</w:t>
            </w:r>
          </w:p>
        </w:tc>
        <w:tc>
          <w:tcPr>
            <w:tcW w:w="220" w:type="dxa"/>
            <w:vAlign w:val="bottom"/>
          </w:tcPr>
          <w:p>
            <w:pPr>
              <w:spacing w:after="0"/>
              <w:rPr>
                <w:sz w:val="21"/>
                <w:szCs w:val="21"/>
                <w:color w:val="auto"/>
              </w:rPr>
            </w:pP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(17,381)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(19,433)</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Adjust: Income tax (benefit) expense attributable to foreign currency exchange gain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6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(loss), net</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190</w:t>
            </w:r>
          </w:p>
        </w:tc>
      </w:tr>
      <w:tr>
        <w:trPr>
          <w:trHeight w:val="297"/>
        </w:trPr>
        <w:tc>
          <w:tcPr>
            <w:tcW w:w="6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Income tax expense, as adjusted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(6,799)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(6,743)</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(17,417)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(19,623)</w:t>
            </w:r>
          </w:p>
        </w:tc>
      </w:tr>
      <w:tr>
        <w:trPr>
          <w:trHeight w:val="311"/>
        </w:trPr>
        <w:tc>
          <w:tcPr>
            <w:tcW w:w="6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 as adjusted</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effective tax rates were 32.3% and 182.2% for the three-month periods ended September 30, 2012 and 2011, respectively, and were 34.4% and 41.9% for the nine-month periods ended September 30, 2012 and 2011, respectively. The effective tax rates were significantly influenced by the foreign currency exchange gains and losses and other non-operating gains and losses in the respective periods. Excluding these items from pre-tax income, as well as the related tax effects for these items, our effective tax rates were 34.4% and 39.0% for the three months ended September 30, 2012 and 2011, respectively, and were 36.6% and 42.4% for the nine months ended September 30, 2012 and 2011, respectively.</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effective tax rate, as adjusted, for the third quarter of 2012 was lower than the applicable statutory rate of 35% primarily because of the reduction in unrecognized tax benefits. The effective tax rate, as adjusted, for the nine-month period ended September 30, 2012 was higher than the applicable statutory rate of 35% primarily because of our U.S. income tax positions, partly offset by the reduction in unrecognized tax benefits and tax return true-ups in foreign jurisdictions. For the nine-month period ended September 30, 2012, we have recorded a valuation allowance against our U.S. income tax net operating losses as it is more likely than not that a tax benefit will not be realized. Accordingly, the income tax benefits associated with pre-tax book losses generated by our U.S. entities have not been recognized.</w:t>
      </w:r>
    </w:p>
    <w:p>
      <w:pPr>
        <w:spacing w:after="0" w:line="19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decrease in the effective tax rate, as adjusted, for the third quarter and the nine-month period ended September 30, 2012 from the same periods of 2011 was primarily due to a smaller proportion of the Company's income being earned in countries with higher tax rates. The reduction in unrecognized tax benefits in the third quarter and the tax return true-ups in foreign jurisdictions for the nine-month period ended September 30, 2012 provided further reductions to the effective tax rate. There have not been any material changes in unrecognized income tax benefits since December 31, 2011.</w:t>
      </w:r>
    </w:p>
    <w:p>
      <w:pPr>
        <w:spacing w:after="0" w:line="15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Income before income taxes, as adjusted, income tax expense, as adjusted and effective income tax rate, as adjusted are non-GAAP financial measures that management believes are useful for understanding why our effective tax rates are significantly different than would be expected.</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OR LOSS ATTRIBUTABLE TO NONCONTROLLING INTERESTS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net loss attributable to noncontrolling interests was $0.3 million for the third quarter and $0.4 million for the first nine months of 2012 compared to net income attributable to noncontrolling interests of $0.3 million for the third quarter and $1.0 million for the first nine months of 2011. These losses were primarily due to decreased profitability at our Movilcarga and ATX subsidiaries. Noncontrolling interests represents the elimination of net income or loss attributable to the minority shareholders’ portion of the following consolidated subsidiaries that are not wholly owned: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320" w:type="dxa"/>
            <w:vAlign w:val="bottom"/>
            <w:gridSpan w:val="2"/>
          </w:tcPr>
          <w:p>
            <w:pPr>
              <w:ind w:left="360"/>
              <w:spacing w:after="0"/>
              <w:rPr>
                <w:sz w:val="20"/>
                <w:szCs w:val="20"/>
                <w:color w:val="auto"/>
              </w:rPr>
            </w:pPr>
            <w:r>
              <w:rPr>
                <w:rFonts w:ascii="Arial" w:cs="Arial" w:eastAsia="Arial" w:hAnsi="Arial"/>
                <w:sz w:val="14"/>
                <w:szCs w:val="14"/>
                <w:b w:val="1"/>
                <w:bCs w:val="1"/>
                <w:color w:val="auto"/>
              </w:rPr>
              <w:t>Percent</w:t>
            </w:r>
          </w:p>
        </w:tc>
        <w:tc>
          <w:tcPr>
            <w:tcW w:w="21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Owned</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ATX</w:t>
            </w:r>
          </w:p>
        </w:tc>
        <w:tc>
          <w:tcPr>
            <w:tcW w:w="122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epay - various</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China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43"/>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Euronet Pakistan</w:t>
            </w:r>
          </w:p>
        </w:tc>
        <w:tc>
          <w:tcPr>
            <w:tcW w:w="12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160" w:type="dxa"/>
            <w:vAlign w:val="bottom"/>
          </w:tcPr>
          <w:p>
            <w:pPr>
              <w:ind w:left="2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 WORLDWIDE, INC.</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Net income attributable to Euronet Worldwide, Inc. was $14.6 million for the third quarter and $33.5 million for the first nine months of 2012 compared to a net loss of $3.2 million for the third quarter and net income of $26.0 million for the first nine months of 2011. As more fully discussed above, the increase in net income of $7.6 million for the first nine months of 2012 as compared to the same period in 2011 was primarily the result of a $3.8 million increase in operating income, recognition of a $1.9 million loss on early retirement of debt during the third quarter of 2011, a $4.1 increase in non-operating gains, a $2.1 million decrease in income tax expense, and the $1.4 million decrease in net income attributable to noncontrolling interests. These increases were partly offset by a foreign currency exchange loss of $1.2 million in the first nine months of 2012 compared to a gain of $1.1 million in the same period of 2011, recognition of a $1.0 million gain from legal settlement in the first nine months of 2011 and a $0.9 million increase in interest expense. Other items decreased net income by $1.5 million during the first nine months of 2012 compared to the same period of 2011.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September 30, 2012, we had negative working capital, which is calculated as the difference between total current assets and total current liabilities, of $56.8 million, compared to negative working capital of $20.5 million as of December 31, 2011. Our ratio of current assets to current liabilities at September 30, 2012 and December 31, 2011 were 0.93 and 0.97, respectively. The decrease in working capital was primarily due the repayment of borrowings under the revolving credit facility during the first nine months of 2012 and the acquisition of the remaining 51% of Euronet Middle East W.L.L. Working capital was negative at September 30, 2012 and December 31, 2011, primarily due to the inclusion in current maturities of long-term debt of $171.1 million and $165.2 million, respectively, related to the 3.50% convertible debentures. Holders of the debentures have the option to require us to purchase their debentures at par on October 15, 2012, 2015 and 2020.</w:t>
      </w:r>
    </w:p>
    <w:p>
      <w:pPr>
        <w:spacing w:after="0" w:line="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October 15, 2012, the Company repurchased $167.8 million of these debentures which were submitted to the Company for repurchase. As a result of this repurchase, $3.6 million in principal amount of such debentures remains outstanding. The Company utilized cash on hand and borrowings on its revolving credit facility to fund the repurchase.</w:t>
      </w:r>
    </w:p>
    <w:p>
      <w:pPr>
        <w:spacing w:after="0" w:line="7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reporting period ends. As of September 30, 2012, working capital in the Money Transfer Segment was $74.8 million. We expect that working capital needs will increase as we expand this business. The epay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had cash and cash equivalents of $191.8 million at September 30, 2012, of which $140.1 million was held outside of the United States and is expected to be indefinitely reinvested for continued use in foreign operations. Repatriation of these assets to the U.S. could have negative tax consequences.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flows provided by operating activities were $144.4 million for the first nine months of 2012 compared to $78.0 million for the first nine months of 2011. The increase was primarily due to improved operating results, as well as fluctuations in working capital mainly associated with the timing of the settlement processes with mobile operators in the epay Segment and with correspondents in the Money Transfer Segment.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Cash flows used in investing activities were $38.3 million for the first nine months of 2012 compared to $89.4 million for the first nine months of 2011. During the first nine months of 2012, we used $2.7 million for acquisitions compared to $54.1 million in the first nine months of 2011. Purchases of property and equipment and other long-term assets used $36.7 million and $35.0 million of cash for the first nine months of 2012 and 2011, respectively. Additionally, cash provided by other investing activities totaled $1.1 million for the first nine months of 2012, primarily related to proceeds from sale of property and equipment.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Cash flows used in financing activities were $85.6 million during the first nine months of 2012 compared to cash provided by financing activities of $8.7 million during the first nine months of 2011. Our financing activities for the first nine months of 2012 consisted primarily of net repayments of debt obligations of $83.6 million compared to net borrowings of $26.1 million for the first nine months of 2011. To support the short-term cash needs of our Money Transfer Segment, we generally borrow amounts under our revolving credit facility several times each month to fund the correspondent network in advance of collecting remittance amounts from the agency network. These borrowings are repaid over a very short period of time, generally within a few days. As a result, during the first nine months of 2012 we had a total of $282.1 million in borrowings and $360.6 million in repayments under our revolving credit facilities. In addition, during the first nine months of 2012, we had $3.0 million in repayments under our term loan. During the first nine months of 2011, we used $127.0 million for repayment of our term loan as a result of the amendment to our senior secured credit facility (the "Credit Facility") in August 2011, received proceeds of $80.0 million from our new term loan and paid $3.2 million in debt issuance costs. During the first nine months of 2012, we paid $0.9 million in debt issuance costs associated with an amendment to our Credit Facility in 2011. Additionally, for the first nine months of 2012 and 2011, we paid $2.0 million and $2.2 million, respectively, for capital lease obligations. During the first nine months of 2011, we paid $5.5 million in settlement of contingent consideration amounts recorded at the time of two different acquisitions. Further, for the first nine months of 2012 and 2011, we received $2.1 million each, in proceeds from the issuance of shares. For the first nine months of 2011, we used $10.4 million for share repurchases. Purchase of subsidiary shares from noncontrolling interests used $3.3 million of cash during the first nine months of 2012.</w:t>
      </w:r>
    </w:p>
    <w:p>
      <w:pPr>
        <w:spacing w:after="0" w:line="64" w:lineRule="exact"/>
        <w:rPr>
          <w:sz w:val="20"/>
          <w:szCs w:val="20"/>
          <w:color w:val="auto"/>
        </w:rPr>
      </w:pPr>
    </w:p>
    <w:p>
      <w:pPr>
        <w:ind w:right="1900"/>
        <w:spacing w:after="0" w:line="375" w:lineRule="auto"/>
        <w:rPr>
          <w:sz w:val="20"/>
          <w:szCs w:val="20"/>
          <w:color w:val="auto"/>
        </w:rPr>
      </w:pPr>
      <w:r>
        <w:rPr>
          <w:rFonts w:ascii="Arial" w:cs="Arial" w:eastAsia="Arial" w:hAnsi="Arial"/>
          <w:sz w:val="18"/>
          <w:szCs w:val="18"/>
          <w:color w:val="auto"/>
        </w:rPr>
        <w:t xml:space="preserve">Expected future financing and investing cash requirements primarily depend on our acquisition activity and related financing needs. </w:t>
      </w:r>
      <w:r>
        <w:rPr>
          <w:rFonts w:ascii="Arial" w:cs="Arial" w:eastAsia="Arial" w:hAnsi="Arial"/>
          <w:sz w:val="18"/>
          <w:szCs w:val="18"/>
          <w:i w:val="1"/>
          <w:iCs w:val="1"/>
          <w:color w:val="auto"/>
        </w:rPr>
        <w:t>Other sources of capital</w:t>
      </w:r>
    </w:p>
    <w:p>
      <w:pPr>
        <w:spacing w:after="0" w:line="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As of September 30, 2012, we have a $355 million Credit Facility consisting of a $265 million five-year revolving credit facility, a $10 million five-year India revolving credit facility and an $80 million five-year term loan. The revolving credit facility allows for borrowings in U.S. dollars, euro, British pound sterling, Australian dollars and/or Indian rupees.</w:t>
      </w:r>
    </w:p>
    <w:p>
      <w:pPr>
        <w:spacing w:after="0" w:line="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$265 million revolving credit facility contains a $200 million sublimit for the issuance of letters of credit and a $25 million sublimit for swingline loans. We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 Subject to certain conditions, we have the option to increase the Credit Facility by up to an additional $205 million by requesting additional commitments from existing or new lenders. On October 11, 2012, we exercised this option and increased the aggregate commitments under the revolving credit facility by $125 million. All other terms of the credit agreement remain unchanged. Additional financing costs of $1.0 million have been deferred and are being amortized over the remaining period of the revolving credit agreement.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Fees and interest on borrowings vary based upon the Company's consolidated total leverage ratio (as defined in the Amended and Restated Credit Agreement) and will be based, in the case of letter of credit fees, on a margin, and in the case of interest, on a margin over London Inter-Bank Offered Rate ("LIBOR") or a margin over the base rate, as selected by us, with the applicable margin ranging from 1.5% to 2.5% (or 0.5% to 1.5% for base rate loans). The base rate is the highest of (i) the Bank of America prime rate, (ii) the Federal Funds rate plus 0.50% or (iii) the Fixed LIBOR rate plus 1.00%. The term loan is subject to scheduled quarterly amortization payments, as set forth in the Amended and Restated Credit Agreement. The maturity date for the Credit Facility is August 18, 2016, at which time the outstanding principal balance and all accrued interest will be due and payable in full. Original costs of $4.5 million continue to be deferred and are being amortized over the terms of the respective loans.</w:t>
      </w:r>
    </w:p>
    <w:p>
      <w:pPr>
        <w:spacing w:after="0" w:line="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of September 30, 2012, we had borrowings of $76.0 million outstanding under the term loan. We had $8.6 million of borrowings and $36.9 million of stand-by letters of credit outstanding under the revolving credit facility as of September 30, 2012. The remaining $229.5 million under the revolving credit facility was available for borrowing. As of September 30, 2012, our weighted average interest rate was 5.1% under the revolving credit facility and 2.2% under the term loan, excluding amortization of deferred financing costs.</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September 30, 2012 were primarily comprised of the $171.1 million carrying value ($171.4 million in principal) of the 3.5% convertible debentures because the initial put option occurs on October 15, 2012 (see description below). Additionally, we have $6.0 million of payments due in the next twelve months under the term loan. Certain of our subsidiaries also have available credit lines and overdraft facilities to supplement short-term working capital requirements, when necessary, and there was $1.0 million outstanding under these facilities as of September 30, 2012.</w:t>
      </w:r>
    </w:p>
    <w:p>
      <w:pPr>
        <w:spacing w:after="0" w:line="8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of September 30, 2012, the $171.4 million in principal amount of 3.50% Convertible Debentures Due 2025 is convertible into 4.2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 On October 15, 2012, the Company repurchased $167.8 million of these debentures which were submitted to the Company for repurchase. As a result of this repurchase, $3.6 million in principal amount of such debentures remains outstanding. The Company utilized cash on hand and borrowings on its revolving credit facility to fund the repurchase.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u w:val="single" w:color="auto"/>
          <w:color w:val="auto"/>
        </w:rPr>
        <w:t>Debt and equity repurchases</w:t>
      </w:r>
      <w:r>
        <w:rPr>
          <w:rFonts w:ascii="Arial" w:cs="Arial" w:eastAsia="Arial" w:hAnsi="Arial"/>
          <w:sz w:val="16"/>
          <w:szCs w:val="16"/>
          <w:color w:val="auto"/>
        </w:rPr>
        <w:t xml:space="preserve"> — In August 2011, our Board of Directors authorized the repurchase of any of our convertible debentures and up to $100 million or 5 million shares of our common stock. During the third quarter 2012, we repurchased 70,500 shares of common stock at an aggregate cost of $1.3 million. Considering cumulative repurchases as of September 30, 2012, we have $82.7 million or 3.9 million shares of common stock remaining that may be repurchased under the Board's authorization. We expect to repurchase additional securities when prices provide attractive returns on capital.</w:t>
      </w:r>
    </w:p>
    <w:p>
      <w:pPr>
        <w:spacing w:after="0" w:line="46"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A portion of the net assets acquired in the September 2011 acquisition of cadooz includes a liability for additional purchase price consideration based upon the level of revenues achieved by one of cadooz's subsidiaries for the three-year period ending in February 2014.</w:t>
      </w:r>
    </w:p>
    <w:p>
      <w:pPr>
        <w:spacing w:after="0" w:line="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An independent expert was engaged to review the results of the computation, but procedures for such review have never been commenced, principally because the seller is in a bankruptcy proceeding. Any additional payments, if ultimately determined to be owed the seller, will be recorded as additional goodwill and could be made in either cash or a combination of cash and Euronet common stock at our option.</w:t>
      </w:r>
    </w:p>
    <w:p>
      <w:pPr>
        <w:spacing w:after="0" w:line="64"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u w:val="single" w:color="auto"/>
          <w:color w:val="auto"/>
        </w:rPr>
        <w:t>Capital expenditures and needs</w:t>
      </w:r>
      <w:r>
        <w:rPr>
          <w:rFonts w:ascii="Arial" w:cs="Arial" w:eastAsia="Arial" w:hAnsi="Arial"/>
          <w:sz w:val="17"/>
          <w:szCs w:val="17"/>
          <w:color w:val="auto"/>
        </w:rPr>
        <w:t xml:space="preserve"> — Total capital expenditures for the first nine months of 2012 were $33.9 million. These capital expenditures were primarily for the purchase of ATMs in Poland and India, as well as office, data center and company store computer equipment and software, and POS terminals for the epay Segment. Total capital expenditures for 2012 are currently estimated to be approximately $40 million to $50 million.</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epay Segment, approximately 129,000 of the approximately 631,000 POS devices that we operate are Company-owned, with the remaining terminals being operated as integrated cash register devices of our major retail customers or owned by the retailers. As our epay Segment expands, we will continue to add terminals in certain independent retail locations at a price of approximately $300 per terminal. We expect the proportion of owned terminals to total terminals operated to remain relatively constant.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issue additional debt and/or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Euronet has no direct investments in European sovereign debt, we are indirectly exposed to its risks. Many of the customers of our EFT Processing Segment are banks who may hold investments in European sovereign debt. To the extent those customers are negatively impacted by those investments, they may be less able to pay amounts owed to us or renew service agreements with us. Further, to the extent that sovereign debt concerns depress economic activity, such concerns may negatively impact the number of transactions processed on our epay and money transfer networks, resulting in lower revenue.</w:t>
      </w:r>
    </w:p>
    <w:p>
      <w:pPr>
        <w:spacing w:after="0" w:line="154"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Australia, Brazil and Spain epay businesses have recently experienced revenue declines as a result of changes in the distribution strategies of certain mobile operators in Australia and Brazil and a weak economy in Spain. Continued competitive and economic pressures in these markets may negatively impact the epay Segment's profitability in the near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September 30, 2012, there were no material changes from the disclosure in our Annual Report on Form 10-K for the year ended December 31, 2011. To date, we are not aware of any significant claims made by the indemnified parties or parties to whom we have provided guarantees on behalf of our subsidiaries and, accordingly, no liabilities have been recorded as of September 30, 2012. See also Note 10, Guarantees, to the unaudited consolidated financial statements included elsewhere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September 30, 2012, the only material change from the disclosures relating to contractual obligations contained in our Annual Report on Form 10-K for the year ended December 31, 2011, is a decrease of $77.7 million in the amount outstanding on our revolving credit facility, net of additional borrowings, during the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foreign currency exchange rate fluctuations; the effects of any potential future security breaches; our ability to renew existing contracts at profitable rates; changes in laws and regulations affecting our business, including immigration laws, changes in our relationships with, or in fees charged by, our business partners, competition, the outcome of claims and other loss contingencies affecting the Company and those referred to above and as set forth and more fully described in Part I, Item 1A — Risk Factors of our Annual Report on Form 10-K for the year ended December 31, 2011. All forward-looking statements made in this Form 10-Q speak only as of the date of this report. We do not intend, and do not undertake, any obligation to update any forward looking statements to reflect future events or circumstances after the date of such statements.</w:t>
      </w:r>
    </w:p>
    <w:p>
      <w:pPr>
        <w:spacing w:after="0" w:line="178"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120"/>
        <w:spacing w:after="0" w:line="293" w:lineRule="auto"/>
        <w:rPr>
          <w:sz w:val="20"/>
          <w:szCs w:val="20"/>
          <w:color w:val="auto"/>
        </w:rPr>
      </w:pPr>
      <w:r>
        <w:rPr>
          <w:rFonts w:ascii="Arial" w:cs="Arial" w:eastAsia="Arial" w:hAnsi="Arial"/>
          <w:sz w:val="16"/>
          <w:szCs w:val="16"/>
          <w:color w:val="auto"/>
        </w:rPr>
        <w:t>As of September 30, 2012, our total debt outstanding was $261.7 million. Of this amount, $171.1 million, or 65% of our total debt obligations, relates to contingent convertible debentures having a fixed coupon rate. Our $171.4 million principal amount of contingent convertible debentures, issued in October 2005, accrue cash interest at a rate of 3.50% of the principal amount per annum. Based on quoted market prices, as of September 30, 2012, the fair value of our fixed rate convertible debentures was $170.5 million, compared to a carrying value of $171.1 million. Interest expense for these debentures, including accretion and amortization of deferred debt issuance costs, has a weighted average interest rate of 8.7% annually. Additionally, approximately $5.0 million, or 2% of our total debt obligations, relates to capitalized leases with fixed payment and interest terms that expire between 2012 and 2015.</w:t>
      </w:r>
    </w:p>
    <w:p>
      <w:pPr>
        <w:spacing w:after="0" w:line="5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remaining $85.6 million, or 33% of our total debt obligations, relates to debt that accrues interest at variable rates. If we were to maintain these borrowings for one year and maximize the potential borrowings available under the revolving credit facility for one year, a 1% (100 basis points) increase in the applicable interest rate would result in additional annual interest expense to the Company of approximately $3.1 million.</w:t>
      </w:r>
    </w:p>
    <w:p>
      <w:pPr>
        <w:spacing w:after="0" w:line="5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nine-month period ended September 30, 2012, 77% of our revenues were generated in non-U.S. dollar countries and we expect to continue generating a significant portion of our revenues in countries with currencies other than the U.S. dollar.</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primarily the euro, British pound, Australian dollar, Polish zloty, Brazilian real and Indian rupee. As of September 30, 2012, we estimate that a 10% fluctuation in these foreign currency exchange rates would have the combined annualized effect on reported net income and working capital of approximately $30 million to $35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$50 million to $55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primarily to help offset foreign currency exposure related to the notional value of money transfer transactions collected in currencies other than the U.S. dollar. As of September 30, 2012, we had foreign currency forward contracts outstanding with a notional value of $79.1 million, primarily in Australian dollars, euros and Mexican pesos, that were not designated as hedges and mature in a weighted average of two days. The fair value of these forward contracts as of September 30, 2012 was an unrealized gain of $0.1 million, which was partly offset by the unrealized loss on the related foreign currency receivables.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2012.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third quarter of 2012 that has materially affected, or is reasonably likely to materially affect, our internal control over financial reporting.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Note 12, Litigation and Contingencies, to the unaudited consolidated financial statements in this report included elsewhere in this report is incorporated herein by reference.</w:t>
      </w:r>
    </w:p>
    <w:p>
      <w:pPr>
        <w:spacing w:after="0" w:line="6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Currently, there are no other legal proceedings that management believes, either individually or in the aggregate, would have a material adverse effect upon the consolidated results of operations or financial condition of the Company. In accordance with U.S. GAAP, we record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 or matter.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You should carefully consider the risks described in Part I, Item 1A. Risk Factors in our Annual Report on Form 10-K for the fiscal year ended December 31, 2011, as may be updated in our subsequent filings with the SEC, before making an investment decision. The risks and uncertainties described in our Annual Report on Form 10-K, as may be updated by any subsequent Quarterly Reports on Form 10-Q, are not the only ones facing our Company. Additional risks and uncertainties not presently known to us or that we currently deem immaterial may also impair our business operations. If any of the risks identified in our Annual Report on Form 10-K, as may be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in our Risk Factors and elsewhere in this Quarterly Report.</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Other than as set forth below, there have been no material changes from the risk factors previously disclosed in the Company’s Annual Report on Form 10-K for the year ended December 31, 2011, as filed with the SEC.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w:t>
      </w:r>
    </w:p>
    <w:p>
      <w:pPr>
        <w:spacing w:after="0" w:line="180" w:lineRule="exact"/>
        <w:rPr>
          <w:sz w:val="20"/>
          <w:szCs w:val="20"/>
          <w:color w:val="auto"/>
        </w:rPr>
      </w:pPr>
    </w:p>
    <w:p>
      <w:pPr>
        <w:jc w:val="both"/>
        <w:ind w:right="580"/>
        <w:spacing w:after="0" w:line="264" w:lineRule="auto"/>
        <w:rPr>
          <w:sz w:val="20"/>
          <w:szCs w:val="20"/>
          <w:color w:val="auto"/>
        </w:rPr>
      </w:pPr>
      <w:r>
        <w:rPr>
          <w:rFonts w:ascii="Arial" w:cs="Arial" w:eastAsia="Arial" w:hAnsi="Arial"/>
          <w:sz w:val="18"/>
          <w:szCs w:val="18"/>
          <w:color w:val="auto"/>
        </w:rPr>
        <w:t>Transaction fees from banks, customers and international card organizations for transactions processed on our ATMs have historically accounted for a substantial majority of our revenues. These fees are set by agreement among all banks in a particular market. The future operating results of our ATM business depend on the following factors:</w:t>
      </w:r>
    </w:p>
    <w:p>
      <w:pPr>
        <w:spacing w:after="0" w:line="39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increased issuance of credit and debit cards;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increased acceptance of our ATM processing and management services in our target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maintenance of the level of transaction fees we receive;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installation of larger numbers of ATMs;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use of our ATMs by credit and debit cardholders;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generate revenues from interchange fees and from other value added services, including dynamic currency conversion; and</w:t>
      </w:r>
    </w:p>
    <w:p>
      <w:pPr>
        <w:spacing w:after="0" w:line="236" w:lineRule="exact"/>
        <w:rPr>
          <w:rFonts w:ascii="Arial" w:cs="Arial" w:eastAsia="Arial" w:hAnsi="Arial"/>
          <w:sz w:val="17"/>
          <w:szCs w:val="17"/>
          <w:color w:val="auto"/>
        </w:rPr>
      </w:pPr>
    </w:p>
    <w:p>
      <w:pPr>
        <w:ind w:left="660" w:right="20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adjust to changes in the regulatory environment affecting our ATM business and the various value added services we provide via our ATM network.</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the bulk of our revenues in most markets from interchange fees, surcharges or cash withdrawal related services that are set by the central ATM processing switch or various card organizations. The banks that participate in these switches or the card organizations that enable the services or transactions set the interchange fee and/or establish the rules regarding the services allowed, and we are not in a position in any market to greatly influence these fees or rules, which may increase or decrease over time. A significant decrease in the interchange fee, or limitations placed on our ability to offer value added services via our ATM network, in any market could adversely affect our results in that market.</w:t>
      </w:r>
    </w:p>
    <w:p>
      <w:pPr>
        <w:spacing w:after="0" w:line="1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including new value added services, to the sets of transactions that are available on our ATMs. However, we may not be successful in materially increasing transaction levels through these measures. Per-transaction fees paid by international card organizations have declined in certain markets in recent years and competitive factors have required us to reduce the transaction fees we charge customers. If we cannot continue to increase our transaction levels and per-transaction fees generally decline, our results would be adversely affected.</w:t>
      </w:r>
    </w:p>
    <w:p>
      <w:pPr>
        <w:spacing w:after="0" w:line="17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Additionally, the evolving regulatory environment may change the competitive landscape across various jurisdictions and adversely affect our financial results. If governments implement new laws or regulations, or organizations such as Visa and MasterCard issue new rules, that effectively limit our ability to provide certain value added services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 the three months ended September 30, 2012, the Company purchased, 70,500 shares of its Common Stock in the open market, in accordance with the authorization by its Board of Directors announced on August 22, 2011. The Company is authorized to repurchase up to $100 million or 5 million shares of its Common Stock through August 22, 2013. The following table sets forth information with respect to those shares: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Average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Yet Be Purchased</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Announced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(1)</w:t>
            </w:r>
          </w:p>
        </w:tc>
        <w:tc>
          <w:tcPr>
            <w:tcW w:w="0" w:type="dxa"/>
            <w:vAlign w:val="bottom"/>
          </w:tcPr>
          <w:p>
            <w:pPr>
              <w:spacing w:after="0"/>
              <w:rPr>
                <w:sz w:val="1"/>
                <w:szCs w:val="1"/>
                <w:color w:val="auto"/>
              </w:rPr>
            </w:pPr>
          </w:p>
        </w:tc>
      </w:tr>
      <w:tr>
        <w:trPr>
          <w:trHeight w:val="26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September 1 - September 30</w:t>
            </w:r>
          </w:p>
        </w:tc>
        <w:tc>
          <w:tcPr>
            <w:tcW w:w="1620" w:type="dxa"/>
            <w:vAlign w:val="bottom"/>
            <w:tcBorders>
              <w:bottom w:val="single" w:sz="8" w:color="auto"/>
            </w:tcBorders>
          </w:tcPr>
          <w:p>
            <w:pPr>
              <w:jc w:val="right"/>
              <w:ind w:right="44"/>
              <w:spacing w:after="0"/>
              <w:rPr>
                <w:sz w:val="20"/>
                <w:szCs w:val="20"/>
                <w:color w:val="auto"/>
              </w:rPr>
            </w:pPr>
            <w:r>
              <w:rPr>
                <w:rFonts w:ascii="Arial" w:cs="Arial" w:eastAsia="Arial" w:hAnsi="Arial"/>
                <w:sz w:val="18"/>
                <w:szCs w:val="18"/>
                <w:color w:val="auto"/>
              </w:rPr>
              <w:t>70,500</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4"/>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2"/>
                <w:szCs w:val="22"/>
                <w:color w:val="auto"/>
              </w:rPr>
            </w:pPr>
          </w:p>
        </w:tc>
        <w:tc>
          <w:tcPr>
            <w:tcW w:w="1580" w:type="dxa"/>
            <w:vAlign w:val="bottom"/>
            <w:tcBorders>
              <w:bottom w:val="single" w:sz="8" w:color="auto"/>
            </w:tcBorders>
          </w:tcPr>
          <w:p>
            <w:pPr>
              <w:jc w:val="right"/>
              <w:ind w:right="45"/>
              <w:spacing w:after="0"/>
              <w:rPr>
                <w:sz w:val="20"/>
                <w:szCs w:val="20"/>
                <w:color w:val="auto"/>
              </w:rPr>
            </w:pPr>
            <w:r>
              <w:rPr>
                <w:rFonts w:ascii="Arial" w:cs="Arial" w:eastAsia="Arial" w:hAnsi="Arial"/>
                <w:sz w:val="18"/>
                <w:szCs w:val="18"/>
                <w:color w:val="auto"/>
              </w:rPr>
              <w:t>70,500</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3,907,341</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may repurchase an additional $82.7 million or 3,907,341 million shares of common stock under the repurchase program through August 22,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6"/>
                <w:szCs w:val="16"/>
                <w:color w:val="auto"/>
              </w:rPr>
            </w:pPr>
          </w:p>
        </w:tc>
        <w:tc>
          <w:tcPr>
            <w:tcW w:w="936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458"/>
        </w:trPr>
        <w:tc>
          <w:tcPr>
            <w:tcW w:w="104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24"/>
                <w:szCs w:val="24"/>
                <w:color w:val="auto"/>
              </w:rPr>
            </w:pPr>
          </w:p>
        </w:tc>
        <w:tc>
          <w:tcPr>
            <w:tcW w:w="102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6"/>
              </w:rPr>
              <w:t>Commitment Increase Agreement, dated as of October 11, 2012 by and among Euronet Worldwide, Inc., and certain Subsidiaries and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7"/>
              </w:rPr>
              <w:t>Affiliates, as Borrowers under the Master Revolving Commitments, certain Subsidiaries and Affiliates as Guarantors, the Incremental</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w w:val="92"/>
              </w:rPr>
              <w:t>Commitment Lenders, and Bank of America, N.A., as Administrative Agent (filed as Exhibit 10.1 to the Company's Current Report on Form</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8-K filed on October 15, 2012 and incorporated by reference herein)</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12.1</w:t>
            </w:r>
          </w:p>
        </w:tc>
        <w:tc>
          <w:tcPr>
            <w:tcW w:w="120" w:type="dxa"/>
            <w:vAlign w:val="bottom"/>
          </w:tcPr>
          <w:p>
            <w:pPr>
              <w:spacing w:after="0"/>
              <w:rPr>
                <w:sz w:val="24"/>
                <w:szCs w:val="24"/>
                <w:color w:val="auto"/>
              </w:rPr>
            </w:pP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Computation of Ratio of Earnings to Fixed Charges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302</w:t>
            </w:r>
          </w:p>
        </w:tc>
        <w:tc>
          <w:tcPr>
            <w:tcW w:w="936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 (1)</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32.1</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(2)</w:t>
            </w:r>
          </w:p>
        </w:tc>
      </w:tr>
      <w:tr>
        <w:trPr>
          <w:trHeight w:val="540"/>
        </w:trPr>
        <w:tc>
          <w:tcPr>
            <w:tcW w:w="1040" w:type="dxa"/>
            <w:vAlign w:val="bottom"/>
          </w:tcPr>
          <w:p>
            <w:pPr>
              <w:jc w:val="right"/>
              <w:ind w:right="593"/>
              <w:spacing w:after="0"/>
              <w:rPr>
                <w:sz w:val="20"/>
                <w:szCs w:val="20"/>
                <w:color w:val="auto"/>
              </w:rPr>
            </w:pPr>
            <w:r>
              <w:rPr>
                <w:rFonts w:ascii="Arial" w:cs="Arial" w:eastAsia="Arial" w:hAnsi="Arial"/>
                <w:sz w:val="18"/>
                <w:szCs w:val="18"/>
                <w:color w:val="auto"/>
                <w:w w:val="96"/>
              </w:rPr>
              <w:t>32.2</w:t>
            </w:r>
          </w:p>
        </w:tc>
        <w:tc>
          <w:tcPr>
            <w:tcW w:w="1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auto"/>
                <w:w w:val="90"/>
              </w:rPr>
              <w:t>Section 906</w:t>
            </w:r>
          </w:p>
        </w:tc>
        <w:tc>
          <w:tcPr>
            <w:tcW w:w="93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(2)</w:t>
            </w:r>
          </w:p>
        </w:tc>
      </w:tr>
    </w:tbl>
    <w:p>
      <w:pPr>
        <w:spacing w:after="0" w:line="310" w:lineRule="exact"/>
        <w:rPr>
          <w:sz w:val="20"/>
          <w:szCs w:val="20"/>
          <w:color w:val="auto"/>
        </w:rPr>
      </w:pPr>
    </w:p>
    <w:p>
      <w:pPr>
        <w:ind w:left="1160" w:right="20" w:hanging="1125"/>
        <w:spacing w:after="0" w:line="291" w:lineRule="auto"/>
        <w:tabs>
          <w:tab w:leader="none" w:pos="1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following materials from Euronet Worldwide, Inc.’s Quarterly Report on Form 10-Q for the quarter ended September 30, 2012, formatted in XBRL (eXtensible Business Reporting Language): (i) Consolidated Balance Sheets at September 30, 2012 and December 31, 2011,</w:t>
      </w:r>
    </w:p>
    <w:p>
      <w:pPr>
        <w:ind w:left="1160"/>
        <w:spacing w:after="0" w:line="287" w:lineRule="auto"/>
        <w:rPr>
          <w:rFonts w:ascii="Arial" w:cs="Arial" w:eastAsia="Arial" w:hAnsi="Arial"/>
          <w:sz w:val="16"/>
          <w:szCs w:val="16"/>
          <w:color w:val="auto"/>
        </w:rPr>
      </w:pPr>
      <w:r>
        <w:rPr>
          <w:rFonts w:ascii="Arial" w:cs="Arial" w:eastAsia="Arial" w:hAnsi="Arial"/>
          <w:sz w:val="16"/>
          <w:szCs w:val="16"/>
          <w:color w:val="auto"/>
        </w:rPr>
        <w:t>(ii) Consolidated Statements of Operations for the three and nine months ended September 30, 2012 and 2011, (iii) Consolidated Statements of Comprehensive Income for the three and nine months ended September 30, 2012 and 2011, (iv) Consolidated Statements of Cash Flows for the nine months ended September 30, 2012 and 2011, and (v) Notes to the Unaudited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33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10-Q.</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30, 2012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spacing w:after="0"/>
              <w:rPr>
                <w:sz w:val="20"/>
                <w:szCs w:val="20"/>
                <w:color w:val="auto"/>
              </w:rPr>
            </w:pPr>
            <w:r>
              <w:rPr>
                <w:rFonts w:ascii="Arial" w:cs="Arial" w:eastAsia="Arial" w:hAnsi="Arial"/>
                <w:sz w:val="18"/>
                <w:szCs w:val="18"/>
                <w:color w:val="auto"/>
                <w:w w:val="97"/>
              </w:rPr>
              <w:t>/s/ MICHAEL J. BROWN</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81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jc w:val="center"/>
              <w:ind w:right="10"/>
              <w:spacing w:after="0"/>
              <w:rPr>
                <w:sz w:val="20"/>
                <w:szCs w:val="20"/>
                <w:color w:val="auto"/>
              </w:rPr>
            </w:pPr>
            <w:r>
              <w:rPr>
                <w:rFonts w:ascii="Arial" w:cs="Arial" w:eastAsia="Arial" w:hAnsi="Arial"/>
                <w:sz w:val="18"/>
                <w:szCs w:val="18"/>
                <w:color w:val="auto"/>
                <w:w w:val="97"/>
              </w:rPr>
              <w:t>/s/ RICK L. WELLER</w:t>
            </w:r>
          </w:p>
        </w:tc>
      </w:tr>
      <w:tr>
        <w:trPr>
          <w:trHeight w:val="27"/>
        </w:trPr>
        <w:tc>
          <w:tcPr>
            <w:tcW w:w="540" w:type="dxa"/>
            <w:vAlign w:val="bottom"/>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540" w:type="dxa"/>
            <w:vAlign w:val="bottom"/>
          </w:tcPr>
          <w:p>
            <w:pPr>
              <w:spacing w:after="0"/>
              <w:rPr>
                <w:sz w:val="23"/>
                <w:szCs w:val="23"/>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60"/>
          </w:cols>
          <w:pgMar w:left="240" w:top="125" w:right="39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6"/>
                <w:szCs w:val="16"/>
                <w:color w:val="auto"/>
              </w:rPr>
            </w:pPr>
          </w:p>
        </w:tc>
        <w:tc>
          <w:tcPr>
            <w:tcW w:w="1520" w:type="dxa"/>
            <w:vAlign w:val="bottom"/>
            <w:gridSpan w:val="4"/>
          </w:tcPr>
          <w:p>
            <w:pPr>
              <w:ind w:left="60"/>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24"/>
                <w:szCs w:val="24"/>
                <w:color w:val="auto"/>
              </w:rPr>
            </w:pPr>
          </w:p>
        </w:tc>
        <w:tc>
          <w:tcPr>
            <w:tcW w:w="152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2011</w:t>
            </w:r>
          </w:p>
        </w:tc>
      </w:tr>
      <w:tr>
        <w:trPr>
          <w:trHeight w:val="228"/>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Pretax income before adjustment for income from unconsolidated</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subsidiaries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20,983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2,934</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49,751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44,969</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Fixed charges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6,588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23,485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19,677</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received</w:t>
            </w: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97"/>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Adjusted pretax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28,944</w:t>
            </w:r>
          </w:p>
        </w:tc>
        <w:tc>
          <w:tcPr>
            <w:tcW w:w="1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75,257</w:t>
            </w:r>
          </w:p>
        </w:tc>
        <w:tc>
          <w:tcPr>
            <w:tcW w:w="10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64,764</w:t>
            </w:r>
          </w:p>
        </w:tc>
      </w:tr>
      <w:tr>
        <w:trPr>
          <w:trHeight w:val="237"/>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Fixed charges:</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5,180</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16,542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15,686</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Estimate of interest within rental expense</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3,991</w:t>
            </w:r>
          </w:p>
        </w:tc>
      </w:tr>
      <w:tr>
        <w:trPr>
          <w:trHeight w:val="297"/>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fixed charges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7,961</w:t>
            </w: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6,588</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23,485</w:t>
            </w: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19,677</w:t>
            </w:r>
          </w:p>
        </w:tc>
      </w:tr>
      <w:tr>
        <w:trPr>
          <w:trHeight w:val="23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Ratio of earnings to fixed charges</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5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ectPr>
          <w:pgSz w:w="11900" w:h="16838" w:orient="portrait"/>
          <w:cols w:equalWidth="0" w:num="1">
            <w:col w:w="9160"/>
          </w:cols>
          <w:pgMar w:left="1380" w:top="580" w:right="13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2012</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2012</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2012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October 30, 2012</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2012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October 30, 2012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R"/>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2019-12-09T11:58:18Z</dcterms:created>
  <dcterms:modified xsi:type="dcterms:W3CDTF">2019-12-09T11:58:18Z</dcterms:modified>
</cp:coreProperties>
</file>