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6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2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line="161" w:lineRule="exact"/>
        <w:tabs>
          <w:tab w:leader="none" w:pos="2480" w:val="left"/>
        </w:tabs>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41" w:lineRule="exact"/>
        <w:rPr>
          <w:sz w:val="24"/>
          <w:szCs w:val="24"/>
          <w:color w:val="auto"/>
        </w:rPr>
      </w:pPr>
    </w:p>
    <w:p>
      <w:pPr>
        <w:ind w:left="680" w:hanging="65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53" w:lineRule="exact"/>
        <w:rPr>
          <w:rFonts w:ascii="MS PGothic" w:cs="MS PGothic" w:eastAsia="MS PGothic" w:hAnsi="MS PGothic"/>
          <w:sz w:val="14"/>
          <w:szCs w:val="14"/>
          <w:color w:val="auto"/>
        </w:rPr>
      </w:pPr>
    </w:p>
    <w:p>
      <w:pPr>
        <w:ind w:left="680" w:hanging="65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57" w:lineRule="exact"/>
        <w:rPr>
          <w:sz w:val="24"/>
          <w:szCs w:val="24"/>
          <w:color w:val="auto"/>
        </w:rPr>
      </w:pPr>
    </w:p>
    <w:p>
      <w:pPr>
        <w:ind w:left="680" w:hanging="651"/>
        <w:spacing w:after="0"/>
        <w:tabs>
          <w:tab w:leader="none" w:pos="6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55" w:lineRule="exact"/>
        <w:rPr>
          <w:sz w:val="24"/>
          <w:szCs w:val="24"/>
          <w:color w:val="auto"/>
        </w:rPr>
      </w:pPr>
    </w:p>
    <w:p>
      <w:pPr>
        <w:ind w:left="680" w:hanging="651"/>
        <w:spacing w:after="0"/>
        <w:tabs>
          <w:tab w:leader="none" w:pos="6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55" w:lineRule="exact"/>
        <w:rPr>
          <w:rFonts w:ascii="MS PGothic" w:cs="MS PGothic" w:eastAsia="MS PGothic" w:hAnsi="MS PGothic"/>
          <w:sz w:val="14"/>
          <w:szCs w:val="14"/>
          <w:color w:val="auto"/>
        </w:rPr>
      </w:pPr>
    </w:p>
    <w:p>
      <w:pPr>
        <w:ind w:left="680" w:hanging="651"/>
        <w:spacing w:after="0"/>
        <w:tabs>
          <w:tab w:leader="none" w:pos="6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5"/>
          <w:szCs w:val="35"/>
          <w:b w:val="1"/>
          <w:bCs w:val="1"/>
          <w:color w:val="auto"/>
        </w:rPr>
        <w:t>Euronet Worldwide, Inc.</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2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55" w:lineRule="exact"/>
        <w:rPr>
          <w:sz w:val="24"/>
          <w:szCs w:val="24"/>
          <w:color w:val="auto"/>
        </w:rPr>
      </w:pPr>
    </w:p>
    <w:p>
      <w:pPr>
        <w:ind w:left="680" w:hanging="651"/>
        <w:spacing w:after="0"/>
        <w:tabs>
          <w:tab w:leader="none" w:pos="6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55" w:lineRule="exact"/>
        <w:rPr>
          <w:sz w:val="24"/>
          <w:szCs w:val="24"/>
          <w:color w:val="auto"/>
        </w:rPr>
      </w:pPr>
    </w:p>
    <w:p>
      <w:pPr>
        <w:ind w:left="680" w:hanging="651"/>
        <w:spacing w:after="0"/>
        <w:tabs>
          <w:tab w:leader="none" w:pos="6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below per Exchange Act Rules 14a-6(i)(1) and 0-11.</w:t>
      </w:r>
    </w:p>
    <w:p>
      <w:pPr>
        <w:spacing w:after="0" w:line="55" w:lineRule="exact"/>
        <w:rPr>
          <w:rFonts w:ascii="MS PGothic" w:cs="MS PGothic" w:eastAsia="MS PGothic" w:hAnsi="MS PGothic"/>
          <w:sz w:val="14"/>
          <w:szCs w:val="14"/>
          <w:color w:val="auto"/>
        </w:rPr>
      </w:pPr>
    </w:p>
    <w:p>
      <w:pPr>
        <w:ind w:left="104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1Title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875030</wp:posOffset>
            </wp:positionH>
            <wp:positionV relativeFrom="paragraph">
              <wp:posOffset>30480</wp:posOffset>
            </wp:positionV>
            <wp:extent cx="62890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89040" cy="6985"/>
                    </a:xfrm>
                    <a:prstGeom prst="rect">
                      <a:avLst/>
                    </a:prstGeom>
                    <a:noFill/>
                  </pic:spPr>
                </pic:pic>
              </a:graphicData>
            </a:graphic>
          </wp:anchor>
        </w:drawing>
      </w:r>
    </w:p>
    <w:p>
      <w:pPr>
        <w:spacing w:after="0" w:line="46" w:lineRule="exact"/>
        <w:rPr>
          <w:sz w:val="24"/>
          <w:szCs w:val="24"/>
          <w:color w:val="auto"/>
        </w:rPr>
      </w:pPr>
    </w:p>
    <w:p>
      <w:pPr>
        <w:ind w:left="1400" w:hanging="352"/>
        <w:spacing w:after="0"/>
        <w:tabs>
          <w:tab w:leader="none" w:pos="1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875030</wp:posOffset>
            </wp:positionH>
            <wp:positionV relativeFrom="paragraph">
              <wp:posOffset>30480</wp:posOffset>
            </wp:positionV>
            <wp:extent cx="62890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89040" cy="6985"/>
                    </a:xfrm>
                    <a:prstGeom prst="rect">
                      <a:avLst/>
                    </a:prstGeom>
                    <a:noFill/>
                  </pic:spPr>
                </pic:pic>
              </a:graphicData>
            </a:graphic>
          </wp:anchor>
        </w:drawing>
      </w:r>
    </w:p>
    <w:p>
      <w:pPr>
        <w:spacing w:after="0" w:line="46" w:lineRule="exact"/>
        <w:rPr>
          <w:sz w:val="24"/>
          <w:szCs w:val="24"/>
          <w:color w:val="auto"/>
        </w:rPr>
      </w:pPr>
    </w:p>
    <w:p>
      <w:pPr>
        <w:ind w:left="1400" w:hanging="352"/>
        <w:spacing w:after="0" w:line="289" w:lineRule="auto"/>
        <w:tabs>
          <w:tab w:leader="none" w:pos="1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875030</wp:posOffset>
            </wp:positionH>
            <wp:positionV relativeFrom="paragraph">
              <wp:posOffset>-3175</wp:posOffset>
            </wp:positionV>
            <wp:extent cx="62890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89040" cy="6985"/>
                    </a:xfrm>
                    <a:prstGeom prst="rect">
                      <a:avLst/>
                    </a:prstGeom>
                    <a:noFill/>
                  </pic:spPr>
                </pic:pic>
              </a:graphicData>
            </a:graphic>
          </wp:anchor>
        </w:drawing>
      </w:r>
    </w:p>
    <w:p>
      <w:pPr>
        <w:ind w:left="1400" w:hanging="352"/>
        <w:spacing w:after="0"/>
        <w:tabs>
          <w:tab w:leader="none" w:pos="140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maximum aggregate value of transaction:</w:t>
      </w:r>
    </w:p>
    <w:p>
      <w:pPr>
        <w:spacing w:after="0" w:line="55" w:lineRule="exact"/>
        <w:rPr>
          <w:rFonts w:ascii="Times New Roman" w:cs="Times New Roman" w:eastAsia="Times New Roman" w:hAnsi="Times New Roman"/>
          <w:sz w:val="14"/>
          <w:szCs w:val="14"/>
          <w:color w:val="auto"/>
        </w:rPr>
      </w:pPr>
    </w:p>
    <w:p>
      <w:pPr>
        <w:ind w:left="1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5Total fee paid:</w:t>
      </w:r>
    </w:p>
    <w:p>
      <w:pPr>
        <w:spacing w:after="0" w:line="65" w:lineRule="exact"/>
        <w:rPr>
          <w:rFonts w:ascii="Times New Roman" w:cs="Times New Roman" w:eastAsia="Times New Roman" w:hAnsi="Times New Roman"/>
          <w:sz w:val="14"/>
          <w:szCs w:val="14"/>
          <w:color w:val="auto"/>
        </w:rPr>
      </w:pPr>
    </w:p>
    <w:p>
      <w:pPr>
        <w:ind w:left="680" w:hanging="651"/>
        <w:spacing w:after="0"/>
        <w:tabs>
          <w:tab w:leader="none" w:pos="680" w:val="left"/>
        </w:tabs>
        <w:numPr>
          <w:ilvl w:val="0"/>
          <w:numId w:val="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55" w:lineRule="exact"/>
        <w:rPr>
          <w:rFonts w:ascii="MS PGothic" w:cs="MS PGothic" w:eastAsia="MS PGothic" w:hAnsi="MS PGothic"/>
          <w:sz w:val="14"/>
          <w:szCs w:val="14"/>
          <w:color w:val="auto"/>
        </w:rPr>
      </w:pPr>
    </w:p>
    <w:p>
      <w:pPr>
        <w:ind w:left="680" w:right="100" w:hanging="651"/>
        <w:spacing w:after="0" w:line="289" w:lineRule="auto"/>
        <w:tabs>
          <w:tab w:leader="none" w:pos="680" w:val="left"/>
        </w:tabs>
        <w:numPr>
          <w:ilvl w:val="0"/>
          <w:numId w:val="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875030</wp:posOffset>
            </wp:positionH>
            <wp:positionV relativeFrom="paragraph">
              <wp:posOffset>-530860</wp:posOffset>
            </wp:positionV>
            <wp:extent cx="62890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89040" cy="6985"/>
                    </a:xfrm>
                    <a:prstGeom prst="rect">
                      <a:avLst/>
                    </a:prstGeom>
                    <a:noFill/>
                  </pic:spPr>
                </pic:pic>
              </a:graphicData>
            </a:graphic>
          </wp:anchor>
        </w:drawing>
      </w:r>
    </w:p>
    <w:p>
      <w:pPr>
        <w:ind w:left="1400" w:hanging="352"/>
        <w:spacing w:after="0"/>
        <w:tabs>
          <w:tab w:leader="none" w:pos="1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875030</wp:posOffset>
            </wp:positionH>
            <wp:positionV relativeFrom="paragraph">
              <wp:posOffset>30480</wp:posOffset>
            </wp:positionV>
            <wp:extent cx="62890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89040" cy="6985"/>
                    </a:xfrm>
                    <a:prstGeom prst="rect">
                      <a:avLst/>
                    </a:prstGeom>
                    <a:noFill/>
                  </pic:spPr>
                </pic:pic>
              </a:graphicData>
            </a:graphic>
          </wp:anchor>
        </w:drawing>
      </w:r>
    </w:p>
    <w:p>
      <w:pPr>
        <w:spacing w:after="0" w:line="46" w:lineRule="exact"/>
        <w:rPr>
          <w:sz w:val="24"/>
          <w:szCs w:val="24"/>
          <w:color w:val="auto"/>
        </w:rPr>
      </w:pPr>
    </w:p>
    <w:p>
      <w:pPr>
        <w:ind w:left="1400" w:hanging="352"/>
        <w:spacing w:after="0"/>
        <w:tabs>
          <w:tab w:leader="none" w:pos="14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Schedule or Registration Statement No.:</w:t>
      </w:r>
    </w:p>
    <w:p>
      <w:pPr>
        <w:spacing w:after="0" w:line="55" w:lineRule="exact"/>
        <w:rPr>
          <w:rFonts w:ascii="Times New Roman" w:cs="Times New Roman" w:eastAsia="Times New Roman" w:hAnsi="Times New Roman"/>
          <w:sz w:val="14"/>
          <w:szCs w:val="14"/>
          <w:color w:val="auto"/>
        </w:rPr>
      </w:pPr>
    </w:p>
    <w:p>
      <w:pPr>
        <w:ind w:left="1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3Filing Party:</w:t>
      </w:r>
    </w:p>
    <w:p>
      <w:pPr>
        <w:spacing w:after="0" w:line="65" w:lineRule="exact"/>
        <w:rPr>
          <w:rFonts w:ascii="Times New Roman" w:cs="Times New Roman" w:eastAsia="Times New Roman" w:hAnsi="Times New Roman"/>
          <w:sz w:val="14"/>
          <w:szCs w:val="14"/>
          <w:color w:val="auto"/>
        </w:rPr>
      </w:pPr>
    </w:p>
    <w:p>
      <w:pPr>
        <w:ind w:left="1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875030</wp:posOffset>
            </wp:positionH>
            <wp:positionV relativeFrom="paragraph">
              <wp:posOffset>37465</wp:posOffset>
            </wp:positionV>
            <wp:extent cx="628904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89040" cy="6985"/>
                    </a:xfrm>
                    <a:prstGeom prst="rect">
                      <a:avLst/>
                    </a:prstGeom>
                    <a:noFill/>
                  </pic:spPr>
                </pic:pic>
              </a:graphicData>
            </a:graphic>
          </wp:anchor>
        </w:drawing>
        <w:drawing>
          <wp:anchor simplePos="0" relativeHeight="251657728" behindDoc="1" locked="0" layoutInCell="0" allowOverlap="1">
            <wp:simplePos x="0" y="0"/>
            <wp:positionH relativeFrom="column">
              <wp:posOffset>875030</wp:posOffset>
            </wp:positionH>
            <wp:positionV relativeFrom="paragraph">
              <wp:posOffset>-106045</wp:posOffset>
            </wp:positionV>
            <wp:extent cx="628904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89040" cy="6985"/>
                    </a:xfrm>
                    <a:prstGeom prst="rect">
                      <a:avLst/>
                    </a:prstGeom>
                    <a:noFill/>
                  </pic:spPr>
                </pic:pic>
              </a:graphicData>
            </a:graphic>
          </wp:anchor>
        </w:drawing>
        <w:drawing>
          <wp:anchor simplePos="0" relativeHeight="251657728" behindDoc="1" locked="0" layoutInCell="0" allowOverlap="1">
            <wp:simplePos x="0" y="0"/>
            <wp:positionH relativeFrom="column">
              <wp:posOffset>875030</wp:posOffset>
            </wp:positionH>
            <wp:positionV relativeFrom="paragraph">
              <wp:posOffset>-250190</wp:posOffset>
            </wp:positionV>
            <wp:extent cx="628904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8904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175260</wp:posOffset>
            </wp:positionV>
            <wp:extent cx="718502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100"/>
          </w:cols>
          <w:pgMar w:left="300" w:top="325" w:right="4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EURONET WORLDWIDE, INC.</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11400 TOMAHAWK CREEK PARKWAY, SUITE 300</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LEAWOOD, KANSAS 66211</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913-327-4200</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ON MAY 16, 2024</w:t>
      </w:r>
    </w:p>
    <w:p>
      <w:pPr>
        <w:spacing w:after="0" w:line="148" w:lineRule="exact"/>
        <w:rPr>
          <w:sz w:val="20"/>
          <w:szCs w:val="20"/>
          <w:color w:val="auto"/>
        </w:rPr>
      </w:pPr>
    </w:p>
    <w:p>
      <w:pPr>
        <w:jc w:val="both"/>
        <w:ind w:firstLine="331"/>
        <w:spacing w:after="0" w:line="290" w:lineRule="auto"/>
        <w:rPr>
          <w:sz w:val="20"/>
          <w:szCs w:val="20"/>
          <w:color w:val="auto"/>
        </w:rPr>
      </w:pPr>
      <w:r>
        <w:rPr>
          <w:rFonts w:ascii="Times New Roman" w:cs="Times New Roman" w:eastAsia="Times New Roman" w:hAnsi="Times New Roman"/>
          <w:sz w:val="14"/>
          <w:szCs w:val="14"/>
          <w:color w:val="auto"/>
        </w:rPr>
        <w:t>Euronet Worldwide, Inc., a Delaware corporation (“Euronet,” the “Company,” “we” or “us”), will hold the Annual Meeting of our stockholders (“Annual Meeting”) on Thursday, May 16, 2024 at 1:00 p.m. (Central time) at Euronet's corporate headquarters at 11400 Tomahawk Creek Parkway, Suite 300, Leawood, Kansas 66211, USA, to consider and vote upon the following matters:</w:t>
      </w:r>
    </w:p>
    <w:p>
      <w:pPr>
        <w:spacing w:after="0" w:line="259" w:lineRule="exact"/>
        <w:rPr>
          <w:sz w:val="20"/>
          <w:szCs w:val="20"/>
          <w:color w:val="auto"/>
        </w:rPr>
      </w:pPr>
    </w:p>
    <w:p>
      <w:pPr>
        <w:ind w:left="480" w:hanging="150"/>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the Company’s three nominees for Class III Director, each to serve a three-year term expiring upon the 2027 Annual Meeting or until a successor is duly elected and qualified;</w:t>
      </w:r>
    </w:p>
    <w:p>
      <w:pPr>
        <w:spacing w:after="0" w:line="27" w:lineRule="exact"/>
        <w:rPr>
          <w:rFonts w:ascii="Times New Roman" w:cs="Times New Roman" w:eastAsia="Times New Roman" w:hAnsi="Times New Roman"/>
          <w:sz w:val="14"/>
          <w:szCs w:val="14"/>
          <w:color w:val="auto"/>
        </w:rPr>
      </w:pPr>
    </w:p>
    <w:p>
      <w:pPr>
        <w:ind w:left="480" w:hanging="150"/>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conduct the annual advisory vote to approve executive compensation; and</w:t>
      </w:r>
    </w:p>
    <w:p>
      <w:pPr>
        <w:spacing w:after="0" w:line="11" w:lineRule="exact"/>
        <w:rPr>
          <w:rFonts w:ascii="Times New Roman" w:cs="Times New Roman" w:eastAsia="Times New Roman" w:hAnsi="Times New Roman"/>
          <w:sz w:val="14"/>
          <w:szCs w:val="14"/>
          <w:color w:val="auto"/>
        </w:rPr>
      </w:pPr>
    </w:p>
    <w:p>
      <w:pPr>
        <w:ind w:left="480" w:hanging="150"/>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KPMG LLP as Euronet’s independent registered public accounting firm for the year ending December 31, 2024.</w:t>
      </w:r>
    </w:p>
    <w:p>
      <w:pPr>
        <w:spacing w:after="0" w:line="299" w:lineRule="exact"/>
        <w:rPr>
          <w:sz w:val="20"/>
          <w:szCs w:val="20"/>
          <w:color w:val="auto"/>
        </w:rPr>
      </w:pPr>
    </w:p>
    <w:p>
      <w:pPr>
        <w:ind w:firstLine="331"/>
        <w:spacing w:after="0" w:line="298" w:lineRule="auto"/>
        <w:rPr>
          <w:sz w:val="20"/>
          <w:szCs w:val="20"/>
          <w:color w:val="auto"/>
        </w:rPr>
      </w:pPr>
      <w:r>
        <w:rPr>
          <w:rFonts w:ascii="Times New Roman" w:cs="Times New Roman" w:eastAsia="Times New Roman" w:hAnsi="Times New Roman"/>
          <w:sz w:val="14"/>
          <w:szCs w:val="14"/>
          <w:color w:val="auto"/>
        </w:rPr>
        <w:t>Our Board of Directors has fixed the close of business on March 18, 2024, as the record date for the determination of stockholders entitled to notice of, and to vote at, the Annual Meeting and at any adjournment of the meeting.</w:t>
      </w:r>
    </w:p>
    <w:p>
      <w:pPr>
        <w:spacing w:after="0" w:line="75" w:lineRule="exact"/>
        <w:rPr>
          <w:sz w:val="20"/>
          <w:szCs w:val="20"/>
          <w:color w:val="auto"/>
        </w:rPr>
      </w:pPr>
    </w:p>
    <w:p>
      <w:pPr>
        <w:ind w:firstLine="331"/>
        <w:spacing w:after="0" w:line="298" w:lineRule="auto"/>
        <w:rPr>
          <w:sz w:val="20"/>
          <w:szCs w:val="20"/>
          <w:color w:val="auto"/>
        </w:rPr>
      </w:pPr>
      <w:r>
        <w:rPr>
          <w:rFonts w:ascii="Times New Roman" w:cs="Times New Roman" w:eastAsia="Times New Roman" w:hAnsi="Times New Roman"/>
          <w:sz w:val="14"/>
          <w:szCs w:val="14"/>
          <w:color w:val="auto"/>
        </w:rPr>
        <w:t>This year, we are again pleased to take advantage of the Securities and Exchange Commission (the “SEC”) rules that allow issuers to furnish proxy materials to their stockholders on the Internet. We believe these rules allow us to provide you with the information you need while lowering the costs of delivery and reducing the environmental impact of the Annual Meeting.</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You are cordially invited to attend our Annual Meeting. To ensure that your vote is counted at the Annual Meeting, however, please vote as promptly as possible.</w:t>
      </w:r>
    </w:p>
    <w:p>
      <w:pPr>
        <w:spacing w:after="0" w:line="200" w:lineRule="exact"/>
        <w:rPr>
          <w:sz w:val="20"/>
          <w:szCs w:val="20"/>
          <w:color w:val="auto"/>
        </w:rPr>
      </w:pPr>
    </w:p>
    <w:p>
      <w:pPr>
        <w:spacing w:after="0" w:line="21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44450</wp:posOffset>
            </wp:positionV>
            <wp:extent cx="960120" cy="247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60120" cy="24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Scott D. Claassen</w:t>
      </w:r>
    </w:p>
    <w:p>
      <w:pPr>
        <w:spacing w:after="0" w:line="5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i w:val="1"/>
          <w:iCs w:val="1"/>
          <w:color w:val="auto"/>
        </w:rPr>
        <w:t>General Counsel and Secretary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5, 2024</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333333"/>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320" w:type="dxa"/>
            <w:vAlign w:val="bottom"/>
            <w:gridSpan w:val="7"/>
          </w:tcPr>
          <w:p>
            <w:pPr>
              <w:jc w:val="center"/>
              <w:ind w:right="3760"/>
              <w:spacing w:after="0"/>
              <w:rPr>
                <w:sz w:val="20"/>
                <w:szCs w:val="20"/>
                <w:color w:val="auto"/>
              </w:rPr>
            </w:pPr>
            <w:r>
              <w:rPr>
                <w:rFonts w:ascii="Times New Roman" w:cs="Times New Roman" w:eastAsia="Times New Roman" w:hAnsi="Times New Roman"/>
                <w:sz w:val="14"/>
                <w:szCs w:val="14"/>
                <w:b w:val="1"/>
                <w:bCs w:val="1"/>
                <w:color w:val="auto"/>
              </w:rPr>
              <w:t>EURONET WORLDWIDE, INC.</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80" w:type="dxa"/>
            <w:vAlign w:val="bottom"/>
            <w:gridSpan w:val="8"/>
          </w:tcPr>
          <w:p>
            <w:pPr>
              <w:jc w:val="center"/>
              <w:ind w:right="2580"/>
              <w:spacing w:after="0"/>
              <w:rPr>
                <w:sz w:val="20"/>
                <w:szCs w:val="20"/>
                <w:color w:val="auto"/>
              </w:rPr>
            </w:pPr>
            <w:r>
              <w:rPr>
                <w:rFonts w:ascii="Times New Roman" w:cs="Times New Roman" w:eastAsia="Times New Roman" w:hAnsi="Times New Roman"/>
                <w:sz w:val="14"/>
                <w:szCs w:val="14"/>
                <w:b w:val="1"/>
                <w:bCs w:val="1"/>
                <w:color w:val="auto"/>
              </w:rPr>
              <w:t>11400 TOMAHAWK CREEK PARKWAY, SUITE 300</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320" w:type="dxa"/>
            <w:vAlign w:val="bottom"/>
            <w:gridSpan w:val="7"/>
          </w:tcPr>
          <w:p>
            <w:pPr>
              <w:jc w:val="center"/>
              <w:ind w:right="3760"/>
              <w:spacing w:after="0"/>
              <w:rPr>
                <w:sz w:val="20"/>
                <w:szCs w:val="20"/>
                <w:color w:val="auto"/>
              </w:rPr>
            </w:pPr>
            <w:r>
              <w:rPr>
                <w:rFonts w:ascii="Times New Roman" w:cs="Times New Roman" w:eastAsia="Times New Roman" w:hAnsi="Times New Roman"/>
                <w:sz w:val="14"/>
                <w:szCs w:val="14"/>
                <w:b w:val="1"/>
                <w:bCs w:val="1"/>
                <w:color w:val="auto"/>
              </w:rPr>
              <w:t>LEAWOOD, KANSAS 66211</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180" w:type="dxa"/>
            <w:vAlign w:val="bottom"/>
            <w:gridSpan w:val="1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913-327-4200</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0" w:type="dxa"/>
            <w:vAlign w:val="bottom"/>
            <w:gridSpan w:val="6"/>
          </w:tcPr>
          <w:p>
            <w:pPr>
              <w:jc w:val="center"/>
              <w:ind w:right="4280"/>
              <w:spacing w:after="0"/>
              <w:rPr>
                <w:sz w:val="20"/>
                <w:szCs w:val="20"/>
                <w:color w:val="auto"/>
              </w:rPr>
            </w:pPr>
            <w:r>
              <w:rPr>
                <w:rFonts w:ascii="Times New Roman" w:cs="Times New Roman" w:eastAsia="Times New Roman" w:hAnsi="Times New Roman"/>
                <w:sz w:val="14"/>
                <w:szCs w:val="14"/>
                <w:b w:val="1"/>
                <w:bCs w:val="1"/>
                <w:color w:val="auto"/>
              </w:rPr>
              <w:t>PROXY STATEMENT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320" w:type="dxa"/>
            <w:vAlign w:val="bottom"/>
            <w:gridSpan w:val="7"/>
          </w:tcPr>
          <w:p>
            <w:pPr>
              <w:jc w:val="center"/>
              <w:ind w:right="37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0" w:type="dxa"/>
            <w:vAlign w:val="bottom"/>
            <w:tcBorders>
              <w:lef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320" w:type="dxa"/>
            <w:vAlign w:val="bottom"/>
            <w:tcBorders>
              <w:right w:val="single" w:sz="8" w:color="auto"/>
            </w:tcBorders>
            <w:gridSpan w:val="7"/>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04"/>
        </w:trPr>
        <w:tc>
          <w:tcPr>
            <w:tcW w:w="6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320" w:type="dxa"/>
            <w:vAlign w:val="bottom"/>
            <w:tcBorders>
              <w:right w:val="single" w:sz="8" w:color="auto"/>
            </w:tcBorders>
            <w:gridSpan w:val="7"/>
            <w:vMerge w:val="continue"/>
          </w:tcPr>
          <w:p>
            <w:pPr>
              <w:spacing w:after="0"/>
              <w:rPr>
                <w:sz w:val="9"/>
                <w:szCs w:val="9"/>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86"/>
        </w:trPr>
        <w:tc>
          <w:tcPr>
            <w:tcW w:w="60" w:type="dxa"/>
            <w:vAlign w:val="bottom"/>
            <w:tcBorders>
              <w:left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4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0" w:type="dxa"/>
            <w:vAlign w:val="bottom"/>
            <w:tcBorders>
              <w:left w:val="single" w:sz="8" w:color="auto"/>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64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60" w:type="dxa"/>
            <w:vAlign w:val="bottom"/>
            <w:tcBorders>
              <w:left w:val="single" w:sz="8" w:color="auto"/>
            </w:tcBorders>
          </w:tcPr>
          <w:p>
            <w:pPr>
              <w:spacing w:after="0"/>
              <w:rPr>
                <w:sz w:val="11"/>
                <w:szCs w:val="11"/>
                <w:color w:val="auto"/>
              </w:rPr>
            </w:pPr>
          </w:p>
        </w:tc>
        <w:tc>
          <w:tcPr>
            <w:tcW w:w="10620" w:type="dxa"/>
            <w:vAlign w:val="bottom"/>
            <w:tcBorders>
              <w:right w:val="single" w:sz="8" w:color="auto"/>
            </w:tcBorders>
            <w:gridSpan w:val="20"/>
          </w:tcPr>
          <w:p>
            <w:pPr>
              <w:spacing w:after="0" w:line="131" w:lineRule="exact"/>
              <w:rPr>
                <w:sz w:val="20"/>
                <w:szCs w:val="20"/>
                <w:color w:val="auto"/>
              </w:rPr>
            </w:pPr>
            <w:r>
              <w:rPr>
                <w:rFonts w:ascii="Times New Roman" w:cs="Times New Roman" w:eastAsia="Times New Roman" w:hAnsi="Times New Roman"/>
                <w:sz w:val="14"/>
                <w:szCs w:val="14"/>
                <w:color w:val="0000EE"/>
              </w:rPr>
              <w:t>2024 PROXY STATEMENT - SUMMARY</w:t>
            </w:r>
          </w:p>
        </w:tc>
        <w:tc>
          <w:tcPr>
            <w:tcW w:w="6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GENERAL INFORMATION</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85"/>
              </w:rPr>
              <w:t>5</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CORPORATE RESPONSIBILITY &amp; SUSTAINABILITY AT EURONET</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85"/>
              </w:rPr>
              <w:t>8</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BENEFICIAL OWNERSHIP OF COMMON STOCK</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19</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CORPORATE GOVERNANCE</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21</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PROPOSAL 1 - ELECTION OF DIRECTORS</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26</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PROPOSAL 2 - ADVISORY VOTE TO APPROVE EXECUTIVE COMPENSATION</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30</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6980" w:type="dxa"/>
            <w:vAlign w:val="bottom"/>
            <w:tcBorders>
              <w:bottom w:val="single" w:sz="8" w:color="0000EE"/>
            </w:tcBorders>
            <w:gridSpan w:val="19"/>
          </w:tcPr>
          <w:p>
            <w:pPr>
              <w:spacing w:after="0" w:line="124" w:lineRule="exact"/>
              <w:rPr>
                <w:sz w:val="20"/>
                <w:szCs w:val="20"/>
                <w:color w:val="auto"/>
              </w:rPr>
            </w:pPr>
            <w:r>
              <w:rPr>
                <w:rFonts w:ascii="Times New Roman" w:cs="Times New Roman" w:eastAsia="Times New Roman" w:hAnsi="Times New Roman"/>
                <w:sz w:val="14"/>
                <w:szCs w:val="14"/>
                <w:color w:val="0000EE"/>
              </w:rPr>
              <w:t>PROPOSAL 3 - RATIFICATION OF KPMG LLP AS OUR INDEPENDENT REGISTERED PUBLIC ACCOUNTING</w:t>
            </w:r>
          </w:p>
        </w:tc>
        <w:tc>
          <w:tcPr>
            <w:tcW w:w="36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31</w:t>
            </w:r>
          </w:p>
        </w:tc>
        <w:tc>
          <w:tcPr>
            <w:tcW w:w="0" w:type="dxa"/>
            <w:vAlign w:val="bottom"/>
          </w:tcPr>
          <w:p>
            <w:pPr>
              <w:spacing w:after="0"/>
              <w:rPr>
                <w:sz w:val="1"/>
                <w:szCs w:val="1"/>
                <w:color w:val="auto"/>
              </w:rPr>
            </w:pPr>
          </w:p>
        </w:tc>
      </w:tr>
      <w:tr>
        <w:trPr>
          <w:trHeight w:val="100"/>
        </w:trPr>
        <w:tc>
          <w:tcPr>
            <w:tcW w:w="60" w:type="dxa"/>
            <w:vAlign w:val="bottom"/>
            <w:tcBorders>
              <w:left w:val="single" w:sz="8" w:color="auto"/>
            </w:tcBorders>
          </w:tcPr>
          <w:p>
            <w:pPr>
              <w:spacing w:after="0"/>
              <w:rPr>
                <w:sz w:val="8"/>
                <w:szCs w:val="8"/>
                <w:color w:val="auto"/>
              </w:rPr>
            </w:pPr>
          </w:p>
        </w:tc>
        <w:tc>
          <w:tcPr>
            <w:tcW w:w="10620" w:type="dxa"/>
            <w:vAlign w:val="bottom"/>
            <w:tcBorders>
              <w:right w:val="single" w:sz="8" w:color="auto"/>
            </w:tcBorders>
            <w:gridSpan w:val="20"/>
            <w:vMerge w:val="restart"/>
          </w:tcPr>
          <w:p>
            <w:pPr>
              <w:spacing w:after="0" w:line="153" w:lineRule="exact"/>
              <w:rPr>
                <w:sz w:val="20"/>
                <w:szCs w:val="20"/>
                <w:color w:val="auto"/>
              </w:rPr>
            </w:pPr>
            <w:r>
              <w:rPr>
                <w:rFonts w:ascii="Times New Roman" w:cs="Times New Roman" w:eastAsia="Times New Roman" w:hAnsi="Times New Roman"/>
                <w:sz w:val="14"/>
                <w:szCs w:val="14"/>
                <w:color w:val="0000EE"/>
              </w:rPr>
              <w:t>FIRM FOR THE FISCAL YEAR 2024</w:t>
            </w:r>
          </w:p>
        </w:tc>
        <w:tc>
          <w:tcPr>
            <w:tcW w:w="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60" w:type="dxa"/>
            <w:vAlign w:val="bottom"/>
            <w:tcBorders>
              <w:left w:val="single" w:sz="8" w:color="auto"/>
            </w:tcBorders>
          </w:tcPr>
          <w:p>
            <w:pPr>
              <w:spacing w:after="0"/>
              <w:rPr>
                <w:sz w:val="4"/>
                <w:szCs w:val="4"/>
                <w:color w:val="auto"/>
              </w:rPr>
            </w:pPr>
          </w:p>
        </w:tc>
        <w:tc>
          <w:tcPr>
            <w:tcW w:w="10620" w:type="dxa"/>
            <w:vAlign w:val="bottom"/>
            <w:tcBorders>
              <w:right w:val="single" w:sz="8" w:color="auto"/>
            </w:tcBorders>
            <w:gridSpan w:val="20"/>
            <w:vMerge w:val="continue"/>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COMPENSATION DISCUSSION AND ANALYSIS</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32</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COMPENSATION COMMITTEE REPORT</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COMPENSATION TABLES</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45</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DIRECTOR COMPENSATION</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61</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COMPENSATION COMMITTEE INTERLOCKS AND INSIDER PARTICIPATION</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61</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CERTAIN RELATIONSHIPS AND RELATED TRANSACTIONS AND DIRECTOR INDEPENDENCE</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62</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AUDIT MATTERS</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62</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OTHER MATTERS</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64</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 w:type="dxa"/>
            <w:vAlign w:val="bottom"/>
            <w:tcBorders>
              <w:left w:val="single" w:sz="8" w:color="auto"/>
            </w:tcBorders>
          </w:tcPr>
          <w:p>
            <w:pPr>
              <w:spacing w:after="0"/>
              <w:rPr>
                <w:sz w:val="10"/>
                <w:szCs w:val="10"/>
                <w:color w:val="auto"/>
              </w:rPr>
            </w:pPr>
          </w:p>
        </w:tc>
        <w:tc>
          <w:tcPr>
            <w:tcW w:w="10620" w:type="dxa"/>
            <w:vAlign w:val="bottom"/>
            <w:tcBorders>
              <w:right w:val="single" w:sz="8" w:color="auto"/>
            </w:tcBorders>
            <w:gridSpan w:val="20"/>
          </w:tcPr>
          <w:p>
            <w:pPr>
              <w:spacing w:after="0" w:line="124" w:lineRule="exact"/>
              <w:rPr>
                <w:sz w:val="20"/>
                <w:szCs w:val="20"/>
                <w:color w:val="auto"/>
              </w:rPr>
            </w:pPr>
            <w:r>
              <w:rPr>
                <w:rFonts w:ascii="Times New Roman" w:cs="Times New Roman" w:eastAsia="Times New Roman" w:hAnsi="Times New Roman"/>
                <w:sz w:val="14"/>
                <w:szCs w:val="14"/>
                <w:color w:val="0000EE"/>
              </w:rPr>
              <w:t>APPENDIX A</w:t>
            </w:r>
          </w:p>
        </w:tc>
        <w:tc>
          <w:tcPr>
            <w:tcW w:w="6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66</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6180" w:type="dxa"/>
            <w:vAlign w:val="bottom"/>
            <w:gridSpan w:val="18"/>
          </w:tcPr>
          <w:p>
            <w:pPr>
              <w:jc w:val="right"/>
              <w:ind w:right="50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468"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006EBF"/>
        </w:rPr>
        <w:t>2024 PROXY STATEMENT - SUMMARY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April 5, 2024</w:t>
      </w:r>
    </w:p>
    <w:p>
      <w:pPr>
        <w:spacing w:after="0" w:line="187" w:lineRule="exact"/>
        <w:rPr>
          <w:sz w:val="20"/>
          <w:szCs w:val="20"/>
          <w:color w:val="auto"/>
        </w:rPr>
      </w:pPr>
    </w:p>
    <w:p>
      <w:pPr>
        <w:ind w:firstLine="331"/>
        <w:spacing w:after="0" w:line="298" w:lineRule="auto"/>
        <w:rPr>
          <w:sz w:val="20"/>
          <w:szCs w:val="20"/>
          <w:color w:val="auto"/>
        </w:rPr>
      </w:pPr>
      <w:r>
        <w:rPr>
          <w:rFonts w:ascii="Times New Roman" w:cs="Times New Roman" w:eastAsia="Times New Roman" w:hAnsi="Times New Roman"/>
          <w:sz w:val="14"/>
          <w:szCs w:val="14"/>
          <w:color w:val="auto"/>
        </w:rPr>
        <w:t>This summary highlights information contained elsewhere in this Proxy Statement. This summary does not contain all of the information you should consider. You should read the entire Proxy Statement carefully before voting.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 INFORMATION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(see pages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1553210</wp:posOffset>
            </wp:positionH>
            <wp:positionV relativeFrom="paragraph">
              <wp:posOffset>-1905</wp:posOffset>
            </wp:positionV>
            <wp:extent cx="22098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0980" cy="698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Meeting</w:t>
      </w:r>
      <w:r>
        <w:rPr>
          <w:rFonts w:ascii="Times New Roman" w:cs="Times New Roman" w:eastAsia="Times New Roman" w:hAnsi="Times New Roman"/>
          <w:sz w:val="14"/>
          <w:szCs w:val="14"/>
          <w:color w:val="auto"/>
        </w:rPr>
        <w:t>: Annual Meeting of stockholders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4"/>
          <w:szCs w:val="14"/>
          <w:color w:val="auto"/>
        </w:rPr>
        <w:t>: Thursday, May 16, 2024</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Time</w:t>
      </w:r>
      <w:r>
        <w:rPr>
          <w:rFonts w:ascii="Times New Roman" w:cs="Times New Roman" w:eastAsia="Times New Roman" w:hAnsi="Times New Roman"/>
          <w:sz w:val="14"/>
          <w:szCs w:val="14"/>
          <w:color w:val="auto"/>
        </w:rPr>
        <w:t>: 1:00 p.m., Central Time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Location</w:t>
      </w:r>
      <w:r>
        <w:rPr>
          <w:rFonts w:ascii="Times New Roman" w:cs="Times New Roman" w:eastAsia="Times New Roman" w:hAnsi="Times New Roman"/>
          <w:sz w:val="14"/>
          <w:szCs w:val="14"/>
          <w:color w:val="auto"/>
        </w:rPr>
        <w:t>: Euronet Worldwide, Inc., 11400 Tomahawk Creek Parkway, Suite 300, Leawood, Kansas 66211</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Record Date</w:t>
      </w:r>
      <w:r>
        <w:rPr>
          <w:rFonts w:ascii="Times New Roman" w:cs="Times New Roman" w:eastAsia="Times New Roman" w:hAnsi="Times New Roman"/>
          <w:sz w:val="14"/>
          <w:szCs w:val="14"/>
          <w:color w:val="auto"/>
        </w:rPr>
        <w:t>: March 18, 2024</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Mailing Date: </w:t>
      </w:r>
      <w:r>
        <w:rPr>
          <w:rFonts w:ascii="Times New Roman" w:cs="Times New Roman" w:eastAsia="Times New Roman" w:hAnsi="Times New Roman"/>
          <w:sz w:val="14"/>
          <w:szCs w:val="14"/>
          <w:color w:val="auto"/>
        </w:rPr>
        <w:t>The notice regarding the availability of proxy materials was first mailed to stockholders on or about April 5, 2024</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Symbol</w:t>
      </w:r>
      <w:r>
        <w:rPr>
          <w:rFonts w:ascii="Times New Roman" w:cs="Times New Roman" w:eastAsia="Times New Roman" w:hAnsi="Times New Roman"/>
          <w:sz w:val="14"/>
          <w:szCs w:val="14"/>
          <w:color w:val="auto"/>
        </w:rPr>
        <w:t>: EEFT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w:t>
      </w:r>
      <w:r>
        <w:rPr>
          <w:rFonts w:ascii="Times New Roman" w:cs="Times New Roman" w:eastAsia="Times New Roman" w:hAnsi="Times New Roman"/>
          <w:sz w:val="14"/>
          <w:szCs w:val="14"/>
          <w:color w:val="auto"/>
        </w:rPr>
        <w:t>: NASDAQ</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Outstanding</w:t>
      </w:r>
      <w:r>
        <w:rPr>
          <w:rFonts w:ascii="Times New Roman" w:cs="Times New Roman" w:eastAsia="Times New Roman" w:hAnsi="Times New Roman"/>
          <w:sz w:val="14"/>
          <w:szCs w:val="14"/>
          <w:color w:val="auto"/>
        </w:rPr>
        <w:t>: 45,859,243 shares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 of Incorporation</w:t>
      </w:r>
      <w:r>
        <w:rPr>
          <w:rFonts w:ascii="Times New Roman" w:cs="Times New Roman" w:eastAsia="Times New Roman" w:hAnsi="Times New Roman"/>
          <w:sz w:val="14"/>
          <w:szCs w:val="14"/>
          <w:color w:val="auto"/>
        </w:rPr>
        <w:t>: Delaware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of Incorporation</w:t>
      </w:r>
      <w:r>
        <w:rPr>
          <w:rFonts w:ascii="Times New Roman" w:cs="Times New Roman" w:eastAsia="Times New Roman" w:hAnsi="Times New Roman"/>
          <w:sz w:val="14"/>
          <w:szCs w:val="14"/>
          <w:color w:val="auto"/>
        </w:rPr>
        <w:t>: 1996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Company Since</w:t>
      </w:r>
      <w:r>
        <w:rPr>
          <w:rFonts w:ascii="Times New Roman" w:cs="Times New Roman" w:eastAsia="Times New Roman" w:hAnsi="Times New Roman"/>
          <w:sz w:val="14"/>
          <w:szCs w:val="14"/>
          <w:color w:val="auto"/>
        </w:rPr>
        <w:t>: 1997</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Headquarters</w:t>
      </w:r>
      <w:r>
        <w:rPr>
          <w:rFonts w:ascii="Times New Roman" w:cs="Times New Roman" w:eastAsia="Times New Roman" w:hAnsi="Times New Roman"/>
          <w:sz w:val="14"/>
          <w:szCs w:val="14"/>
          <w:color w:val="auto"/>
        </w:rPr>
        <w:t>: 11400 Tomahawk Creek Parkway, Suite 300, Leawood, Kansas 66211</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Website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u w:val="single" w:color="auto"/>
          <w:color w:val="auto"/>
        </w:rPr>
        <w:t>www.euronetworldwide.com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Relations Website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u w:val="single" w:color="auto"/>
          <w:color w:val="auto"/>
        </w:rPr>
        <w:t>ir.euronetworldwide.com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Report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u w:val="single" w:color="auto"/>
          <w:color w:val="auto"/>
        </w:rPr>
        <w:t>ir.euronetworldwide.com/financial-information/annual-reports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 xml:space="preserve">EXECUTIVE COMPENSATION </w:t>
      </w:r>
      <w:r>
        <w:rPr>
          <w:rFonts w:ascii="Times New Roman" w:cs="Times New Roman" w:eastAsia="Times New Roman" w:hAnsi="Times New Roman"/>
          <w:sz w:val="14"/>
          <w:szCs w:val="14"/>
          <w:u w:val="single" w:color="auto"/>
          <w:color w:val="auto"/>
        </w:rPr>
        <w:t>(see pages 32 - 60)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CEO</w:t>
      </w:r>
      <w:r>
        <w:rPr>
          <w:rFonts w:ascii="Times New Roman" w:cs="Times New Roman" w:eastAsia="Times New Roman" w:hAnsi="Times New Roman"/>
          <w:sz w:val="14"/>
          <w:szCs w:val="14"/>
          <w:color w:val="auto"/>
        </w:rPr>
        <w:t>: Michael J. Brown (age 67; CEO since July 1994)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CEO 2023 Total Direct Compensation</w:t>
      </w:r>
      <w:r>
        <w:rPr>
          <w:rFonts w:ascii="Times New Roman" w:cs="Times New Roman" w:eastAsia="Times New Roman" w:hAnsi="Times New Roman"/>
          <w:sz w:val="14"/>
          <w:szCs w:val="14"/>
          <w:color w:val="auto"/>
        </w:rPr>
        <w:t>:</w:t>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Base Salary: $850,000</w:t>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Annual Performance Bonus: $2,550,000</w:t>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Long-Term Incentives: $10,404,260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 xml:space="preserve">CORPORATE GOVERNANCE </w:t>
      </w:r>
      <w:r>
        <w:rPr>
          <w:rFonts w:ascii="Times New Roman" w:cs="Times New Roman" w:eastAsia="Times New Roman" w:hAnsi="Times New Roman"/>
          <w:sz w:val="14"/>
          <w:szCs w:val="14"/>
          <w:u w:val="single" w:color="auto"/>
          <w:color w:val="auto"/>
        </w:rPr>
        <w:t>(see pages 21 - 26)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Nominees</w:t>
      </w:r>
      <w:r>
        <w:rPr>
          <w:rFonts w:ascii="Times New Roman" w:cs="Times New Roman" w:eastAsia="Times New Roman" w:hAnsi="Times New Roman"/>
          <w:sz w:val="14"/>
          <w:szCs w:val="14"/>
          <w:color w:val="auto"/>
        </w:rPr>
        <w:t>: 3</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Paul S. Althasen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-64135</wp:posOffset>
            </wp:positionV>
            <wp:extent cx="52705" cy="52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Michael N. Frumkin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-73660</wp:posOffset>
            </wp:positionV>
            <wp:extent cx="52705" cy="52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4"/>
          <w:szCs w:val="14"/>
          <w:color w:val="auto"/>
        </w:rPr>
        <w:t>Thomas A.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-73660</wp:posOffset>
            </wp:positionV>
            <wp:extent cx="52705" cy="52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Term</w:t>
      </w:r>
      <w:r>
        <w:rPr>
          <w:rFonts w:ascii="Times New Roman" w:cs="Times New Roman" w:eastAsia="Times New Roman" w:hAnsi="Times New Roman"/>
          <w:sz w:val="14"/>
          <w:szCs w:val="14"/>
          <w:color w:val="auto"/>
        </w:rPr>
        <w:t>: Three years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Election Standard</w:t>
      </w:r>
      <w:r>
        <w:rPr>
          <w:rFonts w:ascii="Times New Roman" w:cs="Times New Roman" w:eastAsia="Times New Roman" w:hAnsi="Times New Roman"/>
          <w:sz w:val="14"/>
          <w:szCs w:val="14"/>
          <w:color w:val="auto"/>
        </w:rPr>
        <w:t>: Majority of votes cast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Meetings in 2023</w:t>
      </w:r>
      <w:r>
        <w:rPr>
          <w:rFonts w:ascii="Times New Roman" w:cs="Times New Roman" w:eastAsia="Times New Roman" w:hAnsi="Times New Roman"/>
          <w:sz w:val="14"/>
          <w:szCs w:val="14"/>
          <w:color w:val="auto"/>
        </w:rPr>
        <w:t>: 4</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Standing Board Committees (Meetings in 2023):</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Audit (4), Compensation (4), Nominating &amp; Corporate Governance (4)</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 Materials:</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ir.euronetworldwide.com/corporate-governance/management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Communication</w:t>
      </w:r>
      <w:r>
        <w:rPr>
          <w:rFonts w:ascii="Times New Roman" w:cs="Times New Roman" w:eastAsia="Times New Roman" w:hAnsi="Times New Roman"/>
          <w:sz w:val="14"/>
          <w:szCs w:val="14"/>
          <w:color w:val="auto"/>
        </w:rPr>
        <w:t>:</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ir.euronetworldwide.com/corporate-governance/contact-the-board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68"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auto"/>
        </w:rPr>
        <w:t xml:space="preserve">OTHER ITEMS TO BE VOTED ON </w:t>
      </w:r>
      <w:r>
        <w:rPr>
          <w:rFonts w:ascii="Times New Roman" w:cs="Times New Roman" w:eastAsia="Times New Roman" w:hAnsi="Times New Roman"/>
          <w:sz w:val="14"/>
          <w:szCs w:val="14"/>
          <w:u w:val="single" w:color="auto"/>
          <w:color w:val="auto"/>
        </w:rPr>
        <w:t>(see pages 26 - 31)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Advisory Vote to Approve Named Executive Officer Compensation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Ratification of Appointment of Independent Registered Public Accounting Firm (KPMG LLP)</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140" w:type="dxa"/>
            <w:vAlign w:val="bottom"/>
            <w:tcBorders>
              <w:top w:val="single" w:sz="8" w:color="auto"/>
              <w:left w:val="single" w:sz="8" w:color="auto"/>
            </w:tcBorders>
          </w:tcPr>
          <w:p>
            <w:pPr>
              <w:spacing w:after="0"/>
              <w:rPr>
                <w:sz w:val="17"/>
                <w:szCs w:val="17"/>
                <w:color w:val="auto"/>
              </w:rPr>
            </w:pPr>
          </w:p>
        </w:tc>
        <w:tc>
          <w:tcPr>
            <w:tcW w:w="2340" w:type="dxa"/>
            <w:vAlign w:val="bottom"/>
            <w:tcBorders>
              <w:top w:val="single" w:sz="8" w:color="auto"/>
              <w:right w:val="single" w:sz="8" w:color="auto"/>
            </w:tcBorders>
          </w:tcPr>
          <w:p>
            <w:pPr>
              <w:spacing w:after="0"/>
              <w:rPr>
                <w:sz w:val="17"/>
                <w:szCs w:val="17"/>
                <w:color w:val="auto"/>
              </w:rPr>
            </w:pPr>
          </w:p>
        </w:tc>
        <w:tc>
          <w:tcPr>
            <w:tcW w:w="1840" w:type="dxa"/>
            <w:vAlign w:val="bottom"/>
            <w:tcBorders>
              <w:top w:val="single" w:sz="8" w:color="auto"/>
              <w:right w:val="single" w:sz="8" w:color="auto"/>
            </w:tcBorders>
          </w:tcPr>
          <w:p>
            <w:pPr>
              <w:spacing w:after="0"/>
              <w:rPr>
                <w:sz w:val="17"/>
                <w:szCs w:val="17"/>
                <w:color w:val="auto"/>
              </w:rPr>
            </w:pPr>
          </w:p>
        </w:tc>
        <w:tc>
          <w:tcPr>
            <w:tcW w:w="1980" w:type="dxa"/>
            <w:vAlign w:val="bottom"/>
            <w:tcBorders>
              <w:top w:val="single" w:sz="8" w:color="auto"/>
              <w:right w:val="single" w:sz="8" w:color="auto"/>
            </w:tcBorders>
          </w:tcPr>
          <w:p>
            <w:pPr>
              <w:jc w:val="center"/>
              <w:ind w:left="72"/>
              <w:spacing w:after="0"/>
              <w:rPr>
                <w:sz w:val="20"/>
                <w:szCs w:val="20"/>
                <w:color w:val="auto"/>
              </w:rPr>
            </w:pPr>
            <w:r>
              <w:rPr>
                <w:rFonts w:ascii="Times New Roman" w:cs="Times New Roman" w:eastAsia="Times New Roman" w:hAnsi="Times New Roman"/>
                <w:sz w:val="13"/>
                <w:szCs w:val="13"/>
                <w:b w:val="1"/>
                <w:bCs w:val="1"/>
                <w:color w:val="auto"/>
                <w:w w:val="99"/>
              </w:rPr>
              <w:t>On which pages</w:t>
            </w:r>
          </w:p>
        </w:tc>
      </w:tr>
      <w:tr>
        <w:trPr>
          <w:trHeight w:val="162"/>
        </w:trPr>
        <w:tc>
          <w:tcPr>
            <w:tcW w:w="51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VOTING GUIDELINES</w:t>
            </w:r>
          </w:p>
        </w:tc>
        <w:tc>
          <w:tcPr>
            <w:tcW w:w="23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ind w:left="112"/>
              <w:spacing w:after="0"/>
              <w:rPr>
                <w:sz w:val="20"/>
                <w:szCs w:val="20"/>
                <w:color w:val="auto"/>
              </w:rPr>
            </w:pPr>
            <w:r>
              <w:rPr>
                <w:rFonts w:ascii="Times New Roman" w:cs="Times New Roman" w:eastAsia="Times New Roman" w:hAnsi="Times New Roman"/>
                <w:sz w:val="13"/>
                <w:szCs w:val="13"/>
                <w:b w:val="1"/>
                <w:bCs w:val="1"/>
                <w:color w:val="auto"/>
                <w:w w:val="99"/>
              </w:rPr>
              <w:t>How does the</w:t>
            </w:r>
          </w:p>
        </w:tc>
        <w:tc>
          <w:tcPr>
            <w:tcW w:w="198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13"/>
                <w:szCs w:val="13"/>
                <w:b w:val="1"/>
                <w:bCs w:val="1"/>
                <w:color w:val="auto"/>
                <w:w w:val="98"/>
              </w:rPr>
              <w:t>of this Proxy</w:t>
            </w:r>
          </w:p>
        </w:tc>
      </w:tr>
      <w:tr>
        <w:trPr>
          <w:trHeight w:val="162"/>
        </w:trPr>
        <w:tc>
          <w:tcPr>
            <w:tcW w:w="5140" w:type="dxa"/>
            <w:vAlign w:val="bottom"/>
            <w:tcBorders>
              <w:left w:val="single" w:sz="8" w:color="auto"/>
            </w:tcBorders>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ind w:left="112"/>
              <w:spacing w:after="0"/>
              <w:rPr>
                <w:sz w:val="20"/>
                <w:szCs w:val="20"/>
                <w:color w:val="auto"/>
              </w:rPr>
            </w:pPr>
            <w:r>
              <w:rPr>
                <w:rFonts w:ascii="Times New Roman" w:cs="Times New Roman" w:eastAsia="Times New Roman" w:hAnsi="Times New Roman"/>
                <w:sz w:val="13"/>
                <w:szCs w:val="13"/>
                <w:b w:val="1"/>
                <w:bCs w:val="1"/>
                <w:color w:val="auto"/>
              </w:rPr>
              <w:t>Board of</w:t>
            </w:r>
          </w:p>
        </w:tc>
        <w:tc>
          <w:tcPr>
            <w:tcW w:w="198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13"/>
                <w:szCs w:val="13"/>
                <w:b w:val="1"/>
                <w:bCs w:val="1"/>
                <w:color w:val="auto"/>
                <w:w w:val="98"/>
              </w:rPr>
              <w:t>Statement can I</w:t>
            </w:r>
          </w:p>
        </w:tc>
      </w:tr>
      <w:tr>
        <w:trPr>
          <w:trHeight w:val="162"/>
        </w:trPr>
        <w:tc>
          <w:tcPr>
            <w:tcW w:w="5140" w:type="dxa"/>
            <w:vAlign w:val="bottom"/>
            <w:tcBorders>
              <w:left w:val="single" w:sz="8" w:color="auto"/>
            </w:tcBorders>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ind w:left="112"/>
              <w:spacing w:after="0"/>
              <w:rPr>
                <w:sz w:val="20"/>
                <w:szCs w:val="20"/>
                <w:color w:val="auto"/>
              </w:rPr>
            </w:pPr>
            <w:r>
              <w:rPr>
                <w:rFonts w:ascii="Times New Roman" w:cs="Times New Roman" w:eastAsia="Times New Roman" w:hAnsi="Times New Roman"/>
                <w:sz w:val="13"/>
                <w:szCs w:val="13"/>
                <w:b w:val="1"/>
                <w:bCs w:val="1"/>
                <w:color w:val="auto"/>
                <w:w w:val="96"/>
              </w:rPr>
              <w:t>Directors</w:t>
            </w:r>
          </w:p>
        </w:tc>
        <w:tc>
          <w:tcPr>
            <w:tcW w:w="1980" w:type="dxa"/>
            <w:vAlign w:val="bottom"/>
            <w:tcBorders>
              <w:right w:val="single" w:sz="8" w:color="auto"/>
            </w:tcBorders>
          </w:tcPr>
          <w:p>
            <w:pPr>
              <w:jc w:val="center"/>
              <w:ind w:left="72"/>
              <w:spacing w:after="0"/>
              <w:rPr>
                <w:sz w:val="20"/>
                <w:szCs w:val="20"/>
                <w:color w:val="auto"/>
              </w:rPr>
            </w:pPr>
            <w:r>
              <w:rPr>
                <w:rFonts w:ascii="Times New Roman" w:cs="Times New Roman" w:eastAsia="Times New Roman" w:hAnsi="Times New Roman"/>
                <w:sz w:val="13"/>
                <w:szCs w:val="13"/>
                <w:b w:val="1"/>
                <w:bCs w:val="1"/>
                <w:color w:val="auto"/>
                <w:w w:val="97"/>
              </w:rPr>
              <w:t>read more</w:t>
            </w:r>
          </w:p>
        </w:tc>
      </w:tr>
      <w:tr>
        <w:trPr>
          <w:trHeight w:val="162"/>
        </w:trPr>
        <w:tc>
          <w:tcPr>
            <w:tcW w:w="5140" w:type="dxa"/>
            <w:vAlign w:val="bottom"/>
            <w:tcBorders>
              <w:left w:val="single" w:sz="8" w:color="auto"/>
            </w:tcBorders>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ind w:left="112"/>
              <w:spacing w:after="0"/>
              <w:rPr>
                <w:sz w:val="20"/>
                <w:szCs w:val="20"/>
                <w:color w:val="auto"/>
              </w:rPr>
            </w:pPr>
            <w:r>
              <w:rPr>
                <w:rFonts w:ascii="Times New Roman" w:cs="Times New Roman" w:eastAsia="Times New Roman" w:hAnsi="Times New Roman"/>
                <w:sz w:val="13"/>
                <w:szCs w:val="13"/>
                <w:b w:val="1"/>
                <w:bCs w:val="1"/>
                <w:color w:val="auto"/>
                <w:w w:val="99"/>
              </w:rPr>
              <w:t>recommend I</w:t>
            </w:r>
          </w:p>
        </w:tc>
        <w:tc>
          <w:tcPr>
            <w:tcW w:w="198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13"/>
                <w:szCs w:val="13"/>
                <w:b w:val="1"/>
                <w:bCs w:val="1"/>
                <w:color w:val="auto"/>
                <w:w w:val="99"/>
              </w:rPr>
              <w:t>information</w:t>
            </w:r>
          </w:p>
        </w:tc>
      </w:tr>
      <w:tr>
        <w:trPr>
          <w:trHeight w:val="169"/>
        </w:trPr>
        <w:tc>
          <w:tcPr>
            <w:tcW w:w="51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What am I being asked to vote on?</w:t>
            </w:r>
          </w:p>
        </w:tc>
        <w:tc>
          <w:tcPr>
            <w:tcW w:w="23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ind w:left="112"/>
              <w:spacing w:after="0"/>
              <w:rPr>
                <w:sz w:val="20"/>
                <w:szCs w:val="20"/>
                <w:color w:val="auto"/>
              </w:rPr>
            </w:pPr>
            <w:r>
              <w:rPr>
                <w:rFonts w:ascii="Times New Roman" w:cs="Times New Roman" w:eastAsia="Times New Roman" w:hAnsi="Times New Roman"/>
                <w:sz w:val="13"/>
                <w:szCs w:val="13"/>
                <w:b w:val="1"/>
                <w:bCs w:val="1"/>
                <w:color w:val="auto"/>
              </w:rPr>
              <w:t>vote?</w:t>
            </w:r>
          </w:p>
        </w:tc>
        <w:tc>
          <w:tcPr>
            <w:tcW w:w="1980" w:type="dxa"/>
            <w:vAlign w:val="bottom"/>
            <w:tcBorders>
              <w:right w:val="single" w:sz="8" w:color="auto"/>
            </w:tcBorders>
          </w:tcPr>
          <w:p>
            <w:pPr>
              <w:jc w:val="center"/>
              <w:ind w:left="72"/>
              <w:spacing w:after="0"/>
              <w:rPr>
                <w:sz w:val="20"/>
                <w:szCs w:val="20"/>
                <w:color w:val="auto"/>
              </w:rPr>
            </w:pPr>
            <w:r>
              <w:rPr>
                <w:rFonts w:ascii="Times New Roman" w:cs="Times New Roman" w:eastAsia="Times New Roman" w:hAnsi="Times New Roman"/>
                <w:sz w:val="13"/>
                <w:szCs w:val="13"/>
                <w:b w:val="1"/>
                <w:bCs w:val="1"/>
                <w:color w:val="auto"/>
                <w:w w:val="99"/>
              </w:rPr>
              <w:t>before I vote?</w:t>
            </w:r>
          </w:p>
        </w:tc>
      </w:tr>
      <w:tr>
        <w:trPr>
          <w:trHeight w:val="39"/>
        </w:trPr>
        <w:tc>
          <w:tcPr>
            <w:tcW w:w="5140" w:type="dxa"/>
            <w:vAlign w:val="bottom"/>
            <w:tcBorders>
              <w:left w:val="single" w:sz="8" w:color="auto"/>
              <w:bottom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r>
      <w:tr>
        <w:trPr>
          <w:trHeight w:val="227"/>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Election of Paul S. Althasen as a Director</w:t>
            </w:r>
          </w:p>
        </w:tc>
        <w:tc>
          <w:tcPr>
            <w:tcW w:w="23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center"/>
              <w:ind w:left="92"/>
              <w:spacing w:after="0"/>
              <w:rPr>
                <w:sz w:val="20"/>
                <w:szCs w:val="20"/>
                <w:color w:val="auto"/>
              </w:rPr>
            </w:pPr>
            <w:r>
              <w:rPr>
                <w:rFonts w:ascii="Times New Roman" w:cs="Times New Roman" w:eastAsia="Times New Roman" w:hAnsi="Times New Roman"/>
                <w:sz w:val="14"/>
                <w:szCs w:val="14"/>
                <w:color w:val="auto"/>
              </w:rPr>
              <w:t>FOR</w:t>
            </w:r>
          </w:p>
        </w:tc>
        <w:tc>
          <w:tcPr>
            <w:tcW w:w="1980" w:type="dxa"/>
            <w:vAlign w:val="bottom"/>
            <w:tcBorders>
              <w:bottom w:val="single" w:sz="8" w:color="auto"/>
              <w:right w:val="single" w:sz="8" w:color="auto"/>
            </w:tcBorders>
          </w:tcPr>
          <w:p>
            <w:pPr>
              <w:jc w:val="center"/>
              <w:ind w:left="72"/>
              <w:spacing w:after="0"/>
              <w:rPr>
                <w:sz w:val="20"/>
                <w:szCs w:val="20"/>
                <w:color w:val="auto"/>
              </w:rPr>
            </w:pPr>
            <w:r>
              <w:rPr>
                <w:rFonts w:ascii="Times New Roman" w:cs="Times New Roman" w:eastAsia="Times New Roman" w:hAnsi="Times New Roman"/>
                <w:sz w:val="14"/>
                <w:szCs w:val="14"/>
                <w:color w:val="auto"/>
              </w:rPr>
              <w:t>26 - 29</w:t>
            </w:r>
          </w:p>
        </w:tc>
      </w:tr>
      <w:tr>
        <w:trPr>
          <w:trHeight w:val="218"/>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Election of Michael N. Frumkin as a Director</w:t>
            </w:r>
          </w:p>
        </w:tc>
        <w:tc>
          <w:tcPr>
            <w:tcW w:w="23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ind w:left="92"/>
              <w:spacing w:after="0"/>
              <w:rPr>
                <w:sz w:val="20"/>
                <w:szCs w:val="20"/>
                <w:color w:val="auto"/>
              </w:rPr>
            </w:pPr>
            <w:r>
              <w:rPr>
                <w:rFonts w:ascii="Times New Roman" w:cs="Times New Roman" w:eastAsia="Times New Roman" w:hAnsi="Times New Roman"/>
                <w:sz w:val="14"/>
                <w:szCs w:val="14"/>
                <w:color w:val="auto"/>
              </w:rPr>
              <w:t>FOR</w:t>
            </w:r>
          </w:p>
        </w:tc>
        <w:tc>
          <w:tcPr>
            <w:tcW w:w="1980" w:type="dxa"/>
            <w:vAlign w:val="bottom"/>
            <w:tcBorders>
              <w:bottom w:val="single" w:sz="8" w:color="auto"/>
              <w:right w:val="single" w:sz="8" w:color="auto"/>
            </w:tcBorders>
          </w:tcPr>
          <w:p>
            <w:pPr>
              <w:jc w:val="center"/>
              <w:ind w:left="72"/>
              <w:spacing w:after="0"/>
              <w:rPr>
                <w:sz w:val="20"/>
                <w:szCs w:val="20"/>
                <w:color w:val="auto"/>
              </w:rPr>
            </w:pPr>
            <w:r>
              <w:rPr>
                <w:rFonts w:ascii="Times New Roman" w:cs="Times New Roman" w:eastAsia="Times New Roman" w:hAnsi="Times New Roman"/>
                <w:sz w:val="14"/>
                <w:szCs w:val="14"/>
                <w:color w:val="auto"/>
              </w:rPr>
              <w:t>26 - 29</w:t>
            </w:r>
          </w:p>
        </w:tc>
      </w:tr>
      <w:tr>
        <w:trPr>
          <w:trHeight w:val="218"/>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Election of Thomas A. McDonnell as a Director</w:t>
            </w:r>
          </w:p>
        </w:tc>
        <w:tc>
          <w:tcPr>
            <w:tcW w:w="23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ind w:left="92"/>
              <w:spacing w:after="0"/>
              <w:rPr>
                <w:sz w:val="20"/>
                <w:szCs w:val="20"/>
                <w:color w:val="auto"/>
              </w:rPr>
            </w:pPr>
            <w:r>
              <w:rPr>
                <w:rFonts w:ascii="Times New Roman" w:cs="Times New Roman" w:eastAsia="Times New Roman" w:hAnsi="Times New Roman"/>
                <w:sz w:val="14"/>
                <w:szCs w:val="14"/>
                <w:color w:val="auto"/>
              </w:rPr>
              <w:t>FOR</w:t>
            </w:r>
          </w:p>
        </w:tc>
        <w:tc>
          <w:tcPr>
            <w:tcW w:w="1980" w:type="dxa"/>
            <w:vAlign w:val="bottom"/>
            <w:tcBorders>
              <w:bottom w:val="single" w:sz="8" w:color="auto"/>
              <w:right w:val="single" w:sz="8" w:color="auto"/>
            </w:tcBorders>
          </w:tcPr>
          <w:p>
            <w:pPr>
              <w:jc w:val="center"/>
              <w:ind w:left="72"/>
              <w:spacing w:after="0"/>
              <w:rPr>
                <w:sz w:val="20"/>
                <w:szCs w:val="20"/>
                <w:color w:val="auto"/>
              </w:rPr>
            </w:pPr>
            <w:r>
              <w:rPr>
                <w:rFonts w:ascii="Times New Roman" w:cs="Times New Roman" w:eastAsia="Times New Roman" w:hAnsi="Times New Roman"/>
                <w:sz w:val="14"/>
                <w:szCs w:val="14"/>
                <w:color w:val="auto"/>
              </w:rPr>
              <w:t>26 - 29</w:t>
            </w:r>
          </w:p>
        </w:tc>
      </w:tr>
      <w:tr>
        <w:trPr>
          <w:trHeight w:val="218"/>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Advisory Vote to Approve Named Executive Officer Compensation</w:t>
            </w:r>
          </w:p>
        </w:tc>
        <w:tc>
          <w:tcPr>
            <w:tcW w:w="23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ind w:left="92"/>
              <w:spacing w:after="0"/>
              <w:rPr>
                <w:sz w:val="20"/>
                <w:szCs w:val="20"/>
                <w:color w:val="auto"/>
              </w:rPr>
            </w:pPr>
            <w:r>
              <w:rPr>
                <w:rFonts w:ascii="Times New Roman" w:cs="Times New Roman" w:eastAsia="Times New Roman" w:hAnsi="Times New Roman"/>
                <w:sz w:val="14"/>
                <w:szCs w:val="14"/>
                <w:color w:val="auto"/>
              </w:rPr>
              <w:t>FOR</w:t>
            </w:r>
          </w:p>
        </w:tc>
        <w:tc>
          <w:tcPr>
            <w:tcW w:w="1980" w:type="dxa"/>
            <w:vAlign w:val="bottom"/>
            <w:tcBorders>
              <w:bottom w:val="single" w:sz="8" w:color="auto"/>
              <w:right w:val="single" w:sz="8" w:color="auto"/>
            </w:tcBorders>
          </w:tcPr>
          <w:p>
            <w:pPr>
              <w:jc w:val="center"/>
              <w:ind w:left="52"/>
              <w:spacing w:after="0"/>
              <w:rPr>
                <w:sz w:val="20"/>
                <w:szCs w:val="20"/>
                <w:color w:val="auto"/>
              </w:rPr>
            </w:pPr>
            <w:r>
              <w:rPr>
                <w:rFonts w:ascii="Times New Roman" w:cs="Times New Roman" w:eastAsia="Times New Roman" w:hAnsi="Times New Roman"/>
                <w:sz w:val="14"/>
                <w:szCs w:val="14"/>
                <w:color w:val="auto"/>
                <w:w w:val="99"/>
              </w:rPr>
              <w:t>30</w:t>
            </w:r>
          </w:p>
        </w:tc>
      </w:tr>
      <w:tr>
        <w:trPr>
          <w:trHeight w:val="218"/>
        </w:trPr>
        <w:tc>
          <w:tcPr>
            <w:tcW w:w="51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Ratification of Appointment of Independent Registered Public Accounting Firm</w:t>
            </w:r>
          </w:p>
        </w:tc>
        <w:tc>
          <w:tcPr>
            <w:tcW w:w="23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ind w:left="92"/>
              <w:spacing w:after="0"/>
              <w:rPr>
                <w:sz w:val="20"/>
                <w:szCs w:val="20"/>
                <w:color w:val="auto"/>
              </w:rPr>
            </w:pPr>
            <w:r>
              <w:rPr>
                <w:rFonts w:ascii="Times New Roman" w:cs="Times New Roman" w:eastAsia="Times New Roman" w:hAnsi="Times New Roman"/>
                <w:sz w:val="14"/>
                <w:szCs w:val="14"/>
                <w:color w:val="auto"/>
              </w:rPr>
              <w:t>FOR</w:t>
            </w:r>
          </w:p>
        </w:tc>
        <w:tc>
          <w:tcPr>
            <w:tcW w:w="1980" w:type="dxa"/>
            <w:vAlign w:val="bottom"/>
            <w:tcBorders>
              <w:bottom w:val="single" w:sz="8" w:color="auto"/>
              <w:right w:val="single" w:sz="8" w:color="auto"/>
            </w:tcBorders>
          </w:tcPr>
          <w:p>
            <w:pPr>
              <w:jc w:val="center"/>
              <w:ind w:left="52"/>
              <w:spacing w:after="0"/>
              <w:rPr>
                <w:sz w:val="20"/>
                <w:szCs w:val="20"/>
                <w:color w:val="auto"/>
              </w:rPr>
            </w:pPr>
            <w:r>
              <w:rPr>
                <w:rFonts w:ascii="Times New Roman" w:cs="Times New Roman" w:eastAsia="Times New Roman" w:hAnsi="Times New Roman"/>
                <w:sz w:val="14"/>
                <w:szCs w:val="14"/>
                <w:color w:val="auto"/>
                <w:w w:val="99"/>
              </w:rPr>
              <w:t>31</w:t>
            </w:r>
          </w:p>
        </w:tc>
      </w:tr>
      <w:tr>
        <w:trPr>
          <w:trHeight w:val="359"/>
        </w:trPr>
        <w:tc>
          <w:tcPr>
            <w:tcW w:w="5140" w:type="dxa"/>
            <w:vAlign w:val="bottom"/>
          </w:tcPr>
          <w:p>
            <w:pPr>
              <w:spacing w:after="0"/>
              <w:rPr>
                <w:sz w:val="24"/>
                <w:szCs w:val="24"/>
                <w:color w:val="auto"/>
              </w:rPr>
            </w:pPr>
          </w:p>
        </w:tc>
        <w:tc>
          <w:tcPr>
            <w:tcW w:w="2340" w:type="dxa"/>
            <w:vAlign w:val="bottom"/>
          </w:tcPr>
          <w:p>
            <w:pPr>
              <w:jc w:val="right"/>
              <w:ind w:right="1728"/>
              <w:spacing w:after="0"/>
              <w:rPr>
                <w:sz w:val="20"/>
                <w:szCs w:val="20"/>
                <w:color w:val="auto"/>
              </w:rPr>
            </w:pPr>
            <w:r>
              <w:rPr>
                <w:rFonts w:ascii="Times New Roman" w:cs="Times New Roman" w:eastAsia="Times New Roman" w:hAnsi="Times New Roman"/>
                <w:sz w:val="14"/>
                <w:szCs w:val="14"/>
                <w:color w:val="auto"/>
              </w:rPr>
              <w:t>4</w:t>
            </w:r>
          </w:p>
        </w:tc>
        <w:tc>
          <w:tcPr>
            <w:tcW w:w="18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98"/>
        </w:trPr>
        <w:tc>
          <w:tcPr>
            <w:tcW w:w="514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468"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006EBF"/>
        </w:rPr>
        <w:t>GENERAL INFORMATION</w:t>
      </w:r>
    </w:p>
    <w:p>
      <w:pPr>
        <w:spacing w:after="0" w:line="214"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Euronet has made these materials available to you on the internet or, upon your request, has delivered printed versions of these materials to you by mail in connection with the solicitation of proxies by our Board of Directors (the “Board”), for use at the Annual Meeting of stockholders to be held on Thursday, May 16, 2024, at 1:00 p.m. (Central time) at our corporate headquarters at 11400 Tomahawk Creek Parkway, Suite 300, Leawood, Kansas 66211, USA.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Stockholders Entitled to Vote</w:t>
      </w:r>
    </w:p>
    <w:p>
      <w:pPr>
        <w:spacing w:after="0" w:line="187"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Stockholders at the close of business on March 18, 2024 (the “Record Date”) are entitled to notice of, and to vote at, the Annual Meeting. The stockholders will be entitled to one vote for each share of common stock, par value $0.02 per share (the “Common Stock”), held of record at the close of business on the Record Date. To take action at the Annual Meeting, a quorum composed of holders of one-third of the shares of Common Stock outstanding must be represented by proxy or in person at the Annual Meeting. On March 18, 2024, there were 45,859,243 shares of Common Stock outstanding. No shares of preferred stock are outstanding.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How to Vote</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Registered stockholders</w:t>
      </w:r>
      <w:r>
        <w:rPr>
          <w:rFonts w:ascii="Times New Roman" w:cs="Times New Roman" w:eastAsia="Times New Roman" w:hAnsi="Times New Roman"/>
          <w:sz w:val="14"/>
          <w:szCs w:val="14"/>
          <w:color w:val="auto"/>
        </w:rPr>
        <w:t>. Registered stockholders (that is, stockholders who hold their shares directly with our stock registrar), can vote any one of four ways:</w:t>
      </w:r>
    </w:p>
    <w:p>
      <w:pPr>
        <w:spacing w:after="0" w:line="143" w:lineRule="exact"/>
        <w:rPr>
          <w:sz w:val="20"/>
          <w:szCs w:val="20"/>
          <w:color w:val="auto"/>
        </w:rPr>
      </w:pPr>
    </w:p>
    <w:p>
      <w:pPr>
        <w:ind w:left="580"/>
        <w:spacing w:after="0" w:line="298" w:lineRule="auto"/>
        <w:rPr>
          <w:sz w:val="20"/>
          <w:szCs w:val="20"/>
          <w:color w:val="auto"/>
        </w:rPr>
      </w:pPr>
      <w:r>
        <w:rPr>
          <w:rFonts w:ascii="Times New Roman" w:cs="Times New Roman" w:eastAsia="Times New Roman" w:hAnsi="Times New Roman"/>
          <w:sz w:val="14"/>
          <w:szCs w:val="14"/>
          <w:color w:val="auto"/>
        </w:rPr>
        <w:t xml:space="preserve">Via the internet: </w:t>
      </w:r>
      <w:r>
        <w:rPr>
          <w:rFonts w:ascii="Times New Roman" w:cs="Times New Roman" w:eastAsia="Times New Roman" w:hAnsi="Times New Roman"/>
          <w:sz w:val="14"/>
          <w:szCs w:val="14"/>
          <w:color w:val="0000FF"/>
        </w:rPr>
        <w:t>www.proxyvote.com</w:t>
      </w:r>
      <w:r>
        <w:rPr>
          <w:rFonts w:ascii="Times New Roman" w:cs="Times New Roman" w:eastAsia="Times New Roman" w:hAnsi="Times New Roman"/>
          <w:sz w:val="14"/>
          <w:szCs w:val="14"/>
          <w:color w:val="auto"/>
        </w:rPr>
        <w:t xml:space="preserve"> - 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-154940</wp:posOffset>
            </wp:positionV>
            <wp:extent cx="76581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5810" cy="6985"/>
                    </a:xfrm>
                    <a:prstGeom prst="rect">
                      <a:avLst/>
                    </a:prstGeom>
                    <a:noFill/>
                  </pic:spPr>
                </pic:pic>
              </a:graphicData>
            </a:graphic>
          </wp:anchor>
        </w:drawing>
      </w:r>
    </w:p>
    <w:p>
      <w:pPr>
        <w:spacing w:after="0" w:line="55" w:lineRule="exact"/>
        <w:rPr>
          <w:sz w:val="20"/>
          <w:szCs w:val="20"/>
          <w:color w:val="auto"/>
        </w:rPr>
      </w:pPr>
    </w:p>
    <w:p>
      <w:pPr>
        <w:ind w:left="580"/>
        <w:spacing w:after="0" w:line="266" w:lineRule="auto"/>
        <w:rPr>
          <w:sz w:val="20"/>
          <w:szCs w:val="20"/>
          <w:color w:val="auto"/>
        </w:rPr>
      </w:pPr>
      <w:r>
        <w:rPr>
          <w:rFonts w:ascii="Times New Roman" w:cs="Times New Roman" w:eastAsia="Times New Roman" w:hAnsi="Times New Roman"/>
          <w:sz w:val="14"/>
          <w:szCs w:val="14"/>
          <w:color w:val="auto"/>
        </w:rPr>
        <w:t>By Telephone: 1-800-690-6903 - Use any touch-tone telephone to transmit your voting instructions up until 11:59 P.M. Eastern Time the day before the meeting date. Have your proxy card in hand when you call and then follow the instructions.</w:t>
      </w:r>
    </w:p>
    <w:p>
      <w:pPr>
        <w:spacing w:after="0" w:line="73" w:lineRule="exact"/>
        <w:rPr>
          <w:sz w:val="20"/>
          <w:szCs w:val="20"/>
          <w:color w:val="auto"/>
        </w:rPr>
      </w:pPr>
    </w:p>
    <w:p>
      <w:pPr>
        <w:ind w:left="580"/>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By Mail: </w:t>
      </w:r>
      <w:r>
        <w:rPr>
          <w:rFonts w:ascii="Times New Roman" w:cs="Times New Roman" w:eastAsia="Times New Roman" w:hAnsi="Times New Roman"/>
          <w:sz w:val="14"/>
          <w:szCs w:val="14"/>
          <w:color w:val="auto"/>
        </w:rPr>
        <w:t>Mark, sign and date your proxy card and return it in the postage-paid envelope we have provided or return it to Vote Processing, c/o Broadridge, 51 Mercedes Way, Edgewood,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NY 11717.</w:t>
      </w:r>
    </w:p>
    <w:p>
      <w:pPr>
        <w:spacing w:after="0" w:line="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i w:val="1"/>
          <w:iCs w:val="1"/>
          <w:color w:val="auto"/>
        </w:rPr>
        <w:t xml:space="preserve">In Person: </w:t>
      </w:r>
      <w:r>
        <w:rPr>
          <w:rFonts w:ascii="Times New Roman" w:cs="Times New Roman" w:eastAsia="Times New Roman" w:hAnsi="Times New Roman"/>
          <w:sz w:val="14"/>
          <w:szCs w:val="14"/>
          <w:color w:val="auto"/>
        </w:rPr>
        <w:t>Attend the Annual Meeting and vote your shares.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you vote via the internet or by telephone, your electronic vote authorizes the named proxies in the same manner as if you signed, dated and returned a proxy card.</w:t>
      </w:r>
    </w:p>
    <w:p>
      <w:pPr>
        <w:spacing w:after="0" w:line="174" w:lineRule="exact"/>
        <w:rPr>
          <w:sz w:val="20"/>
          <w:szCs w:val="20"/>
          <w:color w:val="auto"/>
        </w:rPr>
      </w:pPr>
    </w:p>
    <w:p>
      <w:pPr>
        <w:jc w:val="both"/>
        <w:ind w:firstLine="331"/>
        <w:spacing w:after="0" w:line="279" w:lineRule="auto"/>
        <w:rPr>
          <w:sz w:val="20"/>
          <w:szCs w:val="20"/>
          <w:color w:val="auto"/>
        </w:rPr>
      </w:pPr>
      <w:r>
        <w:rPr>
          <w:rFonts w:ascii="Times New Roman" w:cs="Times New Roman" w:eastAsia="Times New Roman" w:hAnsi="Times New Roman"/>
          <w:sz w:val="14"/>
          <w:szCs w:val="14"/>
          <w:i w:val="1"/>
          <w:iCs w:val="1"/>
          <w:color w:val="auto"/>
        </w:rPr>
        <w:t>Beneficial stockholders</w:t>
      </w:r>
      <w:r>
        <w:rPr>
          <w:rFonts w:ascii="Times New Roman" w:cs="Times New Roman" w:eastAsia="Times New Roman" w:hAnsi="Times New Roman"/>
          <w:sz w:val="14"/>
          <w:szCs w:val="14"/>
          <w:color w:val="auto"/>
        </w:rPr>
        <w:t>. If your shares are held beneficially in the name of a bank, broker or other holder of record (sometimes referred to as holding shares “in street name”), you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receive instructions from the holder of record that you must follow in order for your shares to be voted. Notice and Access delivery of the proxy materials, internet and/or telephone voting and voting in person at the meeting also will be offered to stockholders owning shares through most banks and brokers.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Revoking Your Proxy or Changing Your Vote</w:t>
      </w:r>
    </w:p>
    <w:p>
      <w:pPr>
        <w:spacing w:after="0" w:line="154"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You may change your vote at any time before the proxy is exercised. For registered stockholders, if you voted by mail, you may revoke your proxy at any time before it is exercised by executing and delivering a timely and valid later-dated proxy, by voting in person at the meeting or by giving written notice to the Secretary. If you voted via the internet or by telephone you may also change your vote with a timely and valid later internet or telephone vote, as the case may be, or by voting in person at the meeting. Attendance at the meeting will not have the effect of revoking a proxy unless (1) you give proper written notice of revocation to the Secretary before the proxy is exercised, or (2) you vote at the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6" w:name="page7"/>
    <w:bookmarkEnd w:id="6"/>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If you hold your shares beneficially, you must follow the specific directions provided to you by your bank, broker or other holder of record to change or revoke any voting instructions you have already provided.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Voting and Solicitation</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Each share of Common Stock issued and outstanding as of the Record Date will have one vote on each of the matters presented herein. Votes cast by proxy or at the Annual Meeting will be tabulated by the inspector of elections appointed for the Annual Meeting.</w:t>
      </w:r>
    </w:p>
    <w:p>
      <w:pPr>
        <w:spacing w:after="0" w:line="119" w:lineRule="exact"/>
        <w:rPr>
          <w:sz w:val="20"/>
          <w:szCs w:val="20"/>
          <w:color w:val="auto"/>
        </w:rPr>
      </w:pPr>
    </w:p>
    <w:p>
      <w:pPr>
        <w:jc w:val="both"/>
        <w:ind w:firstLine="331"/>
        <w:spacing w:after="0" w:line="265" w:lineRule="auto"/>
        <w:rPr>
          <w:sz w:val="20"/>
          <w:szCs w:val="20"/>
          <w:color w:val="auto"/>
        </w:rPr>
      </w:pPr>
      <w:r>
        <w:rPr>
          <w:rFonts w:ascii="Times New Roman" w:cs="Times New Roman" w:eastAsia="Times New Roman" w:hAnsi="Times New Roman"/>
          <w:sz w:val="14"/>
          <w:szCs w:val="14"/>
          <w:color w:val="auto"/>
        </w:rPr>
        <w:t>Pursuant to rules adopted by the Securities and Exchange Commission, we are making this Proxy Statement and our 2023 Annual Report available to stockholders electronically via the internet. On or before April 5, 2024, we mailed to our stockholders of record the “Important Notice Regarding the Availability of Proxy Materials for the stockholder Meeting to be held on May 16, 2024” (the “Notice”). All Stockholders will be able to access this Proxy Statement and our 2023 Annual Report on the website referred to in the Notice or request to receive printed copies of the proxy materials. Instructions on how to access the proxy materials on the internet or request a printed copy may be found in the Notice.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143"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We will treat shares that are voted “For,” “Against” or “Withheld From” a matter as being present at the meeting for purposes of establishing a quorum. We will treat abstentions and broker non-votes also as shares that are present and entitled to be voted for purposes of determining the presence of a quorum.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Election of Directors</w:t>
      </w:r>
    </w:p>
    <w:p>
      <w:pPr>
        <w:spacing w:after="0" w:line="18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In an uncontested election, a Director nominee must be elected by a majority of the votes cast, in person or by proxy, regarding the election of that Director nominee. A “majority of the votes cast” for the purposes of Director elections means that the number of votes cast “For” a Director nominee’s election exceeds the number of votes cast as “Withheld From” for that particular Director nominee. If an incumbent Director is not re-elected in an uncontested election and no successor is elected at the same meeting, the Director must submit an offer to resign.</w:t>
      </w:r>
    </w:p>
    <w:p>
      <w:pPr>
        <w:spacing w:after="0" w:line="134"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In a contested election, which occurs when the number of Director nominees exceeds the number of open seats on the Board at any time before the meeting, Director nominees will be elected by a plurality of the shares represented at the meeting. A “plurality” means that the open seats on the Board will be filled by those Director nominees who received the most affirmative votes, regardless of whether those Director nominees received a majority of the votes cast with respect to their election.</w:t>
      </w:r>
    </w:p>
    <w:p>
      <w:pPr>
        <w:spacing w:after="0" w:line="134"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At the Annual Meeting, the election of Directors is considered to be uncontested because we have not been notified of any other nominees as required by our Amended and Restated Bylaws (“Bylaws”). To be elected, each Director nominee must receive a majority of votes cast regarding that nominee. Abstentions will have no effect on the election of Directors.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Other Matters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All other matters will be determined by a vote of a majority of the shares present or represented by proxy and voting on such matters.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auto"/>
        </w:rPr>
        <w:t>Broker Non-Votes</w:t>
      </w:r>
    </w:p>
    <w:p>
      <w:pPr>
        <w:spacing w:after="0" w:line="187" w:lineRule="exact"/>
        <w:rPr>
          <w:sz w:val="20"/>
          <w:szCs w:val="20"/>
          <w:color w:val="auto"/>
        </w:rPr>
      </w:pPr>
    </w:p>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On routine matters, such as the ratification of the appointment of KPMG LLP as our independent registered public accounting firm, if you do not provide instructions on how you wish to vote, your broker will be allowed to exercise discretion and vote on your behalf. Your broker is prohibited, however, from voting on non-routine matters, which includes all of the proposals in this Proxy Statement other than the proposal to ratify the appointment of KPMG LLP. Broker “non-votes” will occur when a broker does not receive voting instructions from a stockholder on a non-routine matter or if the broker otherwise does not vote on behalf of the stockholder. Broker non-votes will not count in determining the number of votes cast with respect to the election of Directors or a proposal that requires a majority of votes cast and, therefore, will not affect the outcome of the election of Directors or the voting on such a proposal.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Electronic Access to Proxy Materials and Annual Report</w:t>
      </w:r>
    </w:p>
    <w:p>
      <w:pPr>
        <w:spacing w:after="0" w:line="154"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This Proxy Statement and our 2023 Annual Report are available on our website at https://ir.euronetworldwide.com/financial-information/annual-reports, respectively. If you received paper copies of this year’s Proxy Statement and Annual Report by mail, you can elect to receive in the future an email message that will provide a link to those documents on the internet. By opting to access your proxy materials via the internet, you will:</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help preserve environmental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-64135</wp:posOffset>
            </wp:positionV>
            <wp:extent cx="52705" cy="52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4"/>
          <w:szCs w:val="14"/>
          <w:color w:val="auto"/>
        </w:rPr>
        <w:t>gain faster access to your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-74295</wp:posOffset>
            </wp:positionV>
            <wp:extent cx="52705" cy="52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20"/>
        <w:spacing w:after="0" w:line="226" w:lineRule="auto"/>
        <w:rPr>
          <w:sz w:val="20"/>
          <w:szCs w:val="20"/>
          <w:color w:val="auto"/>
        </w:rPr>
      </w:pPr>
      <w:r>
        <w:rPr>
          <w:rFonts w:ascii="Times New Roman" w:cs="Times New Roman" w:eastAsia="Times New Roman" w:hAnsi="Times New Roman"/>
          <w:sz w:val="14"/>
          <w:szCs w:val="14"/>
          <w:color w:val="auto"/>
        </w:rPr>
        <w:t>save us the cost of producing and mailing documents to you;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-67310</wp:posOffset>
            </wp:positionV>
            <wp:extent cx="52705" cy="52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4"/>
          <w:szCs w:val="14"/>
          <w:color w:val="auto"/>
        </w:rPr>
        <w:t>reduce the amount of mail you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-74295</wp:posOffset>
            </wp:positionV>
            <wp:extent cx="52705" cy="52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Stockholders who have enrolled in the electronic access service previously will receive their materials online this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Persons Making The Solicitation</w:t>
      </w:r>
    </w:p>
    <w:p>
      <w:pPr>
        <w:spacing w:after="0" w:line="18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Euronet is making all the solicitations in this Proxy Statement. We will bear the entire cost of this solicitation of proxies. Our Directors, officers and employees, without additional remuneration, may solicit proxies by mail, telephone and personal interviews. We will, if requested, reimburse banks, brokerage houses and other custodians, nominees and certain fiduciaries for their reasonable out-of-pocket expenses incurred in connection with the distribution of proxy materials to their principals.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58"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006EBF"/>
        </w:rPr>
        <w:t>CORPORATE RESPONSIBILITY &amp; SUSTAINABILITY AT EURONET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Under the guidance and supervision of our Board of Directors, the Company pursues a prominent level of corporate social responsibility and sustainability driven by our mission.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principles govern all areas of our business, including how we:</w:t>
      </w:r>
    </w:p>
    <w:p>
      <w:pPr>
        <w:spacing w:after="0" w:line="131" w:lineRule="exact"/>
        <w:rPr>
          <w:sz w:val="20"/>
          <w:szCs w:val="20"/>
          <w:color w:val="auto"/>
        </w:rPr>
      </w:pPr>
    </w:p>
    <w:p>
      <w:pPr>
        <w:ind w:left="660" w:hanging="323"/>
        <w:spacing w:after="0"/>
        <w:tabs>
          <w:tab w:leader="none" w:pos="66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4"/>
          <w:szCs w:val="14"/>
          <w:color w:val="auto"/>
        </w:rPr>
        <w:t>respect our environment and connect to our communities.</w:t>
      </w:r>
    </w:p>
    <w:p>
      <w:pPr>
        <w:spacing w:after="0" w:line="27" w:lineRule="exact"/>
        <w:rPr>
          <w:rFonts w:ascii="Arial" w:cs="Arial" w:eastAsia="Arial" w:hAnsi="Arial"/>
          <w:sz w:val="14"/>
          <w:szCs w:val="14"/>
          <w:color w:val="auto"/>
        </w:rPr>
      </w:pPr>
    </w:p>
    <w:p>
      <w:pPr>
        <w:ind w:left="660" w:hanging="323"/>
        <w:spacing w:after="0"/>
        <w:tabs>
          <w:tab w:leader="none" w:pos="66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4"/>
          <w:szCs w:val="14"/>
          <w:color w:val="auto"/>
        </w:rPr>
        <w:t>support our employees.</w:t>
      </w:r>
    </w:p>
    <w:p>
      <w:pPr>
        <w:spacing w:after="0" w:line="11" w:lineRule="exact"/>
        <w:rPr>
          <w:rFonts w:ascii="Arial" w:cs="Arial" w:eastAsia="Arial" w:hAnsi="Arial"/>
          <w:sz w:val="14"/>
          <w:szCs w:val="14"/>
          <w:color w:val="auto"/>
        </w:rPr>
      </w:pPr>
    </w:p>
    <w:p>
      <w:pPr>
        <w:ind w:left="660" w:hanging="323"/>
        <w:spacing w:after="0"/>
        <w:tabs>
          <w:tab w:leader="none" w:pos="66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4"/>
          <w:szCs w:val="14"/>
          <w:color w:val="auto"/>
        </w:rPr>
        <w:t>govern our business.</w:t>
      </w:r>
    </w:p>
    <w:p>
      <w:pPr>
        <w:spacing w:after="0" w:line="11" w:lineRule="exact"/>
        <w:rPr>
          <w:rFonts w:ascii="Arial" w:cs="Arial" w:eastAsia="Arial" w:hAnsi="Arial"/>
          <w:sz w:val="14"/>
          <w:szCs w:val="14"/>
          <w:color w:val="auto"/>
        </w:rPr>
      </w:pPr>
    </w:p>
    <w:p>
      <w:pPr>
        <w:ind w:left="660" w:hanging="323"/>
        <w:spacing w:after="0"/>
        <w:tabs>
          <w:tab w:leader="none" w:pos="66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4"/>
          <w:szCs w:val="14"/>
          <w:color w:val="auto"/>
        </w:rPr>
        <w:t>protect and secure personal and financial data.</w:t>
      </w:r>
    </w:p>
    <w:p>
      <w:pPr>
        <w:spacing w:after="0" w:line="168" w:lineRule="exact"/>
        <w:rPr>
          <w:sz w:val="20"/>
          <w:szCs w:val="20"/>
          <w:color w:val="auto"/>
        </w:rPr>
      </w:pPr>
    </w:p>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Euronet is a leading electronic payments provider. We operate worldwide with customers in 200 countries, employees in 56 countries and offices in 43 countries. Our products consume very few natural resources or fossil fuels, nor do they produce environmentally impacting waste byproducts. We do not manufacture products, nor do we import materials. We do not support child or slave labor. Our business is managed under the direction of our Board of Directors with the goal of creating stockholder value through the development and distribution of secure financial payment products around the world and through the establishment of a culture of strong business ethics, diversity, financial transparency and compliance with laws and regulations. More details and discussion of our practices and initiatives related to our commitment to the specific Environmental Social and Governance matters are provided in the following and on our website.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w:t>
      </w:r>
    </w:p>
    <w:p>
      <w:pPr>
        <w:spacing w:after="0" w:line="187"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As a provider of financial technology solutions and payments, we recognize the limited environmental impact of our business and operations. Nevertheless, we remain steadfast in our commitment to minimizing our ecological footprint through an Energy Transition Plan. We strive to leverage the latest technological and operational efficiencies to reduce our energy consumption and greenhouse gas emissions. The Company aims for continued development and growth of digital transactions to improve efficiency, enhance the customer experience, drive growth, and eliminate unnecessary travel. Even though we are a company that produces very little environmental impact, we are nevertheless committed to assessing our ecological footprint.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Understanding Our Environmental Impact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Scope 1, 2, &amp; 3 Analysis</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Our dedication to environmental sustainability spans the whole value chain and begins with controlling the effects of our own operations. This entails cutting waste, lowering greenhouse gas (GHG) emissions overall, and cooperating with our suppliers to cut their emissions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98425</wp:posOffset>
            </wp:positionV>
            <wp:extent cx="7173595" cy="2818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3595" cy="281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80" w:firstLine="367"/>
        <w:spacing w:after="0" w:line="298" w:lineRule="auto"/>
        <w:rPr>
          <w:sz w:val="20"/>
          <w:szCs w:val="20"/>
          <w:color w:val="auto"/>
        </w:rPr>
      </w:pPr>
      <w:r>
        <w:rPr>
          <w:rFonts w:ascii="Times New Roman" w:cs="Times New Roman" w:eastAsia="Times New Roman" w:hAnsi="Times New Roman"/>
          <w:sz w:val="14"/>
          <w:szCs w:val="14"/>
          <w:color w:val="auto"/>
        </w:rPr>
        <w:t>According to the Greenhouse Gas Protocol current direct and indirect greenhouse gas emissions, normalized by revenue, provide an indicator for the climate efficiency of a company. Our emission intensity (scope 1 and scope 2 per million dollars 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590" w:right="319" w:bottom="1440" w:gutter="0" w:footer="0" w:header="0"/>
        </w:sectPr>
      </w:pPr>
    </w:p>
    <w:bookmarkStart w:id="9" w:name="page10"/>
    <w:bookmarkEnd w:id="9"/>
    <w:p>
      <w:pPr>
        <w:ind w:right="300" w:firstLine="36"/>
        <w:spacing w:after="0" w:line="298" w:lineRule="auto"/>
        <w:rPr>
          <w:sz w:val="20"/>
          <w:szCs w:val="20"/>
          <w:color w:val="auto"/>
        </w:rPr>
      </w:pPr>
      <w:r>
        <w:rPr>
          <w:rFonts w:ascii="Times New Roman" w:cs="Times New Roman" w:eastAsia="Times New Roman" w:hAnsi="Times New Roman"/>
          <w:sz w:val="14"/>
          <w:szCs w:val="14"/>
          <w:color w:val="auto"/>
        </w:rPr>
        <w:t>revenue) was 12.31 for 2022 and 11.82 for 2023. The emission intensity for 2023 decreased 4% compared to 2022. Our Scope 2 emissions are calculated on a location based assumption. The decrease of emission intensity per million dollars of revenue is mainly due to an increase of transactions across all of our segments over the same technological infrastructure.</w:t>
      </w:r>
    </w:p>
    <w:p>
      <w:pPr>
        <w:spacing w:after="0" w:line="119" w:lineRule="exact"/>
        <w:rPr>
          <w:sz w:val="20"/>
          <w:szCs w:val="20"/>
          <w:color w:val="auto"/>
        </w:rPr>
      </w:pPr>
    </w:p>
    <w:p>
      <w:pPr>
        <w:ind w:right="40" w:firstLine="331"/>
        <w:spacing w:after="0" w:line="271" w:lineRule="auto"/>
        <w:rPr>
          <w:sz w:val="20"/>
          <w:szCs w:val="20"/>
          <w:color w:val="auto"/>
        </w:rPr>
      </w:pPr>
      <w:r>
        <w:rPr>
          <w:rFonts w:ascii="Times New Roman" w:cs="Times New Roman" w:eastAsia="Times New Roman" w:hAnsi="Times New Roman"/>
          <w:sz w:val="14"/>
          <w:szCs w:val="14"/>
          <w:color w:val="auto"/>
        </w:rPr>
        <w:t>We believe these figures are an accurate representation of the Company. We prepared these results based on a spend-based and activity-based carbon footprint platform. The outcomes of our examination of the hazards associated with climate change are now being used and incorporated into our business procedures via our Energy Transition Plan. We place a high priority on communicating our climate risk strategy and progress on a frequent basis because we think that being open and honest about our experiences and climate mitigation developments will benefit our clients and the industry as a whole.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Green Accommodations &amp; Environmental Responsibility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Energy Efficiency</w:t>
      </w:r>
    </w:p>
    <w:p>
      <w:pPr>
        <w:spacing w:after="0" w:line="122"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Our most significant energy use relates to data centers. We have continually decreased our energy use through a variety of saving strategies. Our strategies include the use of virtual servers, solar chargers and designing our technology to operate in environments which eliminate the need for back-up data centers.</w:t>
      </w:r>
    </w:p>
    <w:p>
      <w:pPr>
        <w:spacing w:after="0" w:line="119" w:lineRule="exact"/>
        <w:rPr>
          <w:sz w:val="20"/>
          <w:szCs w:val="20"/>
          <w:color w:val="auto"/>
        </w:rPr>
      </w:pPr>
    </w:p>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Our commitment to sustainability extends beyond digital means, as we actively seek to reduce waste by purchasing recycled products and offering recycling systems to employees for paper, plastic, aluminum, glass, and other materials when available. Moreover, we have implemented innovative technologies, such as motion and light sensors, and climate controls, to decrease electricity consumption in unoccupied areas of our facilities. We aim to integrate low or renewable energy devices, such as LED light bulbs, wherever possible, furthering our commitment to a sustainable future. We are adding provisions to new lease contracts that we prefer renewable energy, energy efficient HVAC systems and air purifications systems. We understand the role that clean and green buildings play in long term environmental responsibility and overall company sustainability.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Clean Water Management</w:t>
      </w:r>
    </w:p>
    <w:p>
      <w:pPr>
        <w:spacing w:after="0" w:line="133"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We are committed to providing the essential right to access clean water and sanitation at all global locations. We are mindful of water availability and quality consumption in other areas of the world. We have made changes that promote less water usage in restrooms with sensor faucets and water efficient toilets. Water usage is not material to us as most of our products and services do not require a large amount of water.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Company Awareness</w:t>
      </w:r>
    </w:p>
    <w:p>
      <w:pPr>
        <w:spacing w:after="0" w:line="122"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Since we are a global company and some travel is inevitable, we prioritize the use of technology, such as video and teleconferencing, to reduce the need for travel, both for internal and customer meetings. We aim to provide our employees with the most efficient ways to travel. We analyze travel data and audit our travel internally to make sure we are doing the most when it comes to environmental responsibility.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Software Solutions</w:t>
      </w:r>
    </w:p>
    <w:p>
      <w:pPr>
        <w:spacing w:after="0" w:line="133"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We design software systems that rely on lower hardware and energy requirements to perform than previous generations. We design our software and data centers to leverage existing centers for business continuity rather than erecting rarely used host sites. Optimized networks are used to efficiently utilize hardware and power components.</w:t>
      </w:r>
    </w:p>
    <w:p>
      <w:pPr>
        <w:spacing w:after="0" w:line="119"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The fundamentals of our business are initially focused on providing a way for financial payments to be accessed by all, including access to cash through ATMs. As ATMs have changed over the years so have we. We have deployed ATMs that have the capability for customers' and merchants' deposits to fill ATMs with cash. This reduces travel to bank branches and reduces cash fill transportation. We have also streamlined the processing of cardless transactions to eliminate waste. Along with streamlining ATM procedures, we have reduced the use of paper across all our businesses by providing the consumer choice for digital delivery of a receipt.</w:t>
      </w:r>
    </w:p>
    <w:p>
      <w:pPr>
        <w:spacing w:after="0" w:line="137"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Across all segments, we promote the utilization of websites and mobile apps for remittance transactions, while maintaining the ongoing environmental advantages of paperless transactions. Unlike traditional retail-based methods, which generate waste through manual paperwork and fuel use during in-person visits to physical sites, digital transactions require far less energy consumption. By eliminating the need for brick-and-mortar sites to be established, this also reduces the requirement for in-person visits, which saves more resources that would otherwise be needed to maintain operating stores.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color w:val="auto"/>
        </w:rPr>
        <w:t>Waste Reduction</w:t>
      </w:r>
    </w:p>
    <w:p>
      <w:pPr>
        <w:spacing w:after="0" w:line="133"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We make efforts to eliminate all types of waste in our business practices. We have options for zero waste alternatives in most of our office buildings. We divert waste through recycling, drink refill stations and donations. We pride ourselves in responsible life cycle management of all our electronics and software-related products as well.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Reforestation Initiative</w:t>
      </w:r>
    </w:p>
    <w:p>
      <w:pPr>
        <w:spacing w:after="0" w:line="133" w:lineRule="exact"/>
        <w:rPr>
          <w:sz w:val="20"/>
          <w:szCs w:val="20"/>
          <w:color w:val="auto"/>
        </w:rPr>
      </w:pPr>
    </w:p>
    <w:p>
      <w:pPr>
        <w:jc w:val="both"/>
        <w:ind w:firstLine="259"/>
        <w:spacing w:after="0" w:line="271" w:lineRule="auto"/>
        <w:rPr>
          <w:sz w:val="20"/>
          <w:szCs w:val="20"/>
          <w:color w:val="auto"/>
        </w:rPr>
      </w:pPr>
      <w:r>
        <w:rPr>
          <w:rFonts w:ascii="Times New Roman" w:cs="Times New Roman" w:eastAsia="Times New Roman" w:hAnsi="Times New Roman"/>
          <w:sz w:val="14"/>
          <w:szCs w:val="14"/>
          <w:color w:val="auto"/>
        </w:rPr>
        <w:t>We currently are participating in reforestation initiatives in Spain and we plan to expand our participation in similar initiatives in other European countries. In 2023, we supported and actively took part in an event that led to the successful planting of more than 1,000 trees in Poland. For this activity, we worked with Fundacja Aeris Futuro. The event consisted of a training session followed by the planting of trees. The objective was the creation of complete forest ecosystems, using new technology (Big Data, smart seeds, drones) and traditional manual planting methods, to reverse the damage done by wildfires. The loss of forests contributes significantly to greenhouse gas (GHG) emissions.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main benefits from our participation in reforestation initiatives include:</w:t>
      </w:r>
    </w:p>
    <w:p>
      <w:pPr>
        <w:spacing w:after="0" w:line="131" w:lineRule="exact"/>
        <w:rPr>
          <w:sz w:val="20"/>
          <w:szCs w:val="20"/>
          <w:color w:val="auto"/>
        </w:rPr>
      </w:pPr>
    </w:p>
    <w:p>
      <w:pPr>
        <w:ind w:left="660" w:hanging="323"/>
        <w:spacing w:after="0"/>
        <w:tabs>
          <w:tab w:leader="none" w:pos="66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4"/>
          <w:szCs w:val="14"/>
          <w:color w:val="auto"/>
        </w:rPr>
        <w:t>Reduced environmental impact.</w:t>
      </w:r>
    </w:p>
    <w:p>
      <w:pPr>
        <w:spacing w:after="0" w:line="28" w:lineRule="exact"/>
        <w:rPr>
          <w:rFonts w:ascii="Arial" w:cs="Arial" w:eastAsia="Arial" w:hAnsi="Arial"/>
          <w:sz w:val="14"/>
          <w:szCs w:val="14"/>
          <w:color w:val="auto"/>
        </w:rPr>
      </w:pPr>
    </w:p>
    <w:p>
      <w:pPr>
        <w:ind w:left="660" w:hanging="323"/>
        <w:spacing w:after="0"/>
        <w:tabs>
          <w:tab w:leader="none" w:pos="66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4"/>
          <w:szCs w:val="14"/>
          <w:color w:val="auto"/>
        </w:rPr>
        <w:t>Regenerated area of high ecological value.</w:t>
      </w:r>
    </w:p>
    <w:p>
      <w:pPr>
        <w:spacing w:after="0" w:line="21" w:lineRule="exact"/>
        <w:rPr>
          <w:rFonts w:ascii="Arial" w:cs="Arial" w:eastAsia="Arial" w:hAnsi="Arial"/>
          <w:sz w:val="14"/>
          <w:szCs w:val="14"/>
          <w:color w:val="auto"/>
        </w:rPr>
      </w:pPr>
    </w:p>
    <w:p>
      <w:pPr>
        <w:ind w:left="660" w:hanging="323"/>
        <w:spacing w:after="0"/>
        <w:tabs>
          <w:tab w:leader="none" w:pos="66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4"/>
          <w:szCs w:val="14"/>
          <w:color w:val="auto"/>
        </w:rPr>
        <w:t>Creation of local jobs in rural areas.</w:t>
      </w:r>
    </w:p>
    <w:p>
      <w:pPr>
        <w:spacing w:after="0" w:line="21" w:lineRule="exact"/>
        <w:rPr>
          <w:rFonts w:ascii="Arial" w:cs="Arial" w:eastAsia="Arial" w:hAnsi="Arial"/>
          <w:sz w:val="14"/>
          <w:szCs w:val="14"/>
          <w:color w:val="auto"/>
        </w:rPr>
      </w:pPr>
    </w:p>
    <w:p>
      <w:pPr>
        <w:ind w:left="660" w:hanging="323"/>
        <w:spacing w:after="0"/>
        <w:tabs>
          <w:tab w:leader="none" w:pos="66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4"/>
          <w:szCs w:val="14"/>
          <w:color w:val="auto"/>
        </w:rPr>
        <w:t>Boosted economy and area development.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Environmental Resilience and Opportunities</w:t>
      </w:r>
    </w:p>
    <w:p>
      <w:pPr>
        <w:spacing w:after="0" w:line="122"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The Board of Directors oversees our ESG strategy, including climate change, financial and operational risks and opportunities linked to the business strategy. This assessment and administration of climate-related objectives, projects, problems, and risk management are shared duties by all employees. Our environmental strategies are centered around mitigating climate risks and opportunities that we foresee in our daily operations.</w:t>
      </w:r>
    </w:p>
    <w:p>
      <w:pPr>
        <w:spacing w:after="0" w:line="112"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We look for ways to support and influence change with our customers and communities as part of our approach to climate and carbon neutrality. This includes anticipating and acting upon climate-related risks and opportunities. We recognize the historical and architectural legacy of cities and work to integrate our ATMs into their surroundings, while servicing the cash access needs of consumers. By creating goods and services that blend in with our customers' local cultures and heritage, we can promote community involvement through the mutual respect that is necessary.</w:t>
      </w:r>
    </w:p>
    <w:p>
      <w:pPr>
        <w:spacing w:after="0" w:line="69" w:lineRule="exact"/>
        <w:rPr>
          <w:sz w:val="20"/>
          <w:szCs w:val="20"/>
          <w:color w:val="auto"/>
        </w:rPr>
      </w:pPr>
    </w:p>
    <w:p>
      <w:pPr>
        <w:ind w:right="260" w:firstLine="331"/>
        <w:spacing w:after="0" w:line="298" w:lineRule="auto"/>
        <w:rPr>
          <w:sz w:val="20"/>
          <w:szCs w:val="20"/>
          <w:color w:val="auto"/>
        </w:rPr>
      </w:pPr>
      <w:r>
        <w:rPr>
          <w:rFonts w:ascii="Times New Roman" w:cs="Times New Roman" w:eastAsia="Times New Roman" w:hAnsi="Times New Roman"/>
          <w:sz w:val="14"/>
          <w:szCs w:val="14"/>
          <w:color w:val="auto"/>
        </w:rPr>
        <w:t>We will continue to keep an eye out for and evaluate climate-related risks and opportunities, and we will incorporate the judgments we make into our operational execution and company strategy.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Social Responsibility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Values</w:t>
      </w:r>
    </w:p>
    <w:p>
      <w:pPr>
        <w:spacing w:after="0" w:line="100"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We believe a great company can only be built on a solid ethical foundation. We want to lead in business, but we are unwilling to compromise our commitment to our values. Our values are rooted in humility, as we leave our egos at the door. We hold high expectations and never settle for less than the best. Reliability is crucial to us, as we work hard and meet deadlines. We approach challenges with optimism and achieve what others think cannot be done. Empowerment is key to our success, as we take the initiative and boldly pursue our goals. We strive to be competitive in all aspects of our endeavors.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Employees</w:t>
      </w:r>
    </w:p>
    <w:p>
      <w:pPr>
        <w:spacing w:after="0" w:line="122"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Our employees represent a considerable number of ethnicities and are nearly evenly split between men and women. We value diversity and make thousands of jobs available to people in lesser developed economies that might not otherwise have employment opportunities. Moreover, because we are dependent on a technologically literate workforce, our average employee compensation exceeds the average compensation within the countries where we do business, based on the World Bank’s global per capita income data. In short, our presence contributes to an increase in the overall country average income per person and as a result their lively hoods.</w:t>
      </w:r>
    </w:p>
    <w:p>
      <w:pPr>
        <w:spacing w:after="0" w:line="137" w:lineRule="exact"/>
        <w:rPr>
          <w:sz w:val="20"/>
          <w:szCs w:val="20"/>
          <w:color w:val="auto"/>
        </w:rPr>
      </w:pPr>
    </w:p>
    <w:p>
      <w:pPr>
        <w:jc w:val="both"/>
        <w:ind w:firstLine="331"/>
        <w:spacing w:after="0" w:line="268" w:lineRule="auto"/>
        <w:rPr>
          <w:sz w:val="20"/>
          <w:szCs w:val="20"/>
          <w:color w:val="auto"/>
        </w:rPr>
      </w:pPr>
      <w:r>
        <w:rPr>
          <w:rFonts w:ascii="Times New Roman" w:cs="Times New Roman" w:eastAsia="Times New Roman" w:hAnsi="Times New Roman"/>
          <w:sz w:val="14"/>
          <w:szCs w:val="14"/>
          <w:color w:val="auto"/>
        </w:rPr>
        <w:t>We strive to establish and uphold a discrimination and harassment-free diverse workplace, reflected in our employment of local employees across 57 global markets, with 82% of our approximately 10,000 employees located outside the US and 46% of our workforce being female. Almost one-third of our top four levels of management are female (29%) and almost 36% of all our levels of management are female.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36" w:right="319" w:bottom="1440" w:gutter="0" w:footer="0" w:header="0"/>
        </w:sectPr>
      </w:pPr>
    </w:p>
    <w:bookmarkStart w:id="11" w:name="page12"/>
    <w:bookmarkEnd w:id="11"/>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We offer our employees generally stable, long-term employment whenever and wherever possible. In certain countries, we engage a limited number of contract employees, primarily due to the project-centric nature of our business, necessitating specific external disciplines. It is noteworthy that we maintain only a small number of temporary workers (less than 1% of our workforce), emphasizing our commitment to fostering stable employment relationships. In our recent history, we have upheld a consistent record of stability, having never implemented widespread redundancy programs. Additionally, we are dedicated to empowering our employees through career development and training opportunities. Our Educational Assistance Program further exemplifies this commitment, as we offer to reimburse the tuition fees for external courses, reinforcing our support for continuous learning and advancement.</w:t>
      </w:r>
    </w:p>
    <w:p>
      <w:pPr>
        <w:spacing w:after="0" w:line="141"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Our commitment to employee engagement extends to active participation in our management decision-making processes through avenues such as town halls and stock ownership programs, including the Employee Stock Purchase Plan (ESPP). Given the nature of our business and the professionalism of our workforce, we generally operate in a non-unionized capacity, with employment terms individually negotiated with each employee, rather than through a collectively agreed-upon contract.</w:t>
      </w:r>
    </w:p>
    <w:p>
      <w:pPr>
        <w:spacing w:after="0" w:line="134" w:lineRule="exact"/>
        <w:rPr>
          <w:sz w:val="20"/>
          <w:szCs w:val="20"/>
          <w:color w:val="auto"/>
        </w:rPr>
      </w:pPr>
    </w:p>
    <w:p>
      <w:pPr>
        <w:ind w:right="60" w:firstLine="331"/>
        <w:spacing w:after="0" w:line="277" w:lineRule="auto"/>
        <w:rPr>
          <w:sz w:val="20"/>
          <w:szCs w:val="20"/>
          <w:color w:val="auto"/>
        </w:rPr>
      </w:pPr>
      <w:r>
        <w:rPr>
          <w:rFonts w:ascii="Times New Roman" w:cs="Times New Roman" w:eastAsia="Times New Roman" w:hAnsi="Times New Roman"/>
          <w:sz w:val="14"/>
          <w:szCs w:val="14"/>
          <w:color w:val="auto"/>
        </w:rPr>
        <w:t>We promote optimal health and safety for our employees. In certain parts of our business we have hybrid in-office and work from home model in place, depending on the market and business needs. We strive to operate in compliance with all local laws and regulations related to workplace safety. We are not aware of any accidents that happened in the workplace in 2021, 2022 or 2023. We have not received any fines or penalties for breaching labor laws.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workforce in our 20 largest countries (by number of employees) can be summarized as follows: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1480" w:type="dxa"/>
            <w:vAlign w:val="bottom"/>
            <w:tcBorders>
              <w:top w:val="single" w:sz="8" w:color="auto"/>
              <w:left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Women as a %</w:t>
            </w:r>
          </w:p>
        </w:tc>
        <w:tc>
          <w:tcPr>
            <w:tcW w:w="1440" w:type="dxa"/>
            <w:vAlign w:val="bottom"/>
            <w:tcBorders>
              <w:top w:val="single" w:sz="8" w:color="auto"/>
              <w:right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Average Salary</w:t>
            </w:r>
          </w:p>
        </w:tc>
        <w:tc>
          <w:tcPr>
            <w:tcW w:w="1440" w:type="dxa"/>
            <w:vAlign w:val="bottom"/>
            <w:tcBorders>
              <w:top w:val="single" w:sz="8" w:color="auto"/>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Cost of living</w:t>
            </w:r>
          </w:p>
        </w:tc>
        <w:tc>
          <w:tcPr>
            <w:tcW w:w="1460" w:type="dxa"/>
            <w:vAlign w:val="bottom"/>
            <w:tcBorders>
              <w:top w:val="single" w:sz="8" w:color="auto"/>
              <w:right w:val="single" w:sz="8" w:color="auto"/>
            </w:tcBorders>
          </w:tcPr>
          <w:p>
            <w:pPr>
              <w:jc w:val="right"/>
              <w:ind w:right="228"/>
              <w:spacing w:after="0" w:line="145" w:lineRule="exact"/>
              <w:rPr>
                <w:sz w:val="20"/>
                <w:szCs w:val="20"/>
                <w:color w:val="auto"/>
              </w:rPr>
            </w:pPr>
            <w:r>
              <w:rPr>
                <w:rFonts w:ascii="Times New Roman" w:cs="Times New Roman" w:eastAsia="Times New Roman" w:hAnsi="Times New Roman"/>
                <w:sz w:val="14"/>
                <w:szCs w:val="14"/>
                <w:b w:val="1"/>
                <w:bCs w:val="1"/>
                <w:color w:val="auto"/>
              </w:rPr>
              <w:t>Average Salary</w:t>
            </w:r>
          </w:p>
        </w:tc>
        <w:tc>
          <w:tcPr>
            <w:tcW w:w="0" w:type="dxa"/>
            <w:vAlign w:val="bottom"/>
          </w:tcPr>
          <w:p>
            <w:pPr>
              <w:spacing w:after="0"/>
              <w:rPr>
                <w:sz w:val="1"/>
                <w:szCs w:val="1"/>
                <w:color w:val="auto"/>
              </w:rPr>
            </w:pPr>
          </w:p>
        </w:tc>
      </w:tr>
      <w:tr>
        <w:trPr>
          <w:trHeight w:val="76"/>
        </w:trPr>
        <w:tc>
          <w:tcPr>
            <w:tcW w:w="1480" w:type="dxa"/>
            <w:vAlign w:val="bottom"/>
            <w:tcBorders>
              <w:left w:val="single" w:sz="8" w:color="auto"/>
              <w:right w:val="single" w:sz="8" w:color="auto"/>
            </w:tcBorders>
            <w:vMerge w:val="restart"/>
          </w:tcPr>
          <w:p>
            <w:pPr>
              <w:ind w:left="440"/>
              <w:spacing w:after="0" w:line="151" w:lineRule="exact"/>
              <w:rPr>
                <w:sz w:val="20"/>
                <w:szCs w:val="20"/>
                <w:color w:val="auto"/>
              </w:rPr>
            </w:pPr>
            <w:r>
              <w:rPr>
                <w:rFonts w:ascii="Times New Roman" w:cs="Times New Roman" w:eastAsia="Times New Roman" w:hAnsi="Times New Roman"/>
                <w:sz w:val="14"/>
                <w:szCs w:val="14"/>
                <w:b w:val="1"/>
                <w:bCs w:val="1"/>
                <w:color w:val="auto"/>
              </w:rPr>
              <w:t>Countries</w:t>
            </w:r>
          </w:p>
        </w:tc>
        <w:tc>
          <w:tcPr>
            <w:tcW w:w="1440" w:type="dxa"/>
            <w:vAlign w:val="bottom"/>
            <w:tcBorders>
              <w:right w:val="single" w:sz="8" w:color="auto"/>
            </w:tcBorders>
            <w:vMerge w:val="restart"/>
          </w:tcPr>
          <w:p>
            <w:pPr>
              <w:jc w:val="right"/>
              <w:ind w:right="328"/>
              <w:spacing w:after="0" w:line="151" w:lineRule="exact"/>
              <w:rPr>
                <w:sz w:val="20"/>
                <w:szCs w:val="20"/>
                <w:color w:val="auto"/>
              </w:rPr>
            </w:pPr>
            <w:r>
              <w:rPr>
                <w:rFonts w:ascii="Times New Roman" w:cs="Times New Roman" w:eastAsia="Times New Roman" w:hAnsi="Times New Roman"/>
                <w:sz w:val="14"/>
                <w:szCs w:val="14"/>
                <w:b w:val="1"/>
                <w:bCs w:val="1"/>
                <w:color w:val="auto"/>
              </w:rPr>
              <w:t>Employees</w:t>
            </w:r>
          </w:p>
        </w:tc>
        <w:tc>
          <w:tcPr>
            <w:tcW w:w="1440" w:type="dxa"/>
            <w:vAlign w:val="bottom"/>
            <w:tcBorders>
              <w:right w:val="single" w:sz="8" w:color="auto"/>
            </w:tcBorders>
            <w:vMerge w:val="restart"/>
          </w:tcPr>
          <w:p>
            <w:pPr>
              <w:jc w:val="right"/>
              <w:ind w:right="428"/>
              <w:spacing w:after="0" w:line="151" w:lineRule="exact"/>
              <w:rPr>
                <w:sz w:val="20"/>
                <w:szCs w:val="20"/>
                <w:color w:val="auto"/>
              </w:rPr>
            </w:pPr>
            <w:r>
              <w:rPr>
                <w:rFonts w:ascii="Times New Roman" w:cs="Times New Roman" w:eastAsia="Times New Roman" w:hAnsi="Times New Roman"/>
                <w:sz w:val="14"/>
                <w:szCs w:val="14"/>
                <w:b w:val="1"/>
                <w:bCs w:val="1"/>
                <w:color w:val="auto"/>
              </w:rPr>
              <w:t>Women</w:t>
            </w:r>
          </w:p>
        </w:tc>
        <w:tc>
          <w:tcPr>
            <w:tcW w:w="1460" w:type="dxa"/>
            <w:vAlign w:val="bottom"/>
            <w:tcBorders>
              <w:right w:val="single" w:sz="8" w:color="auto"/>
            </w:tcBorders>
            <w:vMerge w:val="continue"/>
          </w:tcPr>
          <w:p>
            <w:pPr>
              <w:spacing w:after="0"/>
              <w:rPr>
                <w:sz w:val="6"/>
                <w:szCs w:val="6"/>
                <w:color w:val="auto"/>
              </w:rPr>
            </w:pPr>
          </w:p>
        </w:tc>
        <w:tc>
          <w:tcPr>
            <w:tcW w:w="1440" w:type="dxa"/>
            <w:vAlign w:val="bottom"/>
            <w:tcBorders>
              <w:right w:val="single" w:sz="8" w:color="auto"/>
            </w:tcBorders>
            <w:vMerge w:val="continue"/>
          </w:tcPr>
          <w:p>
            <w:pPr>
              <w:spacing w:after="0"/>
              <w:rPr>
                <w:sz w:val="6"/>
                <w:szCs w:val="6"/>
                <w:color w:val="auto"/>
              </w:rPr>
            </w:pPr>
          </w:p>
        </w:tc>
        <w:tc>
          <w:tcPr>
            <w:tcW w:w="144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restart"/>
          </w:tcPr>
          <w:p>
            <w:pPr>
              <w:jc w:val="right"/>
              <w:ind w:right="248"/>
              <w:spacing w:after="0" w:line="151" w:lineRule="exact"/>
              <w:rPr>
                <w:sz w:val="20"/>
                <w:szCs w:val="20"/>
                <w:color w:val="auto"/>
              </w:rPr>
            </w:pPr>
            <w:r>
              <w:rPr>
                <w:rFonts w:ascii="Times New Roman" w:cs="Times New Roman" w:eastAsia="Times New Roman" w:hAnsi="Times New Roman"/>
                <w:sz w:val="14"/>
                <w:szCs w:val="14"/>
                <w:b w:val="1"/>
                <w:bCs w:val="1"/>
                <w:color w:val="auto"/>
              </w:rPr>
              <w:t>norm adjusted</w:t>
            </w:r>
          </w:p>
        </w:tc>
        <w:tc>
          <w:tcPr>
            <w:tcW w:w="0" w:type="dxa"/>
            <w:vAlign w:val="bottom"/>
          </w:tcPr>
          <w:p>
            <w:pPr>
              <w:spacing w:after="0"/>
              <w:rPr>
                <w:sz w:val="1"/>
                <w:szCs w:val="1"/>
                <w:color w:val="auto"/>
              </w:rPr>
            </w:pPr>
          </w:p>
        </w:tc>
      </w:tr>
      <w:tr>
        <w:trPr>
          <w:trHeight w:val="76"/>
        </w:trPr>
        <w:tc>
          <w:tcPr>
            <w:tcW w:w="1480" w:type="dxa"/>
            <w:vAlign w:val="bottom"/>
            <w:tcBorders>
              <w:left w:val="single" w:sz="8" w:color="auto"/>
              <w:right w:val="single" w:sz="8" w:color="auto"/>
            </w:tcBorders>
            <w:vMerge w:val="continue"/>
          </w:tcPr>
          <w:p>
            <w:pPr>
              <w:spacing w:after="0"/>
              <w:rPr>
                <w:sz w:val="6"/>
                <w:szCs w:val="6"/>
                <w:color w:val="auto"/>
              </w:rPr>
            </w:pPr>
          </w:p>
        </w:tc>
        <w:tc>
          <w:tcPr>
            <w:tcW w:w="1440" w:type="dxa"/>
            <w:vAlign w:val="bottom"/>
            <w:tcBorders>
              <w:right w:val="single" w:sz="8" w:color="auto"/>
            </w:tcBorders>
            <w:vMerge w:val="continue"/>
          </w:tcPr>
          <w:p>
            <w:pPr>
              <w:spacing w:after="0"/>
              <w:rPr>
                <w:sz w:val="6"/>
                <w:szCs w:val="6"/>
                <w:color w:val="auto"/>
              </w:rPr>
            </w:pPr>
          </w:p>
        </w:tc>
        <w:tc>
          <w:tcPr>
            <w:tcW w:w="144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of employees</w:t>
            </w:r>
          </w:p>
        </w:tc>
        <w:tc>
          <w:tcPr>
            <w:tcW w:w="1440" w:type="dxa"/>
            <w:vAlign w:val="bottom"/>
            <w:tcBorders>
              <w:right w:val="single" w:sz="8" w:color="auto"/>
            </w:tcBorders>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(000s)</w:t>
            </w:r>
          </w:p>
        </w:tc>
        <w:tc>
          <w:tcPr>
            <w:tcW w:w="1440" w:type="dxa"/>
            <w:vAlign w:val="bottom"/>
            <w:tcBorders>
              <w:right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index (CLI)**</w:t>
            </w:r>
          </w:p>
        </w:tc>
        <w:tc>
          <w:tcPr>
            <w:tcW w:w="14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480" w:type="dxa"/>
            <w:vAlign w:val="bottom"/>
            <w:tcBorders>
              <w:left w:val="single" w:sz="8" w:color="auto"/>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for CLI</w:t>
            </w:r>
          </w:p>
        </w:tc>
        <w:tc>
          <w:tcPr>
            <w:tcW w:w="0" w:type="dxa"/>
            <w:vAlign w:val="bottom"/>
          </w:tcPr>
          <w:p>
            <w:pPr>
              <w:spacing w:after="0"/>
              <w:rPr>
                <w:sz w:val="1"/>
                <w:szCs w:val="1"/>
                <w:color w:val="auto"/>
              </w:rPr>
            </w:pPr>
          </w:p>
        </w:tc>
      </w:tr>
      <w:tr>
        <w:trPr>
          <w:trHeight w:val="75"/>
        </w:trPr>
        <w:tc>
          <w:tcPr>
            <w:tcW w:w="1480" w:type="dxa"/>
            <w:vAlign w:val="bottom"/>
            <w:tcBorders>
              <w:left w:val="single" w:sz="8" w:color="auto"/>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United States</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1,746</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1,088</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62</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115</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72</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India*</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977</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179</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18</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16</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22</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Spain</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819</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393</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48</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89</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51</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El Salvador</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771</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334</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43</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17</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43</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Germany</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738</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338</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46</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79</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63</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Malaysia</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519</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333</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64</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15</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35</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United Kingdom</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449</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193</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43</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51</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62</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Mexico</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419</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171</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41</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25</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37</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Greece</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283</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107</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38</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68</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55</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Poland</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276</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128</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46</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53</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39</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Hungary</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234</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116</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50</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57</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39</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Serbia</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229</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64</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28</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41</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37</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Italy</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202</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98</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49</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78</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61</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France</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197</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77</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39</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87</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69</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Philippines</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179</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91</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51</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19</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34</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Chile</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168</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100</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60</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23</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44</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Pakistan*</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151</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25</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17</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12</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18</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Canada</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145</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68</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47</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65</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66</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New Zealand</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134</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48</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36</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66</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73</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Times New Roman" w:cs="Times New Roman" w:eastAsia="Times New Roman" w:hAnsi="Times New Roman"/>
                <w:sz w:val="14"/>
                <w:szCs w:val="14"/>
                <w:color w:val="auto"/>
              </w:rPr>
              <w:t>Australia</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123</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48</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39</w:t>
            </w:r>
          </w:p>
        </w:tc>
        <w:tc>
          <w:tcPr>
            <w:tcW w:w="144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87</w:t>
            </w:r>
          </w:p>
        </w:tc>
        <w:tc>
          <w:tcPr>
            <w:tcW w:w="1440" w:type="dxa"/>
            <w:vAlign w:val="bottom"/>
            <w:tcBorders>
              <w:bottom w:val="single" w:sz="8" w:color="auto"/>
              <w:right w:val="single" w:sz="8" w:color="auto"/>
            </w:tcBorders>
          </w:tcPr>
          <w:p>
            <w:pPr>
              <w:jc w:val="right"/>
              <w:ind w:right="468"/>
              <w:spacing w:after="0" w:line="153" w:lineRule="exact"/>
              <w:rPr>
                <w:sz w:val="20"/>
                <w:szCs w:val="20"/>
                <w:color w:val="auto"/>
              </w:rPr>
            </w:pPr>
            <w:r>
              <w:rPr>
                <w:rFonts w:ascii="Times New Roman" w:cs="Times New Roman" w:eastAsia="Times New Roman" w:hAnsi="Times New Roman"/>
                <w:sz w:val="14"/>
                <w:szCs w:val="14"/>
                <w:color w:val="auto"/>
              </w:rPr>
              <w:t>75</w:t>
            </w:r>
          </w:p>
        </w:tc>
        <w:tc>
          <w:tcPr>
            <w:tcW w:w="1460" w:type="dxa"/>
            <w:vAlign w:val="bottom"/>
            <w:tcBorders>
              <w:bottom w:val="single" w:sz="8" w:color="auto"/>
              <w:right w:val="single" w:sz="8" w:color="auto"/>
            </w:tcBorders>
          </w:tcPr>
          <w:p>
            <w:pPr>
              <w:jc w:val="right"/>
              <w:ind w:right="488"/>
              <w:spacing w:after="0" w:line="153" w:lineRule="exact"/>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160" w:firstLine="6"/>
        <w:spacing w:after="0" w:line="298" w:lineRule="auto"/>
        <w:tabs>
          <w:tab w:leader="none" w:pos="10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countries like India and Pakistan the number of women on the labor market is significantly lower than countries in Europe and North America. Our split between men and women generally follows national trends.</w:t>
      </w:r>
    </w:p>
    <w:p>
      <w:pPr>
        <w:spacing w:after="0" w:line="86" w:lineRule="exact"/>
        <w:rPr>
          <w:rFonts w:ascii="Times New Roman" w:cs="Times New Roman" w:eastAsia="Times New Roman" w:hAnsi="Times New Roman"/>
          <w:sz w:val="14"/>
          <w:szCs w:val="14"/>
          <w:color w:val="auto"/>
        </w:rPr>
      </w:pPr>
    </w:p>
    <w:p>
      <w:pPr>
        <w:ind w:left="220" w:hanging="178"/>
        <w:spacing w:after="0"/>
        <w:tabs>
          <w:tab w:leader="none" w:pos="22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www.numbeo.com - cost of living ranking by country</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color w:val="auto"/>
        </w:rPr>
        <w:t>Community impact</w:t>
      </w:r>
    </w:p>
    <w:p>
      <w:pPr>
        <w:spacing w:after="0" w:line="18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We are committed to engaging with social issues within our communities. We have undertaken various initiatives and we are actively engaged in community events to create significant changes and champion positive impacts in the communities we serve. Our endeavors to make positive impact within our communities revolve around three key social issues: the well-being and safety of our communities, prompt responses to global conflicts and crises, and restoration of areas devastated by disasters through reforestation.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are illustrations of a few actions we are taking:</w:t>
      </w:r>
    </w:p>
    <w:p>
      <w:pPr>
        <w:spacing w:after="0" w:line="185" w:lineRule="exact"/>
        <w:rPr>
          <w:sz w:val="20"/>
          <w:szCs w:val="20"/>
          <w:color w:val="auto"/>
        </w:rPr>
      </w:pPr>
    </w:p>
    <w:p>
      <w:pPr>
        <w:ind w:right="100" w:firstLine="331"/>
        <w:spacing w:after="0" w:line="298" w:lineRule="auto"/>
        <w:rPr>
          <w:sz w:val="20"/>
          <w:szCs w:val="20"/>
          <w:color w:val="auto"/>
        </w:rPr>
      </w:pPr>
      <w:r>
        <w:rPr>
          <w:rFonts w:ascii="Times New Roman" w:cs="Times New Roman" w:eastAsia="Times New Roman" w:hAnsi="Times New Roman"/>
          <w:sz w:val="14"/>
          <w:szCs w:val="14"/>
          <w:color w:val="auto"/>
        </w:rPr>
        <w:t>Our financial products promote financial inclusion. We enable persons denied or without banking privileges to send money to support family. Our Money Transfer segment fosters financial literacy by offering bill payment services and providing access to cash for individuals who are unbanked and underbanked.</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We provide complementary ATM and money transfers to customers adversely impacted in demanding situations such as natural disasters, domestic crises, and wars.</w:t>
      </w:r>
    </w:p>
    <w:p>
      <w:pPr>
        <w:spacing w:after="0" w:line="185"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We give back to the communities where we operate through a “Day of Caring.” We allocate one full paid day for each employee to participate in a community involvement activity in their local community. We regularly participate in fundraising events for local charities and we provide funds to employees to direct to charities of their choice.</w:t>
      </w:r>
    </w:p>
    <w:p>
      <w:pPr>
        <w:spacing w:after="0" w:line="119" w:lineRule="exact"/>
        <w:rPr>
          <w:sz w:val="20"/>
          <w:szCs w:val="20"/>
          <w:color w:val="auto"/>
        </w:rPr>
      </w:pPr>
    </w:p>
    <w:p>
      <w:pPr>
        <w:ind w:right="60" w:firstLine="331"/>
        <w:spacing w:after="0" w:line="298" w:lineRule="auto"/>
        <w:rPr>
          <w:sz w:val="20"/>
          <w:szCs w:val="20"/>
          <w:color w:val="auto"/>
        </w:rPr>
      </w:pPr>
      <w:r>
        <w:rPr>
          <w:rFonts w:ascii="Times New Roman" w:cs="Times New Roman" w:eastAsia="Times New Roman" w:hAnsi="Times New Roman"/>
          <w:sz w:val="14"/>
          <w:szCs w:val="14"/>
          <w:color w:val="auto"/>
        </w:rPr>
        <w:t>We publish AMBER Alerts on ATMs across Europe to support local government missing-person search efforts. We established an "ATMs-in-the-Community" program in Europe to provide cash access to residents of rural areas that have been left without cash access as banks close branches.</w:t>
      </w:r>
    </w:p>
    <w:p>
      <w:pPr>
        <w:spacing w:after="0" w:line="119" w:lineRule="exact"/>
        <w:rPr>
          <w:sz w:val="20"/>
          <w:szCs w:val="20"/>
          <w:color w:val="auto"/>
        </w:rPr>
      </w:pPr>
    </w:p>
    <w:p>
      <w:pPr>
        <w:ind w:right="60" w:firstLine="331"/>
        <w:spacing w:after="0" w:line="298" w:lineRule="auto"/>
        <w:rPr>
          <w:sz w:val="20"/>
          <w:szCs w:val="20"/>
          <w:color w:val="auto"/>
        </w:rPr>
      </w:pPr>
      <w:r>
        <w:rPr>
          <w:rFonts w:ascii="Times New Roman" w:cs="Times New Roman" w:eastAsia="Times New Roman" w:hAnsi="Times New Roman"/>
          <w:sz w:val="14"/>
          <w:szCs w:val="14"/>
          <w:color w:val="auto"/>
        </w:rPr>
        <w:t>Through our partnership with “Save the Children International”, we made significant contribution towards ensuring children's access to high-quality, protective, and uninterrupted education, along with essential child protection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and services</w:t>
      </w:r>
    </w:p>
    <w:p>
      <w:pPr>
        <w:spacing w:after="0" w:line="187" w:lineRule="exact"/>
        <w:rPr>
          <w:sz w:val="20"/>
          <w:szCs w:val="20"/>
          <w:color w:val="auto"/>
        </w:rPr>
      </w:pPr>
    </w:p>
    <w:p>
      <w:pPr>
        <w:jc w:val="both"/>
        <w:ind w:firstLine="331"/>
        <w:spacing w:after="0" w:line="269" w:lineRule="auto"/>
        <w:rPr>
          <w:sz w:val="20"/>
          <w:szCs w:val="20"/>
          <w:color w:val="auto"/>
        </w:rPr>
      </w:pPr>
      <w:r>
        <w:rPr>
          <w:rFonts w:ascii="Times New Roman" w:cs="Times New Roman" w:eastAsia="Times New Roman" w:hAnsi="Times New Roman"/>
          <w:sz w:val="14"/>
          <w:szCs w:val="14"/>
          <w:color w:val="auto"/>
        </w:rPr>
        <w:t>Our mission is to build tomorrow’s financial technology today to enhance our global community and connect the world through financial participation and secure payment processing channels.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EFT</w:t>
      </w:r>
    </w:p>
    <w:p>
      <w:pPr>
        <w:spacing w:after="0" w:line="189" w:lineRule="exact"/>
        <w:rPr>
          <w:sz w:val="20"/>
          <w:szCs w:val="20"/>
          <w:color w:val="auto"/>
        </w:rPr>
      </w:pPr>
    </w:p>
    <w:p>
      <w:pPr>
        <w:jc w:val="both"/>
        <w:ind w:firstLine="331"/>
        <w:spacing w:after="0" w:line="258" w:lineRule="auto"/>
        <w:rPr>
          <w:sz w:val="20"/>
          <w:szCs w:val="20"/>
          <w:color w:val="auto"/>
        </w:rPr>
      </w:pPr>
      <w:r>
        <w:rPr>
          <w:rFonts w:ascii="Times New Roman" w:cs="Times New Roman" w:eastAsia="Times New Roman" w:hAnsi="Times New Roman"/>
          <w:sz w:val="14"/>
          <w:szCs w:val="14"/>
          <w:color w:val="auto"/>
        </w:rPr>
        <w:t>We deploy ATMs around the world to provide consumers with convenient, transparent access to cash. ATMs span a network of 47,303 ATMs, as of December 31, 2023, and approximately 656,000 POS terminals. Under the brand name “Ren” we have developed a payment platform to operate in the evolving digital payments landscape of real-time settlements and emerging forms of payment, including QR codes, PINs and biometrics. Ren primarily serves financial institutions, central banks and fintech companies. It is offered as an on-premises technology where these businesses install the platform in their own data centers or as a software as a service (SaaS) offering where development teams access it in our global data centers using APIs. Ren can be used as a payment hub or to deliver core banking functionality such as issuing, merchant acquiring, transaction switching, and ATM management. For real-time payments, Ren is used by central banks to process transactions and member banks use Ren to connect their legacy systems to real-time payment networks in their countries</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t>
      </w:r>
    </w:p>
    <w:p>
      <w:pPr>
        <w:spacing w:after="0" w:line="12" w:lineRule="exact"/>
        <w:rPr>
          <w:sz w:val="20"/>
          <w:szCs w:val="20"/>
          <w:color w:val="auto"/>
        </w:rPr>
      </w:pPr>
    </w:p>
    <w:p>
      <w:pPr>
        <w:jc w:val="both"/>
        <w:ind w:firstLine="331"/>
        <w:spacing w:after="0" w:line="263" w:lineRule="auto"/>
        <w:rPr>
          <w:sz w:val="20"/>
          <w:szCs w:val="20"/>
          <w:color w:val="auto"/>
        </w:rPr>
      </w:pPr>
      <w:r>
        <w:rPr>
          <w:rFonts w:ascii="Times New Roman" w:cs="Times New Roman" w:eastAsia="Times New Roman" w:hAnsi="Times New Roman"/>
          <w:sz w:val="14"/>
          <w:szCs w:val="14"/>
          <w:color w:val="auto"/>
        </w:rPr>
        <w:t>We are mindful and focused on ensuring the inclusive accessibility of our ATMs, POS terminals and other related products and services in today's rapidly advancing technological landscape. Ensuring accessibility remains a major focus, with the goal of granting all individuals the opportunity to benefit from and utilize our services, regardless of ability, geography, or economic circumstances. As part of our commitment to inclusivity and accessibility, we have incorporated a variety of features and design elements into our ATMs, which are compliant with the American with Disabilities Act (ADA) and European Accessibility Act (EAA) to ensure equal access to financial services worldwide.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68" w:right="319" w:bottom="1440" w:gutter="0" w:footer="0" w:header="0"/>
        </w:sectPr>
      </w:pPr>
    </w:p>
    <w:bookmarkStart w:id="13" w:name="page14"/>
    <w:bookmarkEnd w:id="13"/>
    <w:p>
      <w:pPr>
        <w:ind w:left="580" w:hanging="331"/>
        <w:spacing w:after="0"/>
        <w:tabs>
          <w:tab w:leader="none" w:pos="5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ATMs are equipped with audio guidance that assists users in navigating the screen and making selections. These instructions can be provided through headphones or built-in speakers.</w:t>
      </w:r>
    </w:p>
    <w:p>
      <w:pPr>
        <w:spacing w:after="0" w:line="33" w:lineRule="exact"/>
        <w:rPr>
          <w:rFonts w:ascii="Times New Roman" w:cs="Times New Roman" w:eastAsia="Times New Roman" w:hAnsi="Times New Roman"/>
          <w:sz w:val="14"/>
          <w:szCs w:val="14"/>
          <w:color w:val="auto"/>
        </w:rPr>
      </w:pPr>
    </w:p>
    <w:p>
      <w:pPr>
        <w:ind w:left="580" w:hanging="331"/>
        <w:spacing w:after="0"/>
        <w:tabs>
          <w:tab w:leader="none" w:pos="5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areas, buttons, and instructions on the ATM are labeled in Braille, enabling users who are blind or have visual impairments.</w:t>
      </w:r>
    </w:p>
    <w:p>
      <w:pPr>
        <w:spacing w:after="0" w:line="33" w:lineRule="exact"/>
        <w:rPr>
          <w:rFonts w:ascii="Times New Roman" w:cs="Times New Roman" w:eastAsia="Times New Roman" w:hAnsi="Times New Roman"/>
          <w:sz w:val="14"/>
          <w:szCs w:val="14"/>
          <w:color w:val="auto"/>
        </w:rPr>
      </w:pPr>
    </w:p>
    <w:p>
      <w:pPr>
        <w:ind w:left="580" w:right="500" w:hanging="331"/>
        <w:spacing w:after="0" w:line="273" w:lineRule="auto"/>
        <w:tabs>
          <w:tab w:leader="none" w:pos="5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ATM interfaces are designed to be intuitive and straightforward, minimizing complex instructions and options that could confuse users with cognitive impairments and language barriers.</w:t>
      </w:r>
    </w:p>
    <w:p>
      <w:pPr>
        <w:ind w:left="580" w:right="120" w:hanging="331"/>
        <w:spacing w:after="0" w:line="273" w:lineRule="auto"/>
        <w:tabs>
          <w:tab w:leader="none" w:pos="5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text on the ATM screen is presented in clear, easy-to-read fonts to aid users with reading difficulties. ATM screens feature high-contrast text and graphics, making it easier for users with low vision to read the content.</w:t>
      </w:r>
    </w:p>
    <w:p>
      <w:pPr>
        <w:ind w:left="580" w:right="20" w:hanging="331"/>
        <w:spacing w:after="0" w:line="298" w:lineRule="auto"/>
        <w:tabs>
          <w:tab w:leader="none" w:pos="5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 and Reach: Our ATMs are designed with appropriate heights and reach ranges to accommodate users who may be seated in wheelchairs or have limited mobility. We strive to secure ample space around our ATMs to ensure easy maneuverability for wheelchair users wherever possible.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Money Transfer</w:t>
      </w:r>
    </w:p>
    <w:p>
      <w:pPr>
        <w:spacing w:after="0" w:line="189"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We develop technology that enables digital payments such as mobile wallet payments and money transfer deposits to or from a digital wallet or bank account. At December 31, 2023, our network reaches 4.1 billion bank accounts and 2 billion wallet accounts. We provide remittance services at 580,000 locations. Throughout 2023 we processed 161.7 million transactions. Under the brand name “Dandelion” we have developed a leading real-time cross-border payment platform, which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spacing w:after="0" w:line="13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Our average transaction cost per remittance is 1.6% of the principal amount sent. With this percentage, we meet the UN's goal of lowering transaction costs for migrant remittances to 3% or less by 2030. Our transparent and cost-effective services, including digital remittances, help immigrant communities and expatriates support their relatives and contribute to the advancement of their home economies. By sending remittances to developing countries, we strive to make a positive impact on communities with higher instances of poverty.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epay</w:t>
      </w:r>
    </w:p>
    <w:p>
      <w:pPr>
        <w:spacing w:after="0" w:line="189" w:lineRule="exact"/>
        <w:rPr>
          <w:sz w:val="20"/>
          <w:szCs w:val="20"/>
          <w:color w:val="auto"/>
        </w:rPr>
      </w:pPr>
    </w:p>
    <w:p>
      <w:pPr>
        <w:jc w:val="both"/>
        <w:ind w:firstLine="331"/>
        <w:spacing w:after="0" w:line="265" w:lineRule="auto"/>
        <w:rPr>
          <w:sz w:val="20"/>
          <w:szCs w:val="20"/>
          <w:color w:val="auto"/>
        </w:rPr>
      </w:pPr>
      <w:r>
        <w:rPr>
          <w:rFonts w:ascii="Times New Roman" w:cs="Times New Roman" w:eastAsia="Times New Roman" w:hAnsi="Times New Roman"/>
          <w:sz w:val="14"/>
          <w:szCs w:val="14"/>
          <w:color w:val="auto"/>
        </w:rPr>
        <w:t>Customers purchase digital media prepaid content as a gift or for self-use. Content is generally purchased in two ways: (1) directly online from the content provider using an online payment method, or (2) through physical retail stores, online retailers, or other electronic channels, including payment wallets, online banking, mobile applications, and other sources. We continue to increase our focus on direct relationships with chains of supermarkets, convenience stores, gas stations, and other larger scale retailers, where we can negotiate multi-year agreements with the retailers. In addition to the sale of traditional mobile top-up volume, we have expanded distribution into digital media products and other value-added services. We have leveraged our existing technology infrastructure to sell digital media products, which have been sold through our traditional retail network and new retail networks such as digital channels. Our epay business sells and produces physical gift cards for content providers. We continue to explore ways to improve our product propositions by offering digital gift cards / e-sims and by optimizing our card production process.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Rate Transparency</w:t>
      </w:r>
    </w:p>
    <w:p>
      <w:pPr>
        <w:spacing w:after="0" w:line="189"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We adhere to the guidelines set forth by the Consumer Financial Protection Bureau ("CFPB") to ensure transparent and consistent communications and disclosures to consumers about the process and rates., moreover, we follow similar standards regarding financial consumer disclosures around the world. Additionally, we meet the ATM disclosure requirements put forth by card organizations such as United States Visa and Mastercard, and the European Union.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health</w:t>
      </w:r>
    </w:p>
    <w:p>
      <w:pPr>
        <w:spacing w:after="0" w:line="189" w:lineRule="exact"/>
        <w:rPr>
          <w:sz w:val="20"/>
          <w:szCs w:val="20"/>
          <w:color w:val="auto"/>
        </w:rPr>
      </w:pPr>
    </w:p>
    <w:p>
      <w:pPr>
        <w:ind w:right="280" w:firstLine="331"/>
        <w:spacing w:after="0" w:line="298" w:lineRule="auto"/>
        <w:rPr>
          <w:sz w:val="20"/>
          <w:szCs w:val="20"/>
          <w:color w:val="auto"/>
        </w:rPr>
      </w:pPr>
      <w:r>
        <w:rPr>
          <w:rFonts w:ascii="Times New Roman" w:cs="Times New Roman" w:eastAsia="Times New Roman" w:hAnsi="Times New Roman"/>
          <w:sz w:val="14"/>
          <w:szCs w:val="14"/>
          <w:color w:val="auto"/>
        </w:rPr>
        <w:t>Our success is contingent upon the financial health and security of essential transactions that involve numerous stakeholders. In our commitment to assisting customers and safeguarding their interests, including prevention of excessive indebtedness, we have incorporated various financial safeguards to ensure the reliability of our services and promote customer confidence.</w:t>
      </w:r>
    </w:p>
    <w:p>
      <w:pPr>
        <w:spacing w:after="0" w:line="140" w:lineRule="exact"/>
        <w:rPr>
          <w:sz w:val="20"/>
          <w:szCs w:val="20"/>
          <w:color w:val="auto"/>
        </w:rPr>
      </w:pPr>
    </w:p>
    <w:p>
      <w:pPr>
        <w:ind w:left="620" w:hanging="355"/>
        <w:spacing w:after="0"/>
        <w:tabs>
          <w:tab w:leader="none" w:pos="6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Limits on transaction amounts on ATMs to prevent excessive spending in a brief timeframe.</w:t>
      </w:r>
    </w:p>
    <w:p>
      <w:pPr>
        <w:spacing w:after="0" w:line="55" w:lineRule="exact"/>
        <w:rPr>
          <w:rFonts w:ascii="Times New Roman" w:cs="Times New Roman" w:eastAsia="Times New Roman" w:hAnsi="Times New Roman"/>
          <w:sz w:val="14"/>
          <w:szCs w:val="14"/>
          <w:color w:val="auto"/>
        </w:rPr>
      </w:pPr>
    </w:p>
    <w:p>
      <w:pPr>
        <w:ind w:left="620" w:hanging="355"/>
        <w:spacing w:after="0"/>
        <w:tabs>
          <w:tab w:leader="none" w:pos="6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Withdrawals or transfers are only permissible with verified available funds.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81" w:right="319" w:bottom="1440" w:gutter="0" w:footer="0" w:header="0"/>
        </w:sectPr>
      </w:pPr>
    </w:p>
    <w:bookmarkStart w:id="14" w:name="page15"/>
    <w:bookmarkEnd w:id="14"/>
    <w:p>
      <w:pPr>
        <w:ind w:left="620" w:hanging="355"/>
        <w:spacing w:after="0"/>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Transparency regarding fees linked to transfer services.</w:t>
      </w:r>
    </w:p>
    <w:p>
      <w:pPr>
        <w:spacing w:after="0" w:line="55" w:lineRule="exact"/>
        <w:rPr>
          <w:rFonts w:ascii="Times New Roman" w:cs="Times New Roman" w:eastAsia="Times New Roman" w:hAnsi="Times New Roman"/>
          <w:sz w:val="14"/>
          <w:szCs w:val="14"/>
          <w:color w:val="auto"/>
        </w:rPr>
      </w:pPr>
    </w:p>
    <w:p>
      <w:pPr>
        <w:ind w:left="620" w:hanging="355"/>
        <w:spacing w:after="0"/>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online platforms and mobile applications for instant transaction monitoring, accompanied by alerts and notifications to enable timely financial decision-making.</w:t>
      </w:r>
    </w:p>
    <w:p>
      <w:pPr>
        <w:spacing w:after="0" w:line="55" w:lineRule="exact"/>
        <w:rPr>
          <w:rFonts w:ascii="Times New Roman" w:cs="Times New Roman" w:eastAsia="Times New Roman" w:hAnsi="Times New Roman"/>
          <w:sz w:val="14"/>
          <w:szCs w:val="14"/>
          <w:color w:val="auto"/>
        </w:rPr>
      </w:pPr>
    </w:p>
    <w:p>
      <w:pPr>
        <w:ind w:left="620" w:hanging="355"/>
        <w:spacing w:after="0"/>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Multiple options available to connect with customer service for assistance with payment transfers and other various company financial related services.</w:t>
      </w:r>
    </w:p>
    <w:p>
      <w:pPr>
        <w:spacing w:after="0" w:line="55" w:lineRule="exact"/>
        <w:rPr>
          <w:rFonts w:ascii="Times New Roman" w:cs="Times New Roman" w:eastAsia="Times New Roman" w:hAnsi="Times New Roman"/>
          <w:sz w:val="14"/>
          <w:szCs w:val="14"/>
          <w:color w:val="auto"/>
        </w:rPr>
      </w:pPr>
    </w:p>
    <w:p>
      <w:pPr>
        <w:ind w:left="620" w:right="260" w:hanging="355"/>
        <w:spacing w:after="0" w:line="289" w:lineRule="auto"/>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segment within the Company publishes blogs and shares updates through its communication channels and social media platforms to provide current information, as well as the latest news and industry trends.</w:t>
      </w:r>
    </w:p>
    <w:p>
      <w:pPr>
        <w:spacing w:after="0" w:line="1" w:lineRule="exact"/>
        <w:rPr>
          <w:rFonts w:ascii="Times New Roman" w:cs="Times New Roman" w:eastAsia="Times New Roman" w:hAnsi="Times New Roman"/>
          <w:sz w:val="14"/>
          <w:szCs w:val="14"/>
          <w:color w:val="auto"/>
        </w:rPr>
      </w:pPr>
    </w:p>
    <w:p>
      <w:pPr>
        <w:ind w:left="620" w:right="300" w:hanging="355"/>
        <w:spacing w:after="0" w:line="298" w:lineRule="auto"/>
        <w:tabs>
          <w:tab w:leader="none" w:pos="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Offers a range of communication avenues for shareholders, whistle blowers, and customers to connect for information, concerns and questions regarding our conduct, products, and services.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It is worth noting that we neither endorse, provide, nor sell loan products, and we refrain from offering referrals to external lending agencies or financial institutions for loan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recognize that strong governance is the foundation of a successful business, and we are committed to upholding the highest standards of ethical conduct, transparency, and accountability.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of Directors</w:t>
      </w:r>
    </w:p>
    <w:p>
      <w:pPr>
        <w:spacing w:after="0" w:line="154"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The Board is qualified to carry out its responsibilities as the governing body on our stockholders' behalf. Our Board is comprised of nine members of varying tenures, ages, ethnicity, origin, genders, geography, and professional experiences. Three of the nine members are non-U.S. citizens and three are female. The Board of Directors comprises independent members, except for our founder and Chairman. In addition, we have designated a lead independent director to ensure strong oversight and governance practices. The Board is guided by our Corporate Governance Guidelines which establish a framework for the governance of the Board and our management.</w:t>
      </w:r>
    </w:p>
    <w:p>
      <w:pPr>
        <w:spacing w:after="0" w:line="13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We have established three committees, comprised of all independent directors, to aid the Board in its oversight of the Company: Audit Committee, Compensation Committee and Nominating &amp; Corporate Governance committee. Each of the committees has established a charter to guide it in fulfilling its duties.</w:t>
      </w:r>
    </w:p>
    <w:p>
      <w:pPr>
        <w:spacing w:after="0" w:line="119"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The Board, Nominating &amp; Corporate Governance committee and Audit Committee oversee our ESG efforts. The inclusion of ESG oversight within the Board, Audit, Nominating &amp; Corporate Governance committees is focused on driving intentional considerations for ESG related matters, acknowledging the Board’s responsibility for ESG in the organization and the Audit Committee oversight of ESG disclosures. In addition to ESG being at the forefront of the highest governing body in the organization, there are also additional committees responsible for ESG management in the organization, including representatives from legal, finance, accounting, marketing, human resources, and operations as well as representation from our global offices.</w:t>
      </w:r>
    </w:p>
    <w:p>
      <w:pPr>
        <w:spacing w:after="0" w:line="137" w:lineRule="exact"/>
        <w:rPr>
          <w:sz w:val="20"/>
          <w:szCs w:val="20"/>
          <w:color w:val="auto"/>
        </w:rPr>
      </w:pPr>
    </w:p>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We place a high value on accountability and transparency, and we recognize that regular evaluations are essential to ensure that our Board of Directors is functioning at the highest level. To this end, we conduct an annual review of the Board and committees' performance, which includes an assessment of the flow of information between management, Board committees and the Board as a whole. The review is designed to enhance communication and collaboration, and it provides a valuable opportunity for the Board Committee Chairs to provide feedback on the effectiveness of our governance processes. By regularly evaluating our performance and seeking feedback, we can continuously improve our governance practices and ensure that we are fulfilling our fiduciary duties to our stakeholders.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Code of Business Conduct and Ethics</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We require our Board of Directors, employees, and business partners to comply with our Code of Business Conduct and Ethics. Our code is available online and is available in multiple languages and is reconfirmed annually.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Political Contribution</w:t>
      </w:r>
    </w:p>
    <w:p>
      <w:pPr>
        <w:spacing w:after="0" w:line="18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In compliance with our Political Contribution Policy, we do not use corporate funds to contribute to candidates, political party committees, political action committees, or Super PACs. Employees are prohibited from making political contributions on behalf of the Company.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50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color w:val="auto"/>
        </w:rPr>
        <w:t>Management</w:t>
      </w:r>
    </w:p>
    <w:p>
      <w:pPr>
        <w:spacing w:after="0" w:line="18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We manage our business on a segment basis, while also maintaining appropriate governance of our subsidiaries. Our segment structure is intended to ensure that all units of our business operate efficiently, effectively, and consistent with our corporate standards. The management structure of each segment mirrors that of the executive management team, including a segment CEO, Finance Director, Technology Director, and General Counsel.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Risk Management and Strategy</w:t>
      </w:r>
    </w:p>
    <w:p>
      <w:pPr>
        <w:spacing w:after="0" w:line="187" w:lineRule="exact"/>
        <w:rPr>
          <w:sz w:val="20"/>
          <w:szCs w:val="20"/>
          <w:color w:val="auto"/>
        </w:rPr>
      </w:pPr>
    </w:p>
    <w:p>
      <w:pPr>
        <w:jc w:val="both"/>
        <w:ind w:firstLine="331"/>
        <w:spacing w:after="0" w:line="262" w:lineRule="auto"/>
        <w:rPr>
          <w:sz w:val="20"/>
          <w:szCs w:val="20"/>
          <w:color w:val="auto"/>
        </w:rPr>
      </w:pPr>
      <w:r>
        <w:rPr>
          <w:rFonts w:ascii="Times New Roman" w:cs="Times New Roman" w:eastAsia="Times New Roman" w:hAnsi="Times New Roman"/>
          <w:sz w:val="14"/>
          <w:szCs w:val="14"/>
          <w:color w:val="auto"/>
        </w:rPr>
        <w:t>We recognize that cyber threats are constantly evolving, and we must stay ahead of risks and threats to our business systems, data, infrastructure, and employees. We take a holistic approach to cybersecurity to proactively mitigate and respond to cyber threats. Building a robust security program and security controls are critical components that are in the core foundation of our products, culture, and management oversight. As a financial transaction processor, we ensure security is embedded and regarded with importance across the organization and within our products and services. We recognize the criticality of maintaining the safety, security, and integrity of our systems and data to protect our customers, employees, partners, and shareholders. The security program and cybersecurity strategies are strongly supported by both executive management and our Board. Our executive management fosters a strong culture of security awareness and responsibilities from the tone at the top and across all functional teams at all levels. The security team leadership also conducts segment level Board and/or periodic meetings with segment business leadership to share security key performance indicators ("KPIs") and risk considerations, as well as align with business strategies and gain approval for financial support for cybersecurity resources and tools. Security leadership is also involved in financial forecasting for security needs and costs, and the Chief Technology Officer ("CTO") and Chief Financial Officer or executive management team is involved in understanding and approving security related investments and strategies. We invest in our cybersecurity personnel and protections to address critical risks to our infrastructure and systems, and we remain dedicated to continuous improvement in our cybersecurity program.</w:t>
      </w:r>
    </w:p>
    <w:p>
      <w:pPr>
        <w:spacing w:after="0" w:line="143" w:lineRule="exact"/>
        <w:rPr>
          <w:sz w:val="20"/>
          <w:szCs w:val="20"/>
          <w:color w:val="auto"/>
        </w:rPr>
      </w:pPr>
    </w:p>
    <w:p>
      <w:pPr>
        <w:jc w:val="both"/>
        <w:ind w:firstLine="331"/>
        <w:spacing w:after="0" w:line="261" w:lineRule="auto"/>
        <w:rPr>
          <w:sz w:val="20"/>
          <w:szCs w:val="20"/>
          <w:color w:val="auto"/>
        </w:rPr>
      </w:pPr>
      <w:r>
        <w:rPr>
          <w:rFonts w:ascii="Times New Roman" w:cs="Times New Roman" w:eastAsia="Times New Roman" w:hAnsi="Times New Roman"/>
          <w:sz w:val="14"/>
          <w:szCs w:val="14"/>
          <w:color w:val="auto"/>
        </w:rPr>
        <w:t>The Company’s CTO reports to our Chief Executive Officer and has been with us for 16 years and is responsible for developing and implementing our information security program and reporting on cybersecurity matters to the Board. Many on our Information Technology ("IT") security team leadership have over a decade of cybersecurity and IT control experience, certifications, and external and internal IT audit experience. The Chief Information Security Officer ("CISO") reports to executive management independent of IT and is responsible for management of cybersecurity risk, security governance and compliance, security policies, security training, and the overall protection and defense of our networks, systems, and company data. The CISO manages the global security governance, risk, and compliance teams and is responsible for ensuring we meet our regulatory and compliance requirements as related to PCI DSS, ISO 27001, and other certifications we hold globally that support our business products and services. The Global Director of Cybersecurity reports to the CTO and manages our security toolbelt and implementations, incident response, alert management, and various technical security teams. The CISO and Global Director of Cybersecurity manage teams of cybersecurity professionals with broad experience and expertise, including Payment Card Industry ("PCI") and other regulatory compliance, threat assessments and detection, forensic investigations, mitigation technologies, cybersecurity training, incident response, insider threats, third party risk, penetration testing, and security engineering expertise. Many members of the security leadership team across the organization have been with us for more than 10 years. The global and segment security leadership teams work closely with legal, privacy, audit, and compliance teams to ensure we meet regulatory requirements and work together to address cyber risks in all functional areas of the organization. We also conduct strategic in person and virtual annual, quarterly, and monthly security meetings with key members of security and IT leadership to align on security priorities, initiatives, and requirements.</w:t>
      </w:r>
    </w:p>
    <w:p>
      <w:pPr>
        <w:spacing w:after="0" w:line="310" w:lineRule="exact"/>
        <w:rPr>
          <w:sz w:val="20"/>
          <w:szCs w:val="20"/>
          <w:color w:val="auto"/>
        </w:rPr>
      </w:pPr>
    </w:p>
    <w:p>
      <w:pPr>
        <w:jc w:val="both"/>
        <w:ind w:firstLine="331"/>
        <w:spacing w:after="0" w:line="262" w:lineRule="auto"/>
        <w:rPr>
          <w:sz w:val="20"/>
          <w:szCs w:val="20"/>
          <w:color w:val="auto"/>
        </w:rPr>
      </w:pPr>
      <w:r>
        <w:rPr>
          <w:rFonts w:ascii="Times New Roman" w:cs="Times New Roman" w:eastAsia="Times New Roman" w:hAnsi="Times New Roman"/>
          <w:sz w:val="14"/>
          <w:szCs w:val="14"/>
          <w:color w:val="auto"/>
        </w:rPr>
        <w:t>Our Board is responsible for overseeing our enterprise risk management activities in general, and each of our Board committees assists the Board in the role of risk oversight. The full Board receives an update on our risk management process and the risk trends related to cybersecurity at least annually. The CTO attends all quarterly Board meetings and presents to the Board at a minimum of twice per year on security and cybersecurity KPIs and threat mitigations. The Audit Committee oversees risks including cybersecurity risks. Our internal audit team reports on cybersecurity risks and internal and external audit results to the Audit Committee. Internal Audit performs IT security and compliance audits for SOX 404 purposes, as well as testing security standards, and performs pre-assessments for ISO 27001. We also engage third party independent assessments for penetration testing, vulnerability assessments, and certification such as PCI DSS, ISO 27001, VISA PIN and SOC Type 1 and Type 2 audits. The CTO and CISO also have weekly and monthly meetings with senior executive management to discuss security strategy, projects, and concerns. We have an established incident response process led by our CISO governing our assessment, response, and notifications internally and externally upon the occurrence of a cybersecurity incident. Depending on the nature and severity of an incident, this process provides for escalating notification to our Chief Executive Officer, executive management team, and the Board as well as regulatory notifications depending on the jurisdiction and specifications of the incident.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68" w:right="319" w:bottom="1440" w:gutter="0" w:footer="0" w:header="0"/>
        </w:sectPr>
      </w:pPr>
    </w:p>
    <w:bookmarkStart w:id="16" w:name="page17"/>
    <w:bookmarkEnd w:id="16"/>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While we evaluate all security incidents and consider the materiality of individual or combined incidents, to date, no incidents or combination of incidents have materially affected the Company or our financial position, results of operations, and/or cash flows. We continue to invest in cybersecurity to enhance the design and effectiveness of our internal controls and processes to protect our systems, networks, and integrity of our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approach to cybersecurity risk management includes the following key areas:</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Risk Management and Policies - </w:t>
      </w:r>
      <w:r>
        <w:rPr>
          <w:rFonts w:ascii="Times New Roman" w:cs="Times New Roman" w:eastAsia="Times New Roman" w:hAnsi="Times New Roman"/>
          <w:sz w:val="14"/>
          <w:szCs w:val="14"/>
          <w:color w:val="auto"/>
        </w:rPr>
        <w:t>Our policies, standards, processes, and practices for assessing, identifying, and managing risks, including material risks, from cybersecurity threats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integrated into our overall security and risk management program and are based on frameworks established by the National Institute of Standards and Technology (“NIST”), the International Organization for Standardization ("ISO"), and other applicable industry standards and best practices. We regularly review and update policies and procedures with input from IT and security leadership and industry security standards including Payment Card Industry Data Security Standard ("PCI DSS") and ISO. Business segments and local entities also maintain local policies and procedures that include global requirements and local, statutory, or contractual requirements and escalations. All employees must sign and acknowledge a Corporate Information Security Policy that outlines their responsibilities related to IT security, cybersecurity, and protection of company assets and data. In addition to the enterprise risk assessment presented to the Board, local entity IT and security teams maintain detailed risk assessments that are shared with local management and are provided for applicable regulatory requirements, as well.</w:t>
      </w:r>
    </w:p>
    <w:p>
      <w:pPr>
        <w:spacing w:after="0" w:line="143"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4"/>
          <w:szCs w:val="14"/>
          <w:b w:val="1"/>
          <w:bCs w:val="1"/>
          <w:color w:val="auto"/>
        </w:rPr>
        <w:t xml:space="preserve">Information Sharing and Collaboration - </w:t>
      </w:r>
      <w:r>
        <w:rPr>
          <w:rFonts w:ascii="Times New Roman" w:cs="Times New Roman" w:eastAsia="Times New Roman" w:hAnsi="Times New Roman"/>
          <w:sz w:val="14"/>
          <w:szCs w:val="14"/>
          <w:color w:val="auto"/>
        </w:rPr>
        <w:t>We subscribe to financial services cyber intelligence and collaboration services, and we work closely with cyber intelligence and managed security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 providers to augment our own security program and controls. We investigate intelligence sharing platforms to assess potential risks as credible or emerging risks.</w:t>
      </w:r>
    </w:p>
    <w:p>
      <w:pPr>
        <w:spacing w:after="0" w:line="11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b w:val="1"/>
          <w:bCs w:val="1"/>
          <w:color w:val="auto"/>
        </w:rPr>
        <w:t xml:space="preserve">Continuous Monitoring – </w:t>
      </w:r>
      <w:r>
        <w:rPr>
          <w:rFonts w:ascii="Times New Roman" w:cs="Times New Roman" w:eastAsia="Times New Roman" w:hAnsi="Times New Roman"/>
          <w:sz w:val="14"/>
          <w:szCs w:val="14"/>
          <w:color w:val="auto"/>
        </w:rPr>
        <w:t>We have security team members across all of our geographic business operations that support our key IT processing centers. We have teams dedicated to investigating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all security alerts and incidents at a global level or within our business segments. Further, we have managed security service providers who provide 24x7 advanced threat detection and monitoring services to augment our security analyst teams.</w:t>
      </w:r>
    </w:p>
    <w:p>
      <w:pPr>
        <w:spacing w:after="0" w:line="1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Incident Response – </w:t>
      </w:r>
      <w:r>
        <w:rPr>
          <w:rFonts w:ascii="Times New Roman" w:cs="Times New Roman" w:eastAsia="Times New Roman" w:hAnsi="Times New Roman"/>
          <w:sz w:val="14"/>
          <w:szCs w:val="14"/>
          <w:color w:val="auto"/>
        </w:rPr>
        <w:t>We have a global incident response policy that is shared with key stakeholders and outlines our classification, escalation, investigation, reporting, and overall response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procedures depending on the classification and severity of incidents. Local IT teams must also create a local incident response plan and playbooks for addressing various types of incidents and handling escalations and reporting obligations locally. Further, we engage external forensic investigations as necessary to augment our incident reporting process if deemed critical and/or necessary for prompt response to security incidents which may require a higher technical level of forensics and/or resources to quickly assess and respond to certain incidents.</w:t>
      </w:r>
    </w:p>
    <w:p>
      <w:pPr>
        <w:spacing w:after="0" w:line="1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Training and Awareness </w:t>
      </w:r>
      <w:r>
        <w:rPr>
          <w:rFonts w:ascii="Times New Roman" w:cs="Times New Roman" w:eastAsia="Times New Roman" w:hAnsi="Times New Roman"/>
          <w:sz w:val="14"/>
          <w:szCs w:val="14"/>
          <w:color w:val="auto"/>
        </w:rPr>
        <w:t>- We provide security awareness training to our employees and contractors to help identify, mitigate, and report on cybersecurity threats. Our employees with network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access must complete quarterly security awareness training which includes multiple interactive and video training modules with passing scores required to complete training compliance. We require annual PCI DSS and General Data Protection Regulation ("GDPR") training as well as any other regulatory required security training. We also perform simulated phishing campaigns to further test security training effectiveness. We also periodically host tabletop exercises with IT and management to test and evaluate our incident response plan or playbooks.</w:t>
      </w:r>
    </w:p>
    <w:p>
      <w:pPr>
        <w:spacing w:after="0" w:line="1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b w:val="1"/>
          <w:bCs w:val="1"/>
          <w:color w:val="auto"/>
        </w:rPr>
        <w:t xml:space="preserve">Insider Threats </w:t>
      </w:r>
      <w:r>
        <w:rPr>
          <w:rFonts w:ascii="Times New Roman" w:cs="Times New Roman" w:eastAsia="Times New Roman" w:hAnsi="Times New Roman"/>
          <w:sz w:val="14"/>
          <w:szCs w:val="14"/>
          <w:color w:val="auto"/>
        </w:rPr>
        <w:t>- We implement insider threat controls designed to identify, assess, and address potential risks from within our Company. We implement controls and tools to alert on suspicious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unusual insider activity, and we have rigorous controls in place to prevent data loss and external sharing of company information. We consider and evaluate potential risks consistent with industry practices, customer requirements and applicable law, including privacy and other considerations.</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b w:val="1"/>
          <w:bCs w:val="1"/>
          <w:color w:val="auto"/>
        </w:rPr>
        <w:t xml:space="preserve">Third Party Risk Assessments </w:t>
      </w:r>
      <w:r>
        <w:rPr>
          <w:rFonts w:ascii="Times New Roman" w:cs="Times New Roman" w:eastAsia="Times New Roman" w:hAnsi="Times New Roman"/>
          <w:sz w:val="14"/>
          <w:szCs w:val="14"/>
          <w:color w:val="auto"/>
        </w:rPr>
        <w:t>- We conduct information security assessments before sharing or allowing the hosting of data in computing environments managed by third parties or allowing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third parties to connect to our environment. We also review and amend legal terms and conditions to ensure there are contractual provisions requiring certain security protections and incident reporting. We also perform vendor risk assessments to assess the risk of new and existing vendors we conduct business with.</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External Assessments – </w:t>
      </w:r>
      <w:r>
        <w:rPr>
          <w:rFonts w:ascii="Times New Roman" w:cs="Times New Roman" w:eastAsia="Times New Roman" w:hAnsi="Times New Roman"/>
          <w:sz w:val="14"/>
          <w:szCs w:val="14"/>
          <w:color w:val="auto"/>
        </w:rPr>
        <w:t>We engage external assessors to evaluate, test, and conclude on the design and effectiveness of security controls and processes. We engage quality assessors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vulnerability and penetration testing as well as for security certification and/or regulatory requirements. Further, we have external audits performed by customers, banking and government regulators, and public accounting firms as part of financial and statutory audit purposes. In 2023,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undetected cybersecurity incidents.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color w:val="auto"/>
        </w:rPr>
        <w:t>Data Security</w:t>
      </w:r>
    </w:p>
    <w:p>
      <w:pPr>
        <w:spacing w:after="0" w:line="187" w:lineRule="exact"/>
        <w:rPr>
          <w:sz w:val="20"/>
          <w:szCs w:val="20"/>
          <w:color w:val="auto"/>
        </w:rPr>
      </w:pPr>
    </w:p>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We take information security seriously and have implemented robust policies and procedures to ensure the confidentiality, integrity, and availability of our systems and data. To that end, we have adopted an Information Security Policy aligned with the ISO 27001 Information Security Standard, a globally recognized framework for information security management. Our most relevant subsidiaries are certified. This policy incorporates industry-leading practices and serves as a guiding principle for our operations, enabling us to reduce business risks and increase business continuity across our organization. Furthermore, we continuously review and update our policies and procedures to ensure that they meet or exceed the latest regulatory and industry standards, providing our stakeholders with the assurance that our operations are held to the high standards of security.</w:t>
      </w:r>
    </w:p>
    <w:p>
      <w:pPr>
        <w:spacing w:after="0" w:line="141" w:lineRule="exact"/>
        <w:rPr>
          <w:sz w:val="20"/>
          <w:szCs w:val="20"/>
          <w:color w:val="auto"/>
        </w:rPr>
      </w:pPr>
    </w:p>
    <w:p>
      <w:pPr>
        <w:jc w:val="both"/>
        <w:ind w:firstLine="331"/>
        <w:spacing w:after="0" w:line="269" w:lineRule="auto"/>
        <w:rPr>
          <w:sz w:val="20"/>
          <w:szCs w:val="20"/>
          <w:color w:val="auto"/>
        </w:rPr>
      </w:pPr>
      <w:r>
        <w:rPr>
          <w:rFonts w:ascii="Times New Roman" w:cs="Times New Roman" w:eastAsia="Times New Roman" w:hAnsi="Times New Roman"/>
          <w:sz w:val="14"/>
          <w:szCs w:val="14"/>
          <w:color w:val="auto"/>
        </w:rPr>
        <w:t>We are committed to safeguarding our customers and consumers against the rising threat of fraud. We recognize that security is a fundamental aspect of our business, and we take proactive measures to protect against fraudulent activity. This includes establishing velocity limits and monitoring suspicious behavior to quickly detect and respond to any potential threats. Additionally, we have implemented state-of-the-art anti-skimming devices and encryption technology across our ATMs to enhance security and prevent unauthorized access to sensitive information. Beyond these measures, we regularly review and enhance our security protocols, collaborate with industry partners and regulatory authorities, and invest in the latest technologies to stay ahead of evolving threats.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Data Privacy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protecting the rights and privacy of all personal data we handle is fundamental to trust in our business relationships.</w:t>
      </w:r>
    </w:p>
    <w:p>
      <w:pPr>
        <w:spacing w:after="0" w:line="217" w:lineRule="exact"/>
        <w:rPr>
          <w:sz w:val="20"/>
          <w:szCs w:val="20"/>
          <w:color w:val="auto"/>
        </w:rPr>
      </w:pPr>
    </w:p>
    <w:p>
      <w:pPr>
        <w:ind w:left="620" w:right="620" w:hanging="355"/>
        <w:spacing w:after="0" w:line="289" w:lineRule="auto"/>
        <w:tabs>
          <w:tab w:leader="none" w:pos="6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committed to complying with international data protection laws, including the European GDPR, the privacy laws of various states of the United States of America and applicable laws across several countries for in-country data protection as well as cross-border data transmission.</w:t>
      </w:r>
    </w:p>
    <w:p>
      <w:pPr>
        <w:spacing w:after="0" w:line="1" w:lineRule="exact"/>
        <w:rPr>
          <w:rFonts w:ascii="Times New Roman" w:cs="Times New Roman" w:eastAsia="Times New Roman" w:hAnsi="Times New Roman"/>
          <w:sz w:val="14"/>
          <w:szCs w:val="14"/>
          <w:color w:val="auto"/>
        </w:rPr>
      </w:pPr>
    </w:p>
    <w:p>
      <w:pPr>
        <w:ind w:left="620" w:right="120" w:hanging="355"/>
        <w:spacing w:after="0" w:line="298" w:lineRule="auto"/>
        <w:tabs>
          <w:tab w:leader="none" w:pos="6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implemented a Data Security Policy which governs how personal data is processed and stored across our systems. We have appointed a Data Protection Officer and dedicated data protection compliance persons around the world to monitor and control personal data according to applicable regulations.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Strategy</w:t>
      </w:r>
    </w:p>
    <w:p>
      <w:pPr>
        <w:spacing w:after="0" w:line="187" w:lineRule="exact"/>
        <w:rPr>
          <w:sz w:val="20"/>
          <w:szCs w:val="20"/>
          <w:color w:val="auto"/>
        </w:rPr>
      </w:pPr>
    </w:p>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Our tax strategy revolves around the principle of paying required taxes in all the tax jurisdictions where we conduct business. We implement transfer pricing studies and agreements so that all transactions are conducted at arm's length, thereby providing evidence to local fiscal authorities of our compliance with tax regulations. We are dedicated to upholding the spirit and the letter of the tax laws and regulations in all the countries where we conduct business. We have not shifted business from high-tax rate jurisdictions to low-tax rate jurisdictions. Moreover, we pledge not to engage in any tax arrangements lacking genuine commercial purpose and adhere to the arm's length principle when conducting transfer pricing. Additionally, we do not exploit tax havens for the purpose of tax avoidance.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36"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color w:val="auto"/>
        </w:rPr>
        <w:t>Board Diversity</w:t>
      </w:r>
    </w:p>
    <w:p>
      <w:pPr>
        <w:spacing w:after="0" w:line="187"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Our Board of Directors comprises accomplished individuals who are leaders in their respective industries, communities, and affiliated with various corporations, governmental institutions, and charities, as well as civic and professional organizations. With decades of collective experience spanning diverse industries and markets, our Board possesses a wealth of knowledge and skills, including the formation of groundbreaking software technologies, successful company launches, critical contributions to local non-profit organizations, and transformative business strategies. Their expertise and leadership acumen guide our organization towards innovative solutions and sustainable growth, solidifying our position as an industry leader.</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3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Board Diversity Matrix</w:t>
            </w:r>
          </w:p>
        </w:tc>
        <w:tc>
          <w:tcPr>
            <w:tcW w:w="960" w:type="dxa"/>
            <w:vAlign w:val="bottom"/>
            <w:tcBorders>
              <w:top w:val="single" w:sz="8" w:color="auto"/>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60" w:type="dxa"/>
            <w:vAlign w:val="bottom"/>
            <w:tcBorders>
              <w:top w:val="single" w:sz="8" w:color="auto"/>
              <w:bottom w:val="single" w:sz="8" w:color="auto"/>
              <w:right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8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3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number of directors</w:t>
            </w:r>
          </w:p>
        </w:tc>
        <w:tc>
          <w:tcPr>
            <w:tcW w:w="9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748"/>
              <w:spacing w:after="0"/>
              <w:rPr>
                <w:sz w:val="20"/>
                <w:szCs w:val="20"/>
                <w:color w:val="auto"/>
              </w:rPr>
            </w:pPr>
            <w:r>
              <w:rPr>
                <w:rFonts w:ascii="Times New Roman" w:cs="Times New Roman" w:eastAsia="Times New Roman" w:hAnsi="Times New Roman"/>
                <w:sz w:val="14"/>
                <w:szCs w:val="14"/>
                <w:color w:val="auto"/>
              </w:rPr>
              <w:t>8</w:t>
            </w:r>
          </w:p>
        </w:tc>
        <w:tc>
          <w:tcPr>
            <w:tcW w:w="9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728"/>
              <w:spacing w:after="0"/>
              <w:rPr>
                <w:sz w:val="20"/>
                <w:szCs w:val="20"/>
                <w:color w:val="auto"/>
              </w:rPr>
            </w:pPr>
            <w:r>
              <w:rPr>
                <w:rFonts w:ascii="Times New Roman" w:cs="Times New Roman" w:eastAsia="Times New Roman" w:hAnsi="Times New Roman"/>
                <w:sz w:val="14"/>
                <w:szCs w:val="14"/>
                <w:color w:val="auto"/>
              </w:rPr>
              <w:t>9</w:t>
            </w:r>
          </w:p>
        </w:tc>
        <w:tc>
          <w:tcPr>
            <w:tcW w:w="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38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960" w:type="dxa"/>
            <w:vAlign w:val="bottom"/>
            <w:tcBorders>
              <w:right w:val="single" w:sz="8" w:color="auto"/>
            </w:tcBorders>
          </w:tcPr>
          <w:p>
            <w:pPr>
              <w:jc w:val="center"/>
              <w:ind w:right="9"/>
              <w:spacing w:after="0" w:line="119" w:lineRule="exact"/>
              <w:rPr>
                <w:sz w:val="20"/>
                <w:szCs w:val="20"/>
                <w:color w:val="auto"/>
              </w:rPr>
            </w:pPr>
            <w:r>
              <w:rPr>
                <w:rFonts w:ascii="Times New Roman" w:cs="Times New Roman" w:eastAsia="Times New Roman" w:hAnsi="Times New Roman"/>
                <w:sz w:val="13"/>
                <w:szCs w:val="13"/>
                <w:b w:val="1"/>
                <w:bCs w:val="1"/>
                <w:color w:val="auto"/>
              </w:rPr>
              <w:t>Did Not</w:t>
            </w:r>
          </w:p>
        </w:tc>
        <w:tc>
          <w:tcPr>
            <w:tcW w:w="98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9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Did Not</w:t>
            </w:r>
          </w:p>
        </w:tc>
        <w:tc>
          <w:tcPr>
            <w:tcW w:w="0" w:type="dxa"/>
            <w:vAlign w:val="bottom"/>
          </w:tcPr>
          <w:p>
            <w:pPr>
              <w:spacing w:after="0"/>
              <w:rPr>
                <w:sz w:val="1"/>
                <w:szCs w:val="1"/>
                <w:color w:val="auto"/>
              </w:rPr>
            </w:pPr>
          </w:p>
        </w:tc>
      </w:tr>
      <w:tr>
        <w:trPr>
          <w:trHeight w:val="76"/>
        </w:trPr>
        <w:tc>
          <w:tcPr>
            <w:tcW w:w="2380" w:type="dxa"/>
            <w:vAlign w:val="bottom"/>
            <w:tcBorders>
              <w:left w:val="single" w:sz="8" w:color="auto"/>
              <w:right w:val="single" w:sz="8" w:color="auto"/>
            </w:tcBorders>
          </w:tcPr>
          <w:p>
            <w:pPr>
              <w:spacing w:after="0"/>
              <w:rPr>
                <w:sz w:val="6"/>
                <w:szCs w:val="6"/>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Male</w:t>
            </w:r>
          </w:p>
        </w:tc>
        <w:tc>
          <w:tcPr>
            <w:tcW w:w="20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Disclose</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8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Disclose</w:t>
            </w:r>
          </w:p>
        </w:tc>
        <w:tc>
          <w:tcPr>
            <w:tcW w:w="0" w:type="dxa"/>
            <w:vAlign w:val="bottom"/>
          </w:tcPr>
          <w:p>
            <w:pPr>
              <w:spacing w:after="0"/>
              <w:rPr>
                <w:sz w:val="1"/>
                <w:szCs w:val="1"/>
                <w:color w:val="auto"/>
              </w:rPr>
            </w:pPr>
          </w:p>
        </w:tc>
      </w:tr>
      <w:tr>
        <w:trPr>
          <w:trHeight w:val="86"/>
        </w:trPr>
        <w:tc>
          <w:tcPr>
            <w:tcW w:w="2380" w:type="dxa"/>
            <w:vAlign w:val="bottom"/>
            <w:tcBorders>
              <w:left w:val="single" w:sz="8" w:color="auto"/>
              <w:right w:val="single" w:sz="8" w:color="auto"/>
            </w:tcBorders>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96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38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98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81"/>
        </w:trPr>
        <w:tc>
          <w:tcPr>
            <w:tcW w:w="2380" w:type="dxa"/>
            <w:vAlign w:val="bottom"/>
            <w:tcBorders>
              <w:left w:val="single" w:sz="8" w:color="auto"/>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3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96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Directors</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8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w w:val="85"/>
              </w:rPr>
              <w:t>6</w:t>
            </w:r>
          </w:p>
        </w:tc>
        <w:tc>
          <w:tcPr>
            <w:tcW w:w="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2"/>
        </w:trPr>
        <w:tc>
          <w:tcPr>
            <w:tcW w:w="2380" w:type="dxa"/>
            <w:vAlign w:val="bottom"/>
            <w:tcBorders>
              <w:left w:val="single" w:sz="8" w:color="auto"/>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Part II: Demographic</w:t>
            </w:r>
          </w:p>
        </w:tc>
        <w:tc>
          <w:tcPr>
            <w:tcW w:w="96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3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9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3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Hispanic or Latinx</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8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85"/>
        </w:trPr>
        <w:tc>
          <w:tcPr>
            <w:tcW w:w="23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Caucasian</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8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w w:val="85"/>
              </w:rPr>
              <w:t>6</w:t>
            </w:r>
          </w:p>
        </w:tc>
        <w:tc>
          <w:tcPr>
            <w:tcW w:w="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54"/>
        </w:trPr>
        <w:tc>
          <w:tcPr>
            <w:tcW w:w="2380" w:type="dxa"/>
            <w:vAlign w:val="bottom"/>
            <w:tcBorders>
              <w:left w:val="single" w:sz="8" w:color="auto"/>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4"/>
                <w:szCs w:val="14"/>
                <w:color w:val="auto"/>
              </w:rPr>
              <w:t>Did Not Disclose</w:t>
            </w: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gridSpan w:val="2"/>
            <w:vMerge w:val="restart"/>
          </w:tcPr>
          <w:p>
            <w:pPr>
              <w:jc w:val="center"/>
              <w:ind w:right="748"/>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gridSpan w:val="2"/>
            <w:vMerge w:val="restart"/>
          </w:tcPr>
          <w:p>
            <w:pPr>
              <w:jc w:val="center"/>
              <w:ind w:right="728"/>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3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Demographic Background</w:t>
            </w: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3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59625" cy="1097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1097280"/>
                    </a:xfrm>
                    <a:prstGeom prst="rect">
                      <a:avLst/>
                    </a:prstGeom>
                    <a:noFill/>
                  </pic:spPr>
                </pic:pic>
              </a:graphicData>
            </a:graphic>
          </wp:anchor>
        </w:drawing>
      </w:r>
    </w:p>
    <w:p>
      <w:pPr>
        <w:spacing w:after="0" w:line="134" w:lineRule="exact"/>
        <w:rPr>
          <w:sz w:val="20"/>
          <w:szCs w:val="20"/>
          <w:color w:val="auto"/>
        </w:rPr>
      </w:pPr>
    </w:p>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The Board evaluated the NASDAQ diversity rule noting eight of the nine current Board members were elected prior to the SEC approval of the NASDAQ Board Diversity Rule. The Nominating &amp; Corporate Governance Committee performs extensive evaluations of the credibility of each Board member and did not exclude any Board candidate based on their gender identity or demographic background. The Board of Directors has ethnic diversity beyond the specific ethnicities defined in NASDAQ Rule 5606, with representation from within and outside the United States, as well as a diverse background of industry experiences ranging from entrepreneurship, finance, transportation, technology, government, academia, and communications. Our Board includes CEOs, patent owners, MIT engineers, Molecular and Cellular Biologists, PhDs, MBAs, and CPAs, all delivering insights from their unique and diverse histories.</w:t>
      </w:r>
    </w:p>
    <w:p>
      <w:pPr>
        <w:spacing w:after="0" w:line="141"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On February 20, 2023, we appointed Sara Baack to the Board of Directors. Her appointment increases the size of the board from eight to nine members, therefore increasing our total number of female directors to three of nine. Ms. Baack is a Founding Partner at Snowhawk LP, a private investment firm that targets strategic majority investments in businesses that power the economy's digital transition across cloud, connectivity and technology services sectors.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68"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006EBF"/>
        </w:rPr>
        <w:t>BENEFICIAL OWNERSHIP OF COMMON STOCK</w:t>
      </w:r>
    </w:p>
    <w:p>
      <w:pPr>
        <w:spacing w:after="0" w:line="182"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As of the close of business on March 18, 2024 we had 45,859,243 shares of Common Stock issued and outstanding. The following table sets forth certain information with respect to the beneficial ownership of our Common Stock as of March 18 2024, held by: (i) each Euronet Director, nominee for Director and executive officer named in the summary compensation table, (ii) all Euronet Directors, nominees for Director and executive officers as a group, and (iii) each stockholder known by Euronet beneficially to own more than 5% of our Common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820" w:type="dxa"/>
            <w:vAlign w:val="bottom"/>
            <w:gridSpan w:val="4"/>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rPr>
              <w:t>Beneficial Ownership</w:t>
            </w:r>
          </w:p>
        </w:tc>
        <w:tc>
          <w:tcPr>
            <w:tcW w:w="0" w:type="dxa"/>
            <w:vAlign w:val="bottom"/>
          </w:tcPr>
          <w:p>
            <w:pPr>
              <w:spacing w:after="0"/>
              <w:rPr>
                <w:sz w:val="1"/>
                <w:szCs w:val="1"/>
                <w:color w:val="auto"/>
              </w:rPr>
            </w:pPr>
          </w:p>
        </w:tc>
      </w:tr>
      <w:tr>
        <w:trPr>
          <w:trHeight w:val="90"/>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Stockholder</w:t>
            </w:r>
          </w:p>
        </w:tc>
        <w:tc>
          <w:tcPr>
            <w:tcW w:w="1460" w:type="dxa"/>
            <w:vAlign w:val="bottom"/>
            <w:tcBorders>
              <w:top w:val="single" w:sz="8" w:color="auto"/>
            </w:tcBorders>
            <w:gridSpan w:val="2"/>
          </w:tcPr>
          <w:p>
            <w:pPr>
              <w:jc w:val="right"/>
              <w:ind w:right="520"/>
              <w:spacing w:after="0" w:line="91"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1340" w:type="dxa"/>
            <w:vAlign w:val="bottom"/>
            <w:tcBorders>
              <w:top w:val="single" w:sz="8" w:color="auto"/>
            </w:tcBorders>
          </w:tcPr>
          <w:p>
            <w:pPr>
              <w:jc w:val="right"/>
              <w:ind w:right="350"/>
              <w:spacing w:after="0" w:line="91" w:lineRule="exact"/>
              <w:rPr>
                <w:sz w:val="20"/>
                <w:szCs w:val="20"/>
                <w:color w:val="auto"/>
              </w:rPr>
            </w:pPr>
            <w:r>
              <w:rPr>
                <w:rFonts w:ascii="Times New Roman" w:cs="Times New Roman" w:eastAsia="Times New Roman" w:hAnsi="Times New Roman"/>
                <w:sz w:val="10"/>
                <w:szCs w:val="10"/>
                <w:b w:val="1"/>
                <w:bCs w:val="1"/>
                <w:color w:val="auto"/>
              </w:rPr>
              <w:t>Percent of</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8480" w:type="dxa"/>
            <w:vAlign w:val="bottom"/>
            <w:vMerge w:val="continue"/>
          </w:tcPr>
          <w:p>
            <w:pPr>
              <w:spacing w:after="0"/>
              <w:rPr>
                <w:sz w:val="12"/>
                <w:szCs w:val="12"/>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Shares (1)</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0" w:type="dxa"/>
            <w:vAlign w:val="bottom"/>
          </w:tcPr>
          <w:p>
            <w:pPr>
              <w:spacing w:after="0"/>
              <w:rPr>
                <w:sz w:val="1"/>
                <w:szCs w:val="1"/>
                <w:color w:val="auto"/>
              </w:rPr>
            </w:pPr>
          </w:p>
        </w:tc>
      </w:tr>
      <w:tr>
        <w:trPr>
          <w:trHeight w:val="168"/>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Directors and Named Executive Officers</w:t>
            </w: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Michael J. Brown (2)</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2,623,243</w:t>
            </w:r>
          </w:p>
        </w:tc>
        <w:tc>
          <w:tcPr>
            <w:tcW w:w="12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Rick L. Weller (3)</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693,812</w:t>
            </w:r>
          </w:p>
        </w:tc>
        <w:tc>
          <w:tcPr>
            <w:tcW w:w="12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Nikos Fountas (4)</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429,036</w:t>
            </w:r>
          </w:p>
        </w:tc>
        <w:tc>
          <w:tcPr>
            <w:tcW w:w="12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Kevin J. Caponecchi (5)</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464,199</w:t>
            </w:r>
          </w:p>
        </w:tc>
        <w:tc>
          <w:tcPr>
            <w:tcW w:w="12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Juan C. Bianchi (6)</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337,012</w:t>
            </w:r>
          </w:p>
        </w:tc>
        <w:tc>
          <w:tcPr>
            <w:tcW w:w="12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Thomas A. McDonnell</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84,278</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Andrew B. Schmitt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69,772</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Paul S. Althasen</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54,663</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M. Jeannine Strandjord (7)</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44,924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Dr. Andrzej Olechowski</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13,480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Michael Frumkin</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12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Ligia Torres Fentanes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12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Sara Baack</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All Directors, and Executive Officers as a Group (13 persons) (8)</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4,824,855</w:t>
            </w:r>
          </w:p>
        </w:tc>
        <w:tc>
          <w:tcPr>
            <w:tcW w:w="12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Five Percent Holders:</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BlackRock, Inc.</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4,273,978</w:t>
            </w:r>
          </w:p>
        </w:tc>
        <w:tc>
          <w:tcPr>
            <w:tcW w:w="12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50 Hudson Yards (9)</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New York, NY 10001</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 Vanguard Group (10)</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4,202,098</w:t>
            </w:r>
          </w:p>
        </w:tc>
        <w:tc>
          <w:tcPr>
            <w:tcW w:w="12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4"/>
        </w:trPr>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100 Vanguard Blvd.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Malvern, PA 19355</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Allspring Global Investment Holdings, LLC (11)</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3,687,685</w:t>
            </w:r>
          </w:p>
        </w:tc>
        <w:tc>
          <w:tcPr>
            <w:tcW w:w="12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49"/>
        </w:trPr>
        <w:tc>
          <w:tcPr>
            <w:tcW w:w="8480" w:type="dxa"/>
            <w:vAlign w:val="bottom"/>
          </w:tcPr>
          <w:p>
            <w:pPr>
              <w:ind w:left="220"/>
              <w:spacing w:after="0" w:line="248" w:lineRule="exact"/>
              <w:rPr>
                <w:sz w:val="20"/>
                <w:szCs w:val="20"/>
                <w:color w:val="auto"/>
              </w:rPr>
            </w:pPr>
            <w:r>
              <w:rPr>
                <w:rFonts w:ascii="Times New Roman" w:cs="Times New Roman" w:eastAsia="Times New Roman" w:hAnsi="Times New Roman"/>
                <w:sz w:val="14"/>
                <w:szCs w:val="14"/>
                <w:color w:val="auto"/>
              </w:rPr>
              <w:t>1415 Vantage Park Drive,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4"/>
                <w:szCs w:val="14"/>
                <w:color w:val="auto"/>
              </w:rPr>
              <w:t xml:space="preserve"> Floor</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Times New Roman" w:cs="Times New Roman" w:eastAsia="Times New Roman" w:hAnsi="Times New Roman"/>
          <w:sz w:val="14"/>
          <w:szCs w:val="14"/>
          <w:color w:val="auto"/>
        </w:rPr>
        <w:t>Charlotte, NC 28203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________</w:t>
      </w:r>
    </w:p>
    <w:p>
      <w:pPr>
        <w:spacing w:after="0" w:line="48" w:lineRule="exact"/>
        <w:rPr>
          <w:sz w:val="20"/>
          <w:szCs w:val="20"/>
          <w:color w:val="auto"/>
        </w:rPr>
      </w:pPr>
    </w:p>
    <w:p>
      <w:pPr>
        <w:ind w:left="5580" w:right="4040" w:hanging="5320"/>
        <w:spacing w:after="0" w:line="330" w:lineRule="auto"/>
        <w:tabs>
          <w:tab w:leader="none" w:pos="426"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The percentage of shares of Common Stock beneficially owned does not exceed one percent of the shares outstanding.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-29845</wp:posOffset>
            </wp:positionV>
            <wp:extent cx="718502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20" w:name="page21"/>
    <w:bookmarkEnd w:id="20"/>
    <w:p>
      <w:pPr>
        <w:ind w:left="400" w:right="20" w:hanging="278"/>
        <w:spacing w:after="0" w:line="298" w:lineRule="auto"/>
        <w:tabs>
          <w:tab w:leader="none" w:pos="4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Calculation of percentage of beneficial ownership includes the assumed exercise of options to purchase Common Stock by only the respective named stockholder that are vested or that will vest within 60 days of March 18, 2024 and any restricted stock units owned by such person that will vest within 60 days of March 18, 2024.</w:t>
      </w:r>
    </w:p>
    <w:p>
      <w:pPr>
        <w:spacing w:after="0" w:line="53" w:lineRule="exact"/>
        <w:rPr>
          <w:rFonts w:ascii="Times New Roman" w:cs="Times New Roman" w:eastAsia="Times New Roman" w:hAnsi="Times New Roman"/>
          <w:sz w:val="14"/>
          <w:szCs w:val="14"/>
          <w:color w:val="auto"/>
        </w:rPr>
      </w:pPr>
    </w:p>
    <w:p>
      <w:pPr>
        <w:jc w:val="both"/>
        <w:ind w:left="400" w:right="20" w:hanging="278"/>
        <w:spacing w:after="0" w:line="277" w:lineRule="auto"/>
        <w:tabs>
          <w:tab w:leader="none" w:pos="4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584,285 shares of Common Stock issuable pursuant to options exercisable within 60 days of March 18, 2024, (ii) 34,000 shares of Common Stock held by Mr. Brown’s spouse, (iii) 206,000 shares of Common Stock held by Mr. Brown’s spouse as custodian for his children, and (iv) 276,400 shares of Common Stock held by family trusts for the benefit of Mr. Brown's spouse and children, of which Mr. Brown's spouse is the trustee.</w:t>
      </w:r>
    </w:p>
    <w:p>
      <w:pPr>
        <w:spacing w:after="0" w:line="68" w:lineRule="exact"/>
        <w:rPr>
          <w:rFonts w:ascii="Times New Roman" w:cs="Times New Roman" w:eastAsia="Times New Roman" w:hAnsi="Times New Roman"/>
          <w:sz w:val="14"/>
          <w:szCs w:val="14"/>
          <w:color w:val="auto"/>
        </w:rPr>
      </w:pPr>
    </w:p>
    <w:p>
      <w:pPr>
        <w:ind w:left="400" w:hanging="278"/>
        <w:spacing w:after="0"/>
        <w:tabs>
          <w:tab w:leader="none" w:pos="4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432,864 shares of Common Stock issuable pursuant to options exercisable within 60 days of March 18, 2024.</w:t>
      </w:r>
    </w:p>
    <w:p>
      <w:pPr>
        <w:spacing w:after="0" w:line="119" w:lineRule="exact"/>
        <w:rPr>
          <w:rFonts w:ascii="Times New Roman" w:cs="Times New Roman" w:eastAsia="Times New Roman" w:hAnsi="Times New Roman"/>
          <w:sz w:val="14"/>
          <w:szCs w:val="14"/>
          <w:color w:val="auto"/>
        </w:rPr>
      </w:pPr>
    </w:p>
    <w:p>
      <w:pPr>
        <w:ind w:left="400" w:hanging="296"/>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376,666 shares of Common Stock issuable pursuant to options exercisable within 60 days of March 18, 2024.</w:t>
      </w:r>
    </w:p>
    <w:p>
      <w:pPr>
        <w:spacing w:after="0" w:line="119" w:lineRule="exact"/>
        <w:rPr>
          <w:rFonts w:ascii="Times New Roman" w:cs="Times New Roman" w:eastAsia="Times New Roman" w:hAnsi="Times New Roman"/>
          <w:sz w:val="14"/>
          <w:szCs w:val="14"/>
          <w:color w:val="auto"/>
        </w:rPr>
      </w:pPr>
    </w:p>
    <w:p>
      <w:pPr>
        <w:ind w:left="400" w:hanging="278"/>
        <w:spacing w:after="0"/>
        <w:tabs>
          <w:tab w:leader="none" w:pos="40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371,121 shares of Common Stock issuable pursuant to options exercisable within 60 days of March 18, 2024.</w:t>
      </w:r>
    </w:p>
    <w:p>
      <w:pPr>
        <w:spacing w:after="0" w:line="119" w:lineRule="exact"/>
        <w:rPr>
          <w:rFonts w:ascii="Times New Roman" w:cs="Times New Roman" w:eastAsia="Times New Roman" w:hAnsi="Times New Roman"/>
          <w:sz w:val="14"/>
          <w:szCs w:val="14"/>
          <w:color w:val="auto"/>
        </w:rPr>
      </w:pPr>
    </w:p>
    <w:p>
      <w:pPr>
        <w:ind w:left="400" w:hanging="278"/>
        <w:spacing w:after="0"/>
        <w:tabs>
          <w:tab w:leader="none" w:pos="40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320,572 shares of Common Stock issuable pursuant to options exercisable within 60 days of March 18, 2024.</w:t>
      </w:r>
    </w:p>
    <w:p>
      <w:pPr>
        <w:spacing w:after="0" w:line="119" w:lineRule="exact"/>
        <w:rPr>
          <w:rFonts w:ascii="Times New Roman" w:cs="Times New Roman" w:eastAsia="Times New Roman" w:hAnsi="Times New Roman"/>
          <w:sz w:val="14"/>
          <w:szCs w:val="14"/>
          <w:color w:val="auto"/>
        </w:rPr>
      </w:pPr>
    </w:p>
    <w:p>
      <w:pPr>
        <w:ind w:left="400" w:hanging="278"/>
        <w:spacing w:after="0"/>
        <w:tabs>
          <w:tab w:leader="none" w:pos="40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held in Ms. Strandjord’s individual retirement account and the remainder in a revocable trust.</w:t>
      </w:r>
    </w:p>
    <w:p>
      <w:pPr>
        <w:spacing w:after="0" w:line="119" w:lineRule="exact"/>
        <w:rPr>
          <w:rFonts w:ascii="Times New Roman" w:cs="Times New Roman" w:eastAsia="Times New Roman" w:hAnsi="Times New Roman"/>
          <w:sz w:val="14"/>
          <w:szCs w:val="14"/>
          <w:color w:val="auto"/>
        </w:rPr>
      </w:pPr>
    </w:p>
    <w:p>
      <w:pPr>
        <w:ind w:left="400" w:hanging="278"/>
        <w:spacing w:after="0"/>
        <w:tabs>
          <w:tab w:leader="none" w:pos="40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2,085,508 shares of Common Stock issuable pursuant to options exercisable within 60 days of March 18, 2024.</w:t>
      </w:r>
    </w:p>
    <w:p>
      <w:pPr>
        <w:spacing w:after="0" w:line="119" w:lineRule="exact"/>
        <w:rPr>
          <w:rFonts w:ascii="Times New Roman" w:cs="Times New Roman" w:eastAsia="Times New Roman" w:hAnsi="Times New Roman"/>
          <w:sz w:val="14"/>
          <w:szCs w:val="14"/>
          <w:color w:val="auto"/>
        </w:rPr>
      </w:pPr>
    </w:p>
    <w:p>
      <w:pPr>
        <w:ind w:left="400" w:right="20" w:hanging="278"/>
        <w:spacing w:after="0" w:line="298" w:lineRule="auto"/>
        <w:tabs>
          <w:tab w:leader="none" w:pos="40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was supplied on Schedule 13G/A filed with the SEC on January 24, 2024. BlackRock, Inc. has sole power to vote over 4,046,019 shares and sole dispositive power over 4,273,978 shares.</w:t>
      </w:r>
    </w:p>
    <w:p>
      <w:pPr>
        <w:spacing w:after="0" w:line="21" w:lineRule="exact"/>
        <w:rPr>
          <w:sz w:val="20"/>
          <w:szCs w:val="20"/>
          <w:color w:val="auto"/>
        </w:rPr>
      </w:pPr>
    </w:p>
    <w:p>
      <w:pPr>
        <w:ind w:left="400" w:right="20" w:hanging="314"/>
        <w:spacing w:after="0" w:line="298" w:lineRule="auto"/>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was supplied on Schedule 13G/A filed with the SEC on February 13, 2024. The Vanguard Group has sole dispositive power over 4,132,691 shares. The Vanguard Group has shared voting power over 19,693 shares and shared dispositive power over 69,407 shares.</w:t>
      </w:r>
    </w:p>
    <w:p>
      <w:pPr>
        <w:spacing w:after="0" w:line="21" w:lineRule="exact"/>
        <w:rPr>
          <w:rFonts w:ascii="Times New Roman" w:cs="Times New Roman" w:eastAsia="Times New Roman" w:hAnsi="Times New Roman"/>
          <w:sz w:val="14"/>
          <w:szCs w:val="14"/>
          <w:color w:val="auto"/>
        </w:rPr>
      </w:pPr>
    </w:p>
    <w:p>
      <w:pPr>
        <w:jc w:val="both"/>
        <w:ind w:left="400" w:right="20" w:hanging="311"/>
        <w:spacing w:after="0" w:line="277" w:lineRule="auto"/>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was supplied on Schedule 13G/A filed with the SEC on January 12, 2024. Allspring Global Investments Holdings, LLC has sole voting power over 3,557,277 shares and sole dispositive power over 3,687,685 shares. Allspring Global Investments, LLC has sole voting power over 473,267 shares and sole dispositive power over 3,666,984 shares. Allspring Funds Management LLC has sole voting power over 3,084,010 shares and sole dispositive power over 20,701 shares.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DELINQUENT SECTION 16(a) REPORTS</w:t>
      </w:r>
    </w:p>
    <w:p>
      <w:pPr>
        <w:spacing w:after="0" w:line="1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Section 16(a) of the Exchange Act requires our directors, executive officers and persons who own more than 10% of the shares of our common stock to file an initial report of ownership on Form 3 and changes in ownership on Form 4 or Form 5 with the SEC. Such officers, directors and 10% stockholders are also required by SEC rules to furnish us with copies of any Forms 3, 4 or 5 that they file. The SEC rules require us to disclose late filings of initial reports of stock ownership and changes in stock ownership by our directors, executive officers and 10% stockholders. Based solely on a review of copies of the Forms 3, 4 and 5 furnished to us by reporting persons and any written representations furnished by certain reporting persons, we believe that during the fiscal year ended December 31, 2023, all Section 16(a) filing requirements applicable to our directors, executive officers and 10% stockholders were completed in a timely manner,except that Messrs. Caponecchi, Weller, Fountas and Claassen each filed one Form 4 one day late in connection with an RSU vesting event. ..</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92"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006EBF"/>
        </w:rPr>
        <w:t>CORPORATE GOVERNANCE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Board of Directors has determined that all of the non-employee Directors are “independent” under the listing standards of The Nasdaq Stock Market LLC.</w:t>
      </w:r>
    </w:p>
    <w:p>
      <w:pPr>
        <w:spacing w:after="0" w:line="185"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As highly accomplished individuals in their respective industries, fields and communities, the non-employee Directors are affiliated with numerous corporations, educational institutions and charities, as well as civic organizations and professional associations, many of which have charitable or other relationships with the Company. The Board considered each of these relationships and determined that none of these relationships conflict with the interests of the Company or would impair the relevant non-employee Director’s independence or judgment.</w:t>
      </w:r>
    </w:p>
    <w:p>
      <w:pPr>
        <w:spacing w:after="0" w:line="134"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In the event of Board-level discussions pertaining to a potential transaction, relationship or arrangement involving an organization with which a Director is affiliated, that Director would be expected to recuse themself from the deliberation and decision-making process.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MEETINGS AND COMMITTEES OF THE BOARD OF DIRECTORS</w:t>
      </w:r>
    </w:p>
    <w:p>
      <w:pPr>
        <w:spacing w:after="0" w:line="154" w:lineRule="exact"/>
        <w:rPr>
          <w:sz w:val="20"/>
          <w:szCs w:val="20"/>
          <w:color w:val="auto"/>
        </w:rPr>
      </w:pPr>
    </w:p>
    <w:p>
      <w:pPr>
        <w:jc w:val="both"/>
        <w:ind w:firstLine="331"/>
        <w:spacing w:after="0" w:line="290" w:lineRule="auto"/>
        <w:rPr>
          <w:sz w:val="20"/>
          <w:szCs w:val="20"/>
          <w:color w:val="auto"/>
        </w:rPr>
      </w:pPr>
      <w:r>
        <w:rPr>
          <w:rFonts w:ascii="Times New Roman" w:cs="Times New Roman" w:eastAsia="Times New Roman" w:hAnsi="Times New Roman"/>
          <w:sz w:val="14"/>
          <w:szCs w:val="14"/>
          <w:color w:val="auto"/>
        </w:rPr>
        <w:t>The Board held four regular meetings during 2023. The Board has established an Audit Committee, a Compensation Committee and a Nominating &amp; Corporate Governance Committee. During 2023, each Director attended at least 75% of the total number of meetings held by the Board and Board committees on which they served (during the period for which he or she was a 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Committee Membership</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Board committee membership is as follows: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080" w:type="dxa"/>
            <w:vAlign w:val="bottom"/>
            <w:tcBorders>
              <w:top w:val="single" w:sz="8" w:color="auto"/>
              <w:lef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60" w:type="dxa"/>
            <w:vAlign w:val="bottom"/>
            <w:tcBorders>
              <w:top w:val="single" w:sz="8" w:color="auto"/>
              <w:right w:val="single" w:sz="8" w:color="auto"/>
            </w:tcBorders>
          </w:tcPr>
          <w:p>
            <w:pPr>
              <w:spacing w:after="0"/>
              <w:rPr>
                <w:sz w:val="16"/>
                <w:szCs w:val="16"/>
                <w:color w:val="auto"/>
              </w:rPr>
            </w:pPr>
          </w:p>
        </w:tc>
        <w:tc>
          <w:tcPr>
            <w:tcW w:w="2300" w:type="dxa"/>
            <w:vAlign w:val="bottom"/>
            <w:tcBorders>
              <w:top w:val="single" w:sz="8" w:color="auto"/>
              <w:right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140" w:type="dxa"/>
            <w:vAlign w:val="bottom"/>
            <w:tcBorders>
              <w:top w:val="single" w:sz="8" w:color="auto"/>
              <w:right w:val="single" w:sz="8" w:color="auto"/>
            </w:tcBorders>
          </w:tcPr>
          <w:p>
            <w:pPr>
              <w:spacing w:after="0"/>
              <w:rPr>
                <w:sz w:val="16"/>
                <w:szCs w:val="16"/>
                <w:color w:val="auto"/>
              </w:rPr>
            </w:pPr>
          </w:p>
        </w:tc>
        <w:tc>
          <w:tcPr>
            <w:tcW w:w="2800" w:type="dxa"/>
            <w:vAlign w:val="bottom"/>
            <w:tcBorders>
              <w:top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Nominating &amp; Corporate</w:t>
            </w:r>
          </w:p>
        </w:tc>
        <w:tc>
          <w:tcPr>
            <w:tcW w:w="0" w:type="dxa"/>
            <w:vAlign w:val="bottom"/>
          </w:tcPr>
          <w:p>
            <w:pPr>
              <w:spacing w:after="0"/>
              <w:rPr>
                <w:sz w:val="1"/>
                <w:szCs w:val="1"/>
                <w:color w:val="auto"/>
              </w:rPr>
            </w:pPr>
          </w:p>
        </w:tc>
      </w:tr>
      <w:tr>
        <w:trPr>
          <w:trHeight w:val="195"/>
        </w:trPr>
        <w:tc>
          <w:tcPr>
            <w:tcW w:w="3080" w:type="dxa"/>
            <w:vAlign w:val="bottom"/>
            <w:tcBorders>
              <w:left w:val="single" w:sz="8" w:color="auto"/>
              <w:bottom w:val="single" w:sz="8" w:color="auto"/>
            </w:tcBorders>
            <w:vMerge w:val="continue"/>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right w:val="single" w:sz="8" w:color="auto"/>
            </w:tcBorders>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34"/>
        </w:trPr>
        <w:tc>
          <w:tcPr>
            <w:tcW w:w="3080" w:type="dxa"/>
            <w:vAlign w:val="bottom"/>
            <w:tcBorders>
              <w:left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color w:val="auto"/>
              </w:rPr>
              <w:t>Michael J. Brown</w:t>
            </w:r>
            <w:r>
              <w:rPr>
                <w:rFonts w:ascii="Times New Roman" w:cs="Times New Roman" w:eastAsia="Times New Roman" w:hAnsi="Times New Roman"/>
                <w:sz w:val="14"/>
                <w:szCs w:val="14"/>
                <w:b w:val="1"/>
                <w:bCs w:val="1"/>
                <w:color w:val="auto"/>
              </w:rPr>
              <w:t>*</w:t>
            </w:r>
          </w:p>
        </w:tc>
        <w:tc>
          <w:tcPr>
            <w:tcW w:w="56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308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3080" w:type="dxa"/>
            <w:vAlign w:val="bottom"/>
            <w:tcBorders>
              <w:left w:val="single" w:sz="8" w:color="auto"/>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color w:val="auto"/>
              </w:rPr>
              <w:t xml:space="preserve">Paul S. Althasen </w:t>
            </w:r>
            <w:r>
              <w:rPr>
                <w:rFonts w:ascii="Times New Roman" w:cs="Times New Roman" w:eastAsia="Times New Roman" w:hAnsi="Times New Roman"/>
                <w:sz w:val="14"/>
                <w:szCs w:val="14"/>
                <w:b w:val="1"/>
                <w:bCs w:val="1"/>
                <w:color w:val="auto"/>
              </w:rPr>
              <w:t>- I</w:t>
            </w:r>
          </w:p>
        </w:tc>
        <w:tc>
          <w:tcPr>
            <w:tcW w:w="56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M</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0" w:type="dxa"/>
            <w:vAlign w:val="bottom"/>
          </w:tcPr>
          <w:p>
            <w:pPr>
              <w:spacing w:after="0"/>
              <w:rPr>
                <w:sz w:val="1"/>
                <w:szCs w:val="1"/>
                <w:color w:val="auto"/>
              </w:rPr>
            </w:pPr>
          </w:p>
        </w:tc>
      </w:tr>
      <w:tr>
        <w:trPr>
          <w:trHeight w:val="272"/>
        </w:trPr>
        <w:tc>
          <w:tcPr>
            <w:tcW w:w="3080" w:type="dxa"/>
            <w:vAlign w:val="bottom"/>
            <w:tcBorders>
              <w:left w:val="single" w:sz="8" w:color="auto"/>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color w:val="auto"/>
              </w:rPr>
              <w:t xml:space="preserve">Thomas A. McDonnell </w:t>
            </w:r>
            <w:r>
              <w:rPr>
                <w:rFonts w:ascii="Times New Roman" w:cs="Times New Roman" w:eastAsia="Times New Roman" w:hAnsi="Times New Roman"/>
                <w:sz w:val="14"/>
                <w:szCs w:val="14"/>
                <w:b w:val="1"/>
                <w:bCs w:val="1"/>
                <w:color w:val="auto"/>
              </w:rPr>
              <w:t>- I , L</w:t>
            </w:r>
          </w:p>
        </w:tc>
        <w:tc>
          <w:tcPr>
            <w:tcW w:w="56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420" w:type="dxa"/>
            <w:vAlign w:val="bottom"/>
            <w:tcBorders>
              <w:bottom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M</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72"/>
        </w:trPr>
        <w:tc>
          <w:tcPr>
            <w:tcW w:w="3080" w:type="dxa"/>
            <w:vAlign w:val="bottom"/>
            <w:tcBorders>
              <w:left w:val="single" w:sz="8" w:color="auto"/>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color w:val="auto"/>
              </w:rPr>
              <w:t xml:space="preserve">Dr. Andrzej Olechowski </w:t>
            </w:r>
            <w:r>
              <w:rPr>
                <w:rFonts w:ascii="Times New Roman" w:cs="Times New Roman" w:eastAsia="Times New Roman" w:hAnsi="Times New Roman"/>
                <w:sz w:val="14"/>
                <w:szCs w:val="14"/>
                <w:b w:val="1"/>
                <w:bCs w:val="1"/>
                <w:color w:val="auto"/>
              </w:rPr>
              <w:t>- I</w:t>
            </w:r>
          </w:p>
        </w:tc>
        <w:tc>
          <w:tcPr>
            <w:tcW w:w="56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M</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72"/>
        </w:trPr>
        <w:tc>
          <w:tcPr>
            <w:tcW w:w="3080" w:type="dxa"/>
            <w:vAlign w:val="bottom"/>
            <w:tcBorders>
              <w:left w:val="single" w:sz="8" w:color="auto"/>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color w:val="auto"/>
              </w:rPr>
              <w:t xml:space="preserve">Michael N. Frumkin </w:t>
            </w:r>
            <w:r>
              <w:rPr>
                <w:rFonts w:ascii="Times New Roman" w:cs="Times New Roman" w:eastAsia="Times New Roman" w:hAnsi="Times New Roman"/>
                <w:sz w:val="14"/>
                <w:szCs w:val="14"/>
                <w:b w:val="1"/>
                <w:bCs w:val="1"/>
                <w:color w:val="auto"/>
              </w:rPr>
              <w:t>- I</w:t>
            </w:r>
          </w:p>
        </w:tc>
        <w:tc>
          <w:tcPr>
            <w:tcW w:w="56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M</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72"/>
        </w:trPr>
        <w:tc>
          <w:tcPr>
            <w:tcW w:w="3080" w:type="dxa"/>
            <w:vAlign w:val="bottom"/>
            <w:tcBorders>
              <w:left w:val="single" w:sz="8" w:color="auto"/>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color w:val="auto"/>
              </w:rPr>
              <w:t xml:space="preserve">Andrew B. Schmitt </w:t>
            </w:r>
            <w:r>
              <w:rPr>
                <w:rFonts w:ascii="Times New Roman" w:cs="Times New Roman" w:eastAsia="Times New Roman" w:hAnsi="Times New Roman"/>
                <w:sz w:val="14"/>
                <w:szCs w:val="14"/>
                <w:b w:val="1"/>
                <w:bCs w:val="1"/>
                <w:color w:val="auto"/>
              </w:rPr>
              <w:t>- I</w:t>
            </w:r>
          </w:p>
        </w:tc>
        <w:tc>
          <w:tcPr>
            <w:tcW w:w="56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420" w:type="dxa"/>
            <w:vAlign w:val="bottom"/>
            <w:tcBorders>
              <w:bottom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72"/>
        </w:trPr>
        <w:tc>
          <w:tcPr>
            <w:tcW w:w="3080" w:type="dxa"/>
            <w:vAlign w:val="bottom"/>
            <w:tcBorders>
              <w:left w:val="single" w:sz="8" w:color="auto"/>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color w:val="auto"/>
              </w:rPr>
              <w:t xml:space="preserve">M. Jeannine Strandjord </w:t>
            </w:r>
            <w:r>
              <w:rPr>
                <w:rFonts w:ascii="Times New Roman" w:cs="Times New Roman" w:eastAsia="Times New Roman" w:hAnsi="Times New Roman"/>
                <w:sz w:val="14"/>
                <w:szCs w:val="14"/>
                <w:b w:val="1"/>
                <w:bCs w:val="1"/>
                <w:color w:val="auto"/>
              </w:rPr>
              <w:t>- I</w:t>
            </w:r>
          </w:p>
        </w:tc>
        <w:tc>
          <w:tcPr>
            <w:tcW w:w="56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420" w:type="dxa"/>
            <w:vAlign w:val="bottom"/>
            <w:tcBorders>
              <w:bottom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M</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34"/>
        </w:trPr>
        <w:tc>
          <w:tcPr>
            <w:tcW w:w="3080" w:type="dxa"/>
            <w:vAlign w:val="bottom"/>
            <w:tcBorders>
              <w:left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color w:val="auto"/>
              </w:rPr>
              <w:t xml:space="preserve">Sara Baack- </w:t>
            </w:r>
            <w:r>
              <w:rPr>
                <w:rFonts w:ascii="Times New Roman" w:cs="Times New Roman" w:eastAsia="Times New Roman" w:hAnsi="Times New Roman"/>
                <w:sz w:val="14"/>
                <w:szCs w:val="14"/>
                <w:b w:val="1"/>
                <w:bCs w:val="1"/>
                <w:color w:val="auto"/>
              </w:rPr>
              <w:t>I</w:t>
            </w:r>
          </w:p>
        </w:tc>
        <w:tc>
          <w:tcPr>
            <w:tcW w:w="56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308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3080" w:type="dxa"/>
            <w:vAlign w:val="bottom"/>
            <w:tcBorders>
              <w:left w:val="single" w:sz="8" w:color="auto"/>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color w:val="auto"/>
              </w:rPr>
              <w:t xml:space="preserve">Ligia Torres Fentanes - </w:t>
            </w:r>
            <w:r>
              <w:rPr>
                <w:rFonts w:ascii="Times New Roman" w:cs="Times New Roman" w:eastAsia="Times New Roman" w:hAnsi="Times New Roman"/>
                <w:sz w:val="14"/>
                <w:szCs w:val="14"/>
                <w:b w:val="1"/>
                <w:bCs w:val="1"/>
                <w:color w:val="auto"/>
              </w:rPr>
              <w:t>I</w:t>
            </w:r>
          </w:p>
        </w:tc>
        <w:tc>
          <w:tcPr>
            <w:tcW w:w="56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420" w:type="dxa"/>
            <w:vAlign w:val="bottom"/>
            <w:tcBorders>
              <w:bottom w:val="single" w:sz="8" w:color="auto"/>
            </w:tcBorders>
          </w:tcPr>
          <w:p>
            <w:pPr>
              <w:spacing w:after="0"/>
              <w:rPr>
                <w:sz w:val="14"/>
                <w:szCs w:val="14"/>
                <w:color w:val="auto"/>
              </w:rPr>
            </w:pPr>
          </w:p>
        </w:tc>
        <w:tc>
          <w:tcPr>
            <w:tcW w:w="2140" w:type="dxa"/>
            <w:vAlign w:val="bottom"/>
            <w:tcBorders>
              <w:bottom w:val="single" w:sz="8" w:color="auto"/>
              <w:right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M</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337"/>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*Chairman of the Board   C - Committee Chair</w:t>
            </w:r>
          </w:p>
        </w:tc>
        <w:tc>
          <w:tcPr>
            <w:tcW w:w="3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 - Committee Member  I - Independent Director</w:t>
            </w:r>
          </w:p>
        </w:tc>
        <w:tc>
          <w:tcPr>
            <w:tcW w:w="2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 - Lead Director</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The Company has an Audit Committee established in accordance with the requirements of the Securities Exchange Act of 1934 (the "Exchange Act"). The Audit Committee of the Board, composed solely of independent Directors, met four times in 2023. The following four Directors are members of the Audit Committee: M. Jeannine Strandjord, Chair, Thomas A. McDonnell, Ligia Torres Fentanes, and Andrew B. Schmitt. The Audit Committee operates under a written charter adopted by the Board, which is published on Euronet’s website at http://ir.euronetworldwide.com/corporate-governance.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68" w:right="319" w:bottom="1440" w:gutter="0" w:footer="0" w:header="0"/>
        </w:sectPr>
      </w:pPr>
    </w:p>
    <w:bookmarkStart w:id="22" w:name="page23"/>
    <w:bookmarkEnd w:id="22"/>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Board has determined that each of the Audit Committee members is independent, as that term is defined under the enhanced independence standards for audit committee members in the Exchange Act and rules promulgated thereunder, as amended and incorporated into the listing standards of The Nasdaq Stock Market LLC.</w:t>
      </w:r>
    </w:p>
    <w:p>
      <w:pPr>
        <w:spacing w:after="0" w:line="119"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Board has determined that each of the members of the Audit Committee is an “audit committee financial expert” as that term is defined in the rules promulgated by the SEC pursuant to the Sarbanes-Oxley Act of 2002.</w:t>
      </w:r>
    </w:p>
    <w:p>
      <w:pPr>
        <w:spacing w:after="0" w:line="119" w:lineRule="exact"/>
        <w:rPr>
          <w:sz w:val="20"/>
          <w:szCs w:val="20"/>
          <w:color w:val="auto"/>
        </w:rPr>
      </w:pPr>
    </w:p>
    <w:p>
      <w:pPr>
        <w:jc w:val="both"/>
        <w:ind w:firstLine="331"/>
        <w:spacing w:after="0" w:line="269" w:lineRule="auto"/>
        <w:rPr>
          <w:sz w:val="20"/>
          <w:szCs w:val="20"/>
          <w:color w:val="auto"/>
        </w:rPr>
      </w:pPr>
      <w:r>
        <w:rPr>
          <w:rFonts w:ascii="Times New Roman" w:cs="Times New Roman" w:eastAsia="Times New Roman" w:hAnsi="Times New Roman"/>
          <w:sz w:val="14"/>
          <w:szCs w:val="14"/>
          <w:color w:val="auto"/>
        </w:rPr>
        <w:t>The Audit Committee has oversight responsibilities with respect to our financial reporting process and systems of internal controls regarding finance, accounting and legal compliance. The Audit Committee is responsible for retaining, evaluating and monitoring our independent registered public accounting firm and for providing an audit committee report for inclusion in our Proxy Statement. The Audit Committee is also responsible for maintaining open communication among the Audit Committee, management and our outside auditors. However, the Audit Committee is not responsible for conducting audits, preparing financial statements, or assuring the accuracy of financial statements or filings, all of which is the responsibility of management and/or the outside auditors.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w:t>
      </w:r>
    </w:p>
    <w:p>
      <w:pPr>
        <w:spacing w:after="0" w:line="187" w:lineRule="exact"/>
        <w:rPr>
          <w:sz w:val="20"/>
          <w:szCs w:val="20"/>
          <w:color w:val="auto"/>
        </w:rPr>
      </w:pPr>
    </w:p>
    <w:p>
      <w:pPr>
        <w:jc w:val="both"/>
        <w:ind w:firstLine="331"/>
        <w:spacing w:after="0" w:line="265" w:lineRule="auto"/>
        <w:rPr>
          <w:sz w:val="20"/>
          <w:szCs w:val="20"/>
          <w:color w:val="auto"/>
        </w:rPr>
      </w:pPr>
      <w:r>
        <w:rPr>
          <w:rFonts w:ascii="Times New Roman" w:cs="Times New Roman" w:eastAsia="Times New Roman" w:hAnsi="Times New Roman"/>
          <w:sz w:val="14"/>
          <w:szCs w:val="14"/>
          <w:color w:val="auto"/>
        </w:rPr>
        <w:t>The Compensation Committee of the Board met four times in 2023 to determine policies regarding the compensation of our executives and to review, determine and recommend to the full Board, as appropriate, the approval of the grant of options, restricted stock units and cash bonuses to our executives. The purpose of the Compensation Committee is to make determinations and recommendations, as appropriate, to the Board with respect to the compensation of our Chief Executive Officer and other senior executive officers. The following seven Directors are members of the Compensation Committee: Andrew B. Schmitt, Chair, Thomas A. McDonnell, M. Jeannine Strandjord, Dr. Andrzej Olechowski, Paul S. Althasen, Michael N. Frumkin, and Ligia Torres Fentanes. The Board has determined that all the members of the Compensation Committee are: (i) independent as defined under the independence standards of the listing standards of The Nasdaq Stock Market LLC both for directors generally and those applicable to members of the Compensation Committee and (ii) “non-employee” directors under Section 16 rules.</w:t>
      </w:r>
    </w:p>
    <w:p>
      <w:pPr>
        <w:spacing w:after="0" w:line="143"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Compensation Committee performs its functions and responsibilities pursuant to a written charter adopted by our Board, which is published on Euronet’s website at http://ir.euronetworldwide.com/corporate-governance.</w:t>
      </w:r>
    </w:p>
    <w:p>
      <w:pPr>
        <w:spacing w:after="0" w:line="119" w:lineRule="exact"/>
        <w:rPr>
          <w:sz w:val="20"/>
          <w:szCs w:val="20"/>
          <w:color w:val="auto"/>
        </w:rPr>
      </w:pPr>
    </w:p>
    <w:p>
      <w:pPr>
        <w:jc w:val="both"/>
        <w:ind w:firstLine="331"/>
        <w:spacing w:after="0" w:line="290" w:lineRule="auto"/>
        <w:rPr>
          <w:sz w:val="20"/>
          <w:szCs w:val="20"/>
          <w:color w:val="auto"/>
        </w:rPr>
      </w:pPr>
      <w:r>
        <w:rPr>
          <w:rFonts w:ascii="Times New Roman" w:cs="Times New Roman" w:eastAsia="Times New Roman" w:hAnsi="Times New Roman"/>
          <w:sz w:val="14"/>
          <w:szCs w:val="14"/>
          <w:color w:val="auto"/>
        </w:rPr>
        <w:t>Its charter authorizes our Compensation Committee to delegate its responsibilities to one or more subcommittees or Directors, in accordance with restrictions set forth in the charter. Under the terms of our incentive plans, our Compensation Committee is authorized to administer the plans and may delegate its authority under such plans to another committee of the Board or a Director.</w:t>
      </w:r>
    </w:p>
    <w:p>
      <w:pPr>
        <w:spacing w:after="0" w:line="302"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Our human resources department supports the Compensation Committee in its work and in some cases acts pursuant to delegated authority to fulfill various functions in administering the day-to-day ministerial aspects of our compensation and benefits plans.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Annual Process for Determining Compensation of Executive Officers</w:t>
      </w:r>
    </w:p>
    <w:p>
      <w:pPr>
        <w:spacing w:after="0" w:line="176" w:lineRule="exact"/>
        <w:rPr>
          <w:sz w:val="20"/>
          <w:szCs w:val="20"/>
          <w:color w:val="auto"/>
        </w:rPr>
      </w:pPr>
    </w:p>
    <w:p>
      <w:pPr>
        <w:jc w:val="both"/>
        <w:ind w:firstLine="331"/>
        <w:spacing w:after="0" w:line="265" w:lineRule="auto"/>
        <w:rPr>
          <w:sz w:val="20"/>
          <w:szCs w:val="20"/>
          <w:color w:val="auto"/>
        </w:rPr>
      </w:pPr>
      <w:r>
        <w:rPr>
          <w:rFonts w:ascii="Times New Roman" w:cs="Times New Roman" w:eastAsia="Times New Roman" w:hAnsi="Times New Roman"/>
          <w:sz w:val="14"/>
          <w:szCs w:val="14"/>
          <w:color w:val="auto"/>
        </w:rPr>
        <w:t>As further described in the “</w:t>
      </w:r>
      <w:r>
        <w:rPr>
          <w:rFonts w:ascii="Times New Roman" w:cs="Times New Roman" w:eastAsia="Times New Roman" w:hAnsi="Times New Roman"/>
          <w:sz w:val="14"/>
          <w:szCs w:val="14"/>
          <w:i w:val="1"/>
          <w:iCs w:val="1"/>
          <w:color w:val="auto"/>
        </w:rPr>
        <w:t>Compensation Discussion and Analysis,</w:t>
      </w:r>
      <w:r>
        <w:rPr>
          <w:rFonts w:ascii="Times New Roman" w:cs="Times New Roman" w:eastAsia="Times New Roman" w:hAnsi="Times New Roman"/>
          <w:sz w:val="14"/>
          <w:szCs w:val="14"/>
          <w:color w:val="auto"/>
        </w:rPr>
        <w:t>” our Compensation Committee, together with senior management and outside consultants engaged by the Compensation Committee, conducts an annual review of our overall compensation program for executive officers. With respect to executive officer compensation, our Compensation Committee reviews each of the key components of compensation - base salary and short- and long-term incentives, both within Euronet and as compared to peers and survey data to determine whether each of these components is consistent with our compensation philosophy and its related goals and objectives. Upon the recommendation of our Chief Executive Officer with respect to the compensation of each executive officer who directly reports to him, and, based on the findings of any outside consultants that may be engaged to assist in this review, our Compensation Committee determines or recommends to the full Board, as appropriate, the compensation for all key executives, including our Chief Executive Officer. Executive officers are not involved in proposing or seeking approval for their own compensation.</w:t>
      </w:r>
    </w:p>
    <w:p>
      <w:pPr>
        <w:spacing w:after="0" w:line="3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Process for Determining Non-Employee Director Compensation</w:t>
      </w:r>
    </w:p>
    <w:p>
      <w:pPr>
        <w:spacing w:after="0" w:line="189" w:lineRule="exact"/>
        <w:rPr>
          <w:sz w:val="20"/>
          <w:szCs w:val="20"/>
          <w:color w:val="auto"/>
        </w:rPr>
      </w:pPr>
    </w:p>
    <w:p>
      <w:pPr>
        <w:jc w:val="both"/>
        <w:ind w:firstLine="331"/>
        <w:spacing w:after="0" w:line="266" w:lineRule="auto"/>
        <w:rPr>
          <w:sz w:val="20"/>
          <w:szCs w:val="20"/>
          <w:color w:val="auto"/>
        </w:rPr>
      </w:pPr>
      <w:r>
        <w:rPr>
          <w:rFonts w:ascii="Times New Roman" w:cs="Times New Roman" w:eastAsia="Times New Roman" w:hAnsi="Times New Roman"/>
          <w:sz w:val="14"/>
          <w:szCs w:val="14"/>
          <w:color w:val="auto"/>
        </w:rPr>
        <w:t>Our Compensation Committee makes recommendations to the full Board about Board compensation and benefits for non-employee Directors, including cash, equity-based awards and other compensation based on the recommendations of independent outside compensation consultants who are retained by the committee to, among other functions: (i) conduct a competitive assessment of non-employee Director compensation compared to competitive practice, (ii) inform the committee of emerging trends in director pay practices, (iii) advise on stock ownership guidelines for non-employee Directors, and (iv) assess the amount of compensation that is adequate to compensate our Directors for their time and effort with respect to Board obligations. If, after the periodic review of non-employee Director compensation by our Compensation Committee, the committee accepts recommendations from the outside compensation consultants that any changes should be made to</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0" w:right="319"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4"/>
          <w:szCs w:val="14"/>
          <w:color w:val="auto"/>
        </w:rPr>
        <w:t>such program, it will recommend such changes to our Board for approval.</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Outside Executive Compensation Consultants</w:t>
      </w:r>
    </w:p>
    <w:p>
      <w:pPr>
        <w:spacing w:after="0" w:line="189" w:lineRule="exact"/>
        <w:rPr>
          <w:sz w:val="20"/>
          <w:szCs w:val="20"/>
          <w:color w:val="auto"/>
        </w:rPr>
      </w:pPr>
    </w:p>
    <w:p>
      <w:pPr>
        <w:jc w:val="both"/>
        <w:ind w:firstLine="331"/>
        <w:spacing w:after="0" w:line="262" w:lineRule="auto"/>
        <w:rPr>
          <w:sz w:val="20"/>
          <w:szCs w:val="20"/>
          <w:color w:val="auto"/>
        </w:rPr>
      </w:pPr>
      <w:r>
        <w:rPr>
          <w:rFonts w:ascii="Times New Roman" w:cs="Times New Roman" w:eastAsia="Times New Roman" w:hAnsi="Times New Roman"/>
          <w:sz w:val="14"/>
          <w:szCs w:val="14"/>
          <w:color w:val="auto"/>
        </w:rPr>
        <w:t>The Compensation Committee directly retained FW Cook as its outside compensation consultant for 2023. FW Cook assisted the Compensation Committee and performed functions in connection with executive compensation matters for the Compensation Committee including: (i) conducting a competitive assessment of key executives’ total direct compensation (e.g., sum of base salary, annual incentive bonus and long-term incentive opportunity), (ii) evaluating appropriateness of annual and long-term incentive plan targets and standards, (iii) assessing whether the structure (the mix of cash and equity compensation, as well as annual and long-term incentives) is appropriate and competitive, (iv) comparing Euronet’s annual share utilization and earnings per share dilution for equity-based compensation to competitive practices and institutional investor guidelines, (v) comparing Euronet’s expense for stock-based compensation to its peer companies,</w:t>
      </w:r>
    </w:p>
    <w:p>
      <w:pPr>
        <w:spacing w:after="0" w:line="1" w:lineRule="exact"/>
        <w:rPr>
          <w:sz w:val="20"/>
          <w:szCs w:val="20"/>
          <w:color w:val="auto"/>
        </w:rPr>
      </w:pPr>
    </w:p>
    <w:p>
      <w:pPr>
        <w:jc w:val="both"/>
        <w:ind w:firstLine="6"/>
        <w:spacing w:after="0" w:line="263" w:lineRule="auto"/>
        <w:tabs>
          <w:tab w:leader="none" w:pos="271"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advising the Compensation Committee regarding design changes to compensatory programs and the development of new programs based on strategic goals, competitive assessment, regulatory changes and risk management, (vii) informing the Compensation Committee of emerging trends in executive compensation, the institutional investor climate and corporate governance and accounting developments, (viii) providing and periodically advising on stock ownership or retention guidelines for senior executives, and (ix) providing the Compensation Committee with regular updates regarding changes in regulatory and legislative developments impacting executive compensation.</w:t>
      </w:r>
    </w:p>
    <w:p>
      <w:pPr>
        <w:spacing w:after="0" w:line="143"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Compensation Committee assessed the independence of FW Cook pursuant to Nasdaq's rules and concluded that no conflict of interest exists that would prevent FW Cook from independently advising the Compensation Committee.</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Compensation Policies and Practices as They Relate to Risk Management</w:t>
      </w:r>
    </w:p>
    <w:p>
      <w:pPr>
        <w:spacing w:after="0" w:line="189"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Together with management, the Compensation Committee considered the design and operation of the Company’s compensation arrangements, including the performance objectives and target levels used in connection with incentive awards and evaluated the relationship between the Company’s risk management and these arrangements. The Compensation Committee believes that the Company’s compensation policies and practices do not encourage unnecessary or excessive risk taking and that any risks arising from the Company’s compensation policies and practices for its employees are not reasonably likely to have a material adverse effect on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Nominating &amp; Corporate Governance Committee</w:t>
      </w:r>
    </w:p>
    <w:p>
      <w:pPr>
        <w:spacing w:after="0" w:line="187"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The Nominating &amp; Corporate Governance Committee met four times in 2023. In February 2024, the Nominating &amp; Corporate Governance Committee met to evaluate the performance of the Board during 2023 and consider nominees for election at the Annual Meeting. Paul S. Althasen, Chair, M. Jeannine Strandjord, Andrzej Olechowski, Thomas A. McDonnell, Andrew B. Schmitt, Michael N. Frumkin, and Ligia Torres Fentanes are the current members of the Nominating &amp; Corporate Governance Committee. The Board has determined that all of the members of the Nominating &amp; Corporate Governance Committee are independent as defined under the general independence standards of the listing standards of The Nasdaq Stock Market LLC.</w:t>
      </w:r>
    </w:p>
    <w:p>
      <w:pPr>
        <w:spacing w:after="0" w:line="137" w:lineRule="exact"/>
        <w:rPr>
          <w:sz w:val="20"/>
          <w:szCs w:val="20"/>
          <w:color w:val="auto"/>
        </w:rPr>
      </w:pPr>
    </w:p>
    <w:p>
      <w:pPr>
        <w:jc w:val="both"/>
        <w:ind w:firstLine="331"/>
        <w:spacing w:after="0" w:line="263" w:lineRule="auto"/>
        <w:rPr>
          <w:sz w:val="20"/>
          <w:szCs w:val="20"/>
          <w:color w:val="auto"/>
        </w:rPr>
      </w:pPr>
      <w:r>
        <w:rPr>
          <w:rFonts w:ascii="Times New Roman" w:cs="Times New Roman" w:eastAsia="Times New Roman" w:hAnsi="Times New Roman"/>
          <w:sz w:val="14"/>
          <w:szCs w:val="14"/>
          <w:color w:val="auto"/>
        </w:rPr>
        <w:t>The Nominating &amp; Corporate Governance Committee performs the functions of a nominating committee. The Nominating &amp; Corporate Governance Committee’s charter describes the committee’s responsibilities, including developing corporate governance guidelines and seeking, screening and recommending Director candidates for nomination by the Board. The committee charter includes a provision requiring the inclusion of underrepresented individuals in all director searches also known as the "Romney rule". This charter is published on our website at http://ir.euronetworldwide.com/corporate-governance. Euronet’s Corporate Governance Guidelines contain information regarding the selection, qualification and criteria for Director nominees and the composition of the Board, and are published on Euronet’s website at http://ir.euronetworldwide.com/corporate-governance</w:t>
      </w:r>
    </w:p>
    <w:p>
      <w:pPr>
        <w:spacing w:after="0" w:line="144" w:lineRule="exact"/>
        <w:rPr>
          <w:sz w:val="20"/>
          <w:szCs w:val="20"/>
          <w:color w:val="auto"/>
        </w:rPr>
      </w:pPr>
    </w:p>
    <w:p>
      <w:pPr>
        <w:jc w:val="both"/>
        <w:ind w:firstLine="331"/>
        <w:spacing w:after="0" w:line="264" w:lineRule="auto"/>
        <w:rPr>
          <w:sz w:val="20"/>
          <w:szCs w:val="20"/>
          <w:color w:val="auto"/>
        </w:rPr>
      </w:pPr>
      <w:r>
        <w:rPr>
          <w:rFonts w:ascii="Times New Roman" w:cs="Times New Roman" w:eastAsia="Times New Roman" w:hAnsi="Times New Roman"/>
          <w:sz w:val="14"/>
          <w:szCs w:val="14"/>
          <w:color w:val="auto"/>
        </w:rPr>
        <w:t>The Nominating &amp; Corporate Governance Committee evaluates each Director in the context of the Board as a whole, with the objective of recommending a Director who can best perpetuate the success of the business and represent stockholder interests through the exercise of sound judgment using their diversity of experience in various areas. The Nominating &amp; Corporate Governance Committee considers the experience, qualifications, attributes and skills of each Director and nominee, including the person’s particular areas of expertise and other relevant qualifications, and the interplay of such experience, qualifications, attributes and skills with the Board as a whole. As determining the specific qualifications or criteria against which to evaluate the fitness or eligibility of potential Director candidates is necessarily a dynamic and an evolving process, the Board believes that it is not always in the best interests of Euronet or its stockholders to attempt to create an exhaustive list of such qualifications or criteria. Appropriate flexibility is needed to evaluate all relevant facts and circumstances in context of the needs of the Board and Euronet at a particular point in time. Accordingly, the Nominating &amp; Corporate Governance Committee reserves the right to consider those factors as it deems relevant and appropriate, including</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0" w:right="319" w:bottom="1440" w:gutter="0" w:footer="0" w:header="0"/>
        </w:sectPr>
      </w:pPr>
    </w:p>
    <w:bookmarkStart w:id="24" w:name="page25"/>
    <w:bookmarkEnd w:id="24"/>
    <w:p>
      <w:pPr>
        <w:jc w:val="both"/>
        <w:spacing w:after="0" w:line="267" w:lineRule="auto"/>
        <w:rPr>
          <w:sz w:val="20"/>
          <w:szCs w:val="20"/>
          <w:color w:val="auto"/>
        </w:rPr>
      </w:pPr>
      <w:r>
        <w:rPr>
          <w:rFonts w:ascii="Times New Roman" w:cs="Times New Roman" w:eastAsia="Times New Roman" w:hAnsi="Times New Roman"/>
          <w:sz w:val="14"/>
          <w:szCs w:val="14"/>
          <w:color w:val="auto"/>
        </w:rPr>
        <w:t>the current composition of the Board, the balance of management and independent Directors, the need for Audit Committee expertise and the evaluations of other potential Director candidates. The committee is actively engaged in planning for board succession, which is an ongoing and iterative process and one which the committee takes very seriously. The skills and backgrounds collectively represented on the board should reflect the diverse nature of the business environment in which Euronet operates and need to measurably move the Company forward. For purposes of Board composition, diversity includes, but is not limited to, business experience, geography, age, gender, and ethnicity. In determining whether to recommend a Director for re-election, the Nominating &amp; Corporate Governance Committee also considers the Director’s past attendance at meetings and participation in and contributions to the activities of the Board.</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As general guidelines, members of the Board and potential Director candidates for nomination to the Board will be persons with appropriate educational background and training and who: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have personal and professional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-64135</wp:posOffset>
            </wp:positionV>
            <wp:extent cx="52705" cy="52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act in a thorough and inquisitive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-73660</wp:posOffset>
            </wp:positionV>
            <wp:extent cx="52705" cy="52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4"/>
          <w:szCs w:val="14"/>
          <w:color w:val="auto"/>
        </w:rPr>
        <w:t>are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-73660</wp:posOffset>
            </wp:positionV>
            <wp:extent cx="52705" cy="52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4"/>
          <w:szCs w:val="14"/>
          <w:color w:val="auto"/>
        </w:rPr>
        <w:t>have practical wisdom and mature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-73660</wp:posOffset>
            </wp:positionV>
            <wp:extent cx="52705" cy="52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660" w:right="1400"/>
        <w:spacing w:after="0" w:line="257" w:lineRule="auto"/>
        <w:rPr>
          <w:sz w:val="20"/>
          <w:szCs w:val="20"/>
          <w:color w:val="auto"/>
        </w:rPr>
      </w:pPr>
      <w:r>
        <w:rPr>
          <w:rFonts w:ascii="Times New Roman" w:cs="Times New Roman" w:eastAsia="Times New Roman" w:hAnsi="Times New Roman"/>
          <w:sz w:val="14"/>
          <w:szCs w:val="14"/>
          <w:color w:val="auto"/>
        </w:rPr>
        <w:t>have demonstrated the kind of ability and judgment to work effectively with other members of the Board to serve the long-term interests of the stockholders; have a general understanding of management, marketing, accounting, finance and other elements relevant to Euronet’s success in today’s business environment; have financial and business acumen, relevant experience, and the ability to represent and act on behalf of all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-299720</wp:posOffset>
            </wp:positionV>
            <wp:extent cx="52705" cy="52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-189865</wp:posOffset>
            </wp:positionV>
            <wp:extent cx="52705" cy="52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-80645</wp:posOffset>
            </wp:positionV>
            <wp:extent cx="52705" cy="52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660" w:right="2160"/>
        <w:spacing w:after="0" w:line="275" w:lineRule="auto"/>
        <w:rPr>
          <w:sz w:val="20"/>
          <w:szCs w:val="20"/>
          <w:color w:val="auto"/>
        </w:rPr>
      </w:pPr>
      <w:r>
        <w:rPr>
          <w:rFonts w:ascii="Times New Roman" w:cs="Times New Roman" w:eastAsia="Times New Roman" w:hAnsi="Times New Roman"/>
          <w:sz w:val="14"/>
          <w:szCs w:val="14"/>
          <w:color w:val="auto"/>
        </w:rPr>
        <w:t>are willing to devote sufficient time to carrying out their duties and responsibilities effectively, including advance review of meeting materials; and are committed to serve on the Board and its committees for an extended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-205740</wp:posOffset>
            </wp:positionV>
            <wp:extent cx="52705" cy="52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-95885</wp:posOffset>
            </wp:positionV>
            <wp:extent cx="52705" cy="52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14"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In addition, we do not permit any new Directors nominated by the Board (a) who serve as a member of Euronet’s Audit Committee to serve on the audit committee of more than two other boards of public companies, (b) who serve as chief executive officers or in equivalent positions of other public companies to serve on more than two boards of public companies in addition to the Board, and (c) generally to serve on more than four other boards of public companies in addition to the Board.</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Board values the contributions of a Director whose years of service has given him or her insight into Euronet and its operations and believes term limits are not necessary.</w:t>
      </w:r>
    </w:p>
    <w:p>
      <w:pPr>
        <w:spacing w:after="0" w:line="185"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The Board believes that its membership should continue to reflect a diversity of business experience, gender, race, ethnicity, age, sexual orientation and gender identity and the Nominating/Governance Committee is committed to actively seeking women and minority candidates for the pool from which director candidates are chosen in support of the Board’s commitment to diversity. The Nominating &amp;Corporate Governance Committee has adopted a policy that the initial list of candidates from which new director nominees are chosen must include at least one qualified female and one racially or ethnically diverse candidate.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Candidate Recommendations and Nominations by stockholders</w:t>
      </w:r>
    </w:p>
    <w:p>
      <w:pPr>
        <w:spacing w:after="0" w:line="187" w:lineRule="exact"/>
        <w:rPr>
          <w:sz w:val="20"/>
          <w:szCs w:val="20"/>
          <w:color w:val="auto"/>
        </w:rPr>
      </w:pPr>
    </w:p>
    <w:p>
      <w:pPr>
        <w:jc w:val="both"/>
        <w:ind w:firstLine="331"/>
        <w:spacing w:after="0" w:line="265" w:lineRule="auto"/>
        <w:rPr>
          <w:sz w:val="20"/>
          <w:szCs w:val="20"/>
          <w:color w:val="auto"/>
        </w:rPr>
      </w:pPr>
      <w:r>
        <w:rPr>
          <w:rFonts w:ascii="Times New Roman" w:cs="Times New Roman" w:eastAsia="Times New Roman" w:hAnsi="Times New Roman"/>
          <w:sz w:val="14"/>
          <w:szCs w:val="14"/>
          <w:color w:val="auto"/>
        </w:rPr>
        <w:t>The Nominating &amp; Corporate Governance Committee’s charter provides that the Nominating &amp; Corporate Governance Committee will consider Director candidate recommendations by stockholders. Director candidates recommended by stockholders are evaluated in the same manner as candidates recommended by the Nominating and Corporate Governance Committee. Stockholders should submit any such recommendations to the Nominating &amp; Corporate Governance Committee through the method described under “</w:t>
      </w:r>
      <w:r>
        <w:rPr>
          <w:rFonts w:ascii="Times New Roman" w:cs="Times New Roman" w:eastAsia="Times New Roman" w:hAnsi="Times New Roman"/>
          <w:sz w:val="14"/>
          <w:szCs w:val="14"/>
          <w:i w:val="1"/>
          <w:iCs w:val="1"/>
          <w:color w:val="auto"/>
        </w:rPr>
        <w:t>Other Matters - Recommendations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Nominations of Individuals to Serve as Directors</w:t>
      </w:r>
      <w:r>
        <w:rPr>
          <w:rFonts w:ascii="Times New Roman" w:cs="Times New Roman" w:eastAsia="Times New Roman" w:hAnsi="Times New Roman"/>
          <w:sz w:val="14"/>
          <w:szCs w:val="14"/>
          <w:color w:val="auto"/>
        </w:rPr>
        <w:t>” below. In addition, in accordance with Euronet’s Bylaws, any stockholder of record entitled to vote for the election of Directors at the applicable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meeting of stockholders may nominate persons for election to the Board of Directors if such stockholder complies with the notice procedures set forth in the Bylaws and summarized in “</w:t>
      </w:r>
      <w:r>
        <w:rPr>
          <w:rFonts w:ascii="Times New Roman" w:cs="Times New Roman" w:eastAsia="Times New Roman" w:hAnsi="Times New Roman"/>
          <w:sz w:val="14"/>
          <w:szCs w:val="14"/>
          <w:i w:val="1"/>
          <w:iCs w:val="1"/>
          <w:color w:val="auto"/>
        </w:rPr>
        <w:t>Other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Matters - Deadline to Propose or Nominate Individuals to Serve as Directors</w:t>
      </w:r>
      <w:r>
        <w:rPr>
          <w:rFonts w:ascii="Times New Roman" w:cs="Times New Roman" w:eastAsia="Times New Roman" w:hAnsi="Times New Roman"/>
          <w:sz w:val="14"/>
          <w:szCs w:val="14"/>
          <w:color w:val="auto"/>
        </w:rPr>
        <w:t>” below.</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Lead Independent Director</w:t>
      </w:r>
    </w:p>
    <w:p>
      <w:pPr>
        <w:spacing w:after="0" w:line="187"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Under the Company’s Corporate Governance Guidelines, the Board annually selects a Lead Independent Director. The principal responsibilities of the Lead Independent Director are to call for and conduct executive sessions of the Board, serve as liaison between the Chairman of the Board and the independent Directors, approve meeting agendas and schedules for Board meetings, recommend matters to the Chairman for consideration by the Board and be available for consultation and direct communication with stockholders and all interested parties. A full list of the roles and responsibilities is included in the Company’s Corporate Governance Guidelines.</w:t>
      </w:r>
    </w:p>
    <w:p>
      <w:pPr>
        <w:spacing w:after="0" w:line="13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The Board believes that the existence of a Lead Independent Director enhances coordination of decision-making among the independent Directors and communication between them and the Chairman and provides a single point of contact for stockholders and other outside parties to communicate with the Board. Thomas A. McDonnell has acted as the Lead Independent Director since September 2014.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Combined CEO and Chairman Role</w:t>
      </w:r>
    </w:p>
    <w:p>
      <w:pPr>
        <w:spacing w:after="0" w:line="187" w:lineRule="exact"/>
        <w:rPr>
          <w:sz w:val="20"/>
          <w:szCs w:val="20"/>
          <w:color w:val="auto"/>
        </w:rPr>
      </w:pPr>
    </w:p>
    <w:p>
      <w:pPr>
        <w:jc w:val="both"/>
        <w:ind w:firstLine="331"/>
        <w:spacing w:after="0" w:line="275" w:lineRule="auto"/>
        <w:rPr>
          <w:sz w:val="20"/>
          <w:szCs w:val="20"/>
          <w:color w:val="auto"/>
        </w:rPr>
      </w:pPr>
      <w:r>
        <w:rPr>
          <w:rFonts w:ascii="Times New Roman" w:cs="Times New Roman" w:eastAsia="Times New Roman" w:hAnsi="Times New Roman"/>
          <w:sz w:val="14"/>
          <w:szCs w:val="14"/>
          <w:color w:val="auto"/>
        </w:rPr>
        <w:t>Michael J. Brown currently serves as both Chairman of the Board of Directors and Chief Executive Officer and President of the Company. The Nominating &amp; Corporate Governance Committee and the Board have considered the advantages and disadvantages of the combination of these two roles and consider it appropriate to maintain the combined roles. In particular, the Board has concluded that this structure promotes unified leadership and direction for the Company and provides a single, clear focus for the chain of command to execute the Company’s business plans and strategies.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Oversight</w:t>
      </w:r>
    </w:p>
    <w:p>
      <w:pPr>
        <w:spacing w:after="0" w:line="187" w:lineRule="exact"/>
        <w:rPr>
          <w:sz w:val="20"/>
          <w:szCs w:val="20"/>
          <w:color w:val="auto"/>
        </w:rPr>
      </w:pPr>
    </w:p>
    <w:p>
      <w:pPr>
        <w:jc w:val="both"/>
        <w:ind w:firstLine="331"/>
        <w:spacing w:after="0" w:line="269" w:lineRule="auto"/>
        <w:rPr>
          <w:sz w:val="20"/>
          <w:szCs w:val="20"/>
          <w:color w:val="auto"/>
        </w:rPr>
      </w:pPr>
      <w:r>
        <w:rPr>
          <w:rFonts w:ascii="Times New Roman" w:cs="Times New Roman" w:eastAsia="Times New Roman" w:hAnsi="Times New Roman"/>
          <w:sz w:val="14"/>
          <w:szCs w:val="14"/>
          <w:color w:val="auto"/>
        </w:rPr>
        <w:t>The Board has delegated oversight of Euronet’s risk management efforts to the Audit Committee. The Audit Committee’s role in risk oversight includes reviewing information provided by members of senior management on areas of material risk to the Company, or to the success of a particular project or endeavor under consideration, including operational, financial, legal, regulatory, compliance, cybersecurity, strategic and reputational risks. The Audit Committee uses such information to understand the Company’s risk identification, risk management and risk mitigation strategies. The Board believes that risk management is an integral part of Euronet’s annual strategic planning process, which addresses, among other things, the risks and opportunities facing the Company.</w:t>
      </w:r>
    </w:p>
    <w:p>
      <w:pPr>
        <w:spacing w:after="0" w:line="315"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Part of the Audit Committee’s responsibilities, as set forth in its charter, is to review with corporate management, the independent auditors and the internal auditors, if applicable, any legal matters, risks or exposures that could have a significant impact on the financial statements and the steps management has taken to minimize the Company’s exposure. The Company’s management regularly evaluates these controls, and the Audit Committee is provided regular updates regarding the effectiveness of the controls. The Audit Committee regularly reports to the full Board.</w:t>
      </w:r>
    </w:p>
    <w:p>
      <w:pPr>
        <w:sectPr>
          <w:pgSz w:w="11900" w:h="16838" w:orient="portrait"/>
          <w:cols w:equalWidth="0" w:num="1">
            <w:col w:w="11280"/>
          </w:cols>
          <w:pgMar w:left="300" w:top="46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Cybersecurity Oversight</w:t>
      </w:r>
    </w:p>
    <w:p>
      <w:pPr>
        <w:sectPr>
          <w:pgSz w:w="11900" w:h="16838" w:orient="portrait"/>
          <w:cols w:equalWidth="0" w:num="1">
            <w:col w:w="10159"/>
          </w:cols>
          <w:pgMar w:left="300" w:top="123" w:right="1440" w:bottom="1440" w:gutter="0" w:footer="0" w:header="0"/>
        </w:sectPr>
      </w:pPr>
    </w:p>
    <w:bookmarkStart w:id="27" w:name="page28"/>
    <w:bookmarkEnd w:id="27"/>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The Board is responsible for overseeing cybersecurity risk. In 2023, the Company's Chief Technology Officer gave two presentations to the Board regarding the security and integrity of the Company's systems, including cybersecurity updates that focused on the Company's most critical processing systems, cybersecurity infrastructure and procedures, drills and training of employees, mitigation of cyber risks and assessments by third-party experts. See “Corporate Responsibility and Sustainability at Euronet—Governance—Cybersecurity Risk Management Strategy."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Communications with the Board of Directors</w:t>
      </w:r>
    </w:p>
    <w:p>
      <w:pPr>
        <w:spacing w:after="0" w:line="18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The Board has approved a formal policy for stockholders to send communications to the Board or its individual members. stockholders can send communications to the Board and specified individual Directors by mailing a letter to the attention of the Board or a specific Director (c/o the General Counsel) at Euronet Worldwide, Inc., 11400 Tomahawk Creek Parkway, Suite 300, Leawood, Kansas 66211 or by sending an email to directors@eeft.com.</w:t>
      </w:r>
    </w:p>
    <w:p>
      <w:pPr>
        <w:spacing w:after="0" w:line="134"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Upon receipt of a communication for the Board or an individual Director, the General Counsel will promptly forward any such communication to all the members of the Board or the individual Director, as appropriate. If a communication to an individual Director deals with a matter regarding Euronet, the General Counsel will forward the communication to the entire Board, as well as the individual Director. Neither the Board nor a specific Director is required to respond to stockholder communications and when responding shall do so only in compliance with the Corporate Governance Guidelines.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Director Attendance at Annual Meeting</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Euronet has a policy encouraging its Directors to attend the Annual Meeting of stockholders. Eight Directors, Michael J. Brown, Andrew B. Schmitt, Paul S. Althasen, M. Jeannine Strandjord, Thomas A. McDonnell, Dr. Andrzej Olechowski, Ligia Torres Fentanes, and Michael N. Frumkin, attended our 2023 Annual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Conduct</w:t>
      </w:r>
    </w:p>
    <w:p>
      <w:pPr>
        <w:spacing w:after="0" w:line="18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The Board has adopted a Code of Business Conduct &amp; Ethics for Directors, Officers and Employees (the “Code of Conduct”) that applies to our directors, executive officers and our employees. The Code of Conduct is available on Euronet’s website at http://ir.euronetworldwide.com/corporate-governance. Any amendment to or waiver of the Code of Conduct will be filed on Form 8-K or posted on our website.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06EBF"/>
        </w:rPr>
        <w:t>PROPOSAL 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Directors are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5180" w:type="dxa"/>
            <w:vAlign w:val="bottom"/>
          </w:tcPr>
          <w:p>
            <w:pPr>
              <w:spacing w:after="0"/>
              <w:rPr>
                <w:sz w:val="13"/>
                <w:szCs w:val="13"/>
                <w:color w:val="auto"/>
              </w:rPr>
            </w:pPr>
          </w:p>
        </w:tc>
        <w:tc>
          <w:tcPr>
            <w:tcW w:w="7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1460" w:type="dxa"/>
            <w:vAlign w:val="bottom"/>
          </w:tcPr>
          <w:p>
            <w:pPr>
              <w:spacing w:after="0"/>
              <w:rPr>
                <w:sz w:val="13"/>
                <w:szCs w:val="13"/>
                <w:color w:val="auto"/>
              </w:rPr>
            </w:pPr>
          </w:p>
        </w:tc>
        <w:tc>
          <w:tcPr>
            <w:tcW w:w="1920" w:type="dxa"/>
            <w:vAlign w:val="bottom"/>
            <w:gridSpan w:val="2"/>
          </w:tcPr>
          <w:p>
            <w:pPr>
              <w:jc w:val="center"/>
              <w:ind w:right="1500"/>
              <w:spacing w:after="0"/>
              <w:rPr>
                <w:sz w:val="20"/>
                <w:szCs w:val="20"/>
                <w:color w:val="auto"/>
              </w:rPr>
            </w:pPr>
            <w:r>
              <w:rPr>
                <w:rFonts w:ascii="Times New Roman" w:cs="Times New Roman" w:eastAsia="Times New Roman" w:hAnsi="Times New Roman"/>
                <w:sz w:val="12"/>
                <w:szCs w:val="12"/>
                <w:b w:val="1"/>
                <w:bCs w:val="1"/>
                <w:color w:val="auto"/>
                <w:w w:val="91"/>
              </w:rPr>
              <w:t>Position</w:t>
            </w:r>
          </w:p>
        </w:tc>
        <w:tc>
          <w:tcPr>
            <w:tcW w:w="1280" w:type="dxa"/>
            <w:vAlign w:val="bottom"/>
            <w:gridSpan w:val="3"/>
          </w:tcPr>
          <w:p>
            <w:pPr>
              <w:jc w:val="center"/>
              <w:ind w:left="490"/>
              <w:spacing w:after="0"/>
              <w:rPr>
                <w:sz w:val="20"/>
                <w:szCs w:val="20"/>
                <w:color w:val="auto"/>
              </w:rPr>
            </w:pPr>
            <w:r>
              <w:rPr>
                <w:rFonts w:ascii="Times New Roman" w:cs="Times New Roman" w:eastAsia="Times New Roman" w:hAnsi="Times New Roman"/>
                <w:sz w:val="12"/>
                <w:szCs w:val="12"/>
                <w:b w:val="1"/>
                <w:bCs w:val="1"/>
                <w:color w:val="auto"/>
                <w:w w:val="95"/>
              </w:rPr>
              <w:t>Term Expires</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Michael N. Frumkin</w:t>
            </w: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color w:val="auto"/>
                <w:w w:val="92"/>
              </w:rPr>
              <w:t>Class</w:t>
            </w: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80" w:type="dxa"/>
            <w:vAlign w:val="bottom"/>
            <w:gridSpan w:val="2"/>
            <w:vMerge w:val="continue"/>
          </w:tcPr>
          <w:p>
            <w:pPr>
              <w:spacing w:after="0"/>
              <w:rPr>
                <w:sz w:val="13"/>
                <w:szCs w:val="13"/>
                <w:color w:val="auto"/>
              </w:rPr>
            </w:pPr>
          </w:p>
        </w:tc>
        <w:tc>
          <w:tcPr>
            <w:tcW w:w="2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55</w:t>
            </w:r>
          </w:p>
        </w:tc>
        <w:tc>
          <w:tcPr>
            <w:tcW w:w="5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92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4"/>
                <w:szCs w:val="14"/>
                <w:color w:val="auto"/>
              </w:rPr>
              <w:t>III Director</w:t>
            </w:r>
          </w:p>
        </w:tc>
        <w:tc>
          <w:tcPr>
            <w:tcW w:w="580" w:type="dxa"/>
            <w:vAlign w:val="bottom"/>
          </w:tcPr>
          <w:p>
            <w:pPr>
              <w:spacing w:after="0"/>
              <w:rPr>
                <w:sz w:val="13"/>
                <w:szCs w:val="13"/>
                <w:color w:val="auto"/>
              </w:rPr>
            </w:pPr>
          </w:p>
        </w:tc>
        <w:tc>
          <w:tcPr>
            <w:tcW w:w="6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S. Althasen</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c>
          <w:tcPr>
            <w:tcW w:w="540" w:type="dxa"/>
            <w:vAlign w:val="bottom"/>
          </w:tcPr>
          <w:p>
            <w:pPr>
              <w:spacing w:after="0"/>
              <w:rPr>
                <w:sz w:val="15"/>
                <w:szCs w:val="15"/>
                <w:color w:val="auto"/>
              </w:rPr>
            </w:pPr>
          </w:p>
        </w:tc>
        <w:tc>
          <w:tcPr>
            <w:tcW w:w="33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Class III Director</w:t>
            </w:r>
          </w:p>
        </w:tc>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4"/>
                <w:szCs w:val="14"/>
                <w:color w:val="auto"/>
                <w:w w:val="99"/>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A. McDonnell</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c>
          <w:tcPr>
            <w:tcW w:w="540" w:type="dxa"/>
            <w:vAlign w:val="bottom"/>
          </w:tcPr>
          <w:p>
            <w:pPr>
              <w:spacing w:after="0"/>
              <w:rPr>
                <w:sz w:val="16"/>
                <w:szCs w:val="16"/>
                <w:color w:val="auto"/>
              </w:rPr>
            </w:pPr>
          </w:p>
        </w:tc>
        <w:tc>
          <w:tcPr>
            <w:tcW w:w="33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Class III Director</w:t>
            </w:r>
          </w:p>
        </w:tc>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4"/>
                <w:szCs w:val="14"/>
                <w:color w:val="auto"/>
                <w:w w:val="99"/>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Andrzej Olechowski</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76</w:t>
            </w:r>
          </w:p>
        </w:tc>
        <w:tc>
          <w:tcPr>
            <w:tcW w:w="540" w:type="dxa"/>
            <w:vAlign w:val="bottom"/>
          </w:tcPr>
          <w:p>
            <w:pPr>
              <w:spacing w:after="0"/>
              <w:rPr>
                <w:sz w:val="19"/>
                <w:szCs w:val="19"/>
                <w:color w:val="auto"/>
              </w:rPr>
            </w:pPr>
          </w:p>
        </w:tc>
        <w:tc>
          <w:tcPr>
            <w:tcW w:w="33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Class II Director</w:t>
            </w:r>
          </w:p>
        </w:tc>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4"/>
                <w:szCs w:val="14"/>
                <w:color w:val="auto"/>
                <w:w w:val="99"/>
              </w:rPr>
              <w:t>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Sara Baack</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540" w:type="dxa"/>
            <w:vAlign w:val="bottom"/>
          </w:tcPr>
          <w:p>
            <w:pPr>
              <w:spacing w:after="0"/>
              <w:rPr>
                <w:sz w:val="15"/>
                <w:szCs w:val="15"/>
                <w:color w:val="auto"/>
              </w:rPr>
            </w:pPr>
          </w:p>
        </w:tc>
        <w:tc>
          <w:tcPr>
            <w:tcW w:w="33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Class II Director</w:t>
            </w:r>
          </w:p>
        </w:tc>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4"/>
                <w:szCs w:val="14"/>
                <w:color w:val="auto"/>
                <w:w w:val="99"/>
              </w:rPr>
              <w:t>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Ligia Torres Fentanes</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540" w:type="dxa"/>
            <w:vAlign w:val="bottom"/>
          </w:tcPr>
          <w:p>
            <w:pPr>
              <w:spacing w:after="0"/>
              <w:rPr>
                <w:sz w:val="15"/>
                <w:szCs w:val="15"/>
                <w:color w:val="auto"/>
              </w:rPr>
            </w:pPr>
          </w:p>
        </w:tc>
        <w:tc>
          <w:tcPr>
            <w:tcW w:w="33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Class II Director</w:t>
            </w:r>
          </w:p>
        </w:tc>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4"/>
                <w:szCs w:val="14"/>
                <w:color w:val="auto"/>
                <w:w w:val="99"/>
              </w:rPr>
              <w:t>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Chairman, Chief Executive Officer and</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J. Brown</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540" w:type="dxa"/>
            <w:vAlign w:val="bottom"/>
          </w:tcPr>
          <w:p>
            <w:pPr>
              <w:spacing w:after="0"/>
              <w:rPr>
                <w:sz w:val="16"/>
                <w:szCs w:val="16"/>
                <w:color w:val="auto"/>
              </w:rPr>
            </w:pPr>
          </w:p>
        </w:tc>
        <w:tc>
          <w:tcPr>
            <w:tcW w:w="33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Class I Director</w:t>
            </w:r>
          </w:p>
        </w:tc>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4"/>
                <w:szCs w:val="14"/>
                <w:color w:val="auto"/>
                <w:w w:val="99"/>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Andrew B. Schmitt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c>
          <w:tcPr>
            <w:tcW w:w="540" w:type="dxa"/>
            <w:vAlign w:val="bottom"/>
          </w:tcPr>
          <w:p>
            <w:pPr>
              <w:spacing w:after="0"/>
              <w:rPr>
                <w:sz w:val="18"/>
                <w:szCs w:val="18"/>
                <w:color w:val="auto"/>
              </w:rPr>
            </w:pPr>
          </w:p>
        </w:tc>
        <w:tc>
          <w:tcPr>
            <w:tcW w:w="33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Class I Director</w:t>
            </w:r>
          </w:p>
        </w:tc>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4"/>
                <w:szCs w:val="14"/>
                <w:color w:val="auto"/>
                <w:w w:val="99"/>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 Jeannine Strandjord</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c>
          <w:tcPr>
            <w:tcW w:w="540" w:type="dxa"/>
            <w:vAlign w:val="bottom"/>
          </w:tcPr>
          <w:p>
            <w:pPr>
              <w:spacing w:after="0"/>
              <w:rPr>
                <w:sz w:val="19"/>
                <w:szCs w:val="19"/>
                <w:color w:val="auto"/>
              </w:rPr>
            </w:pPr>
          </w:p>
        </w:tc>
        <w:tc>
          <w:tcPr>
            <w:tcW w:w="33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Class I Director</w:t>
            </w:r>
          </w:p>
        </w:tc>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4"/>
                <w:szCs w:val="14"/>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Classified Board</w:t>
      </w:r>
    </w:p>
    <w:p>
      <w:pPr>
        <w:spacing w:after="0" w:line="176" w:lineRule="exact"/>
        <w:rPr>
          <w:sz w:val="20"/>
          <w:szCs w:val="20"/>
          <w:color w:val="auto"/>
        </w:rPr>
      </w:pPr>
    </w:p>
    <w:p>
      <w:pPr>
        <w:jc w:val="both"/>
        <w:ind w:right="500" w:firstLine="331"/>
        <w:spacing w:after="0" w:line="277" w:lineRule="auto"/>
        <w:rPr>
          <w:sz w:val="20"/>
          <w:szCs w:val="20"/>
          <w:color w:val="auto"/>
        </w:rPr>
      </w:pPr>
      <w:r>
        <w:rPr>
          <w:rFonts w:ascii="Times New Roman" w:cs="Times New Roman" w:eastAsia="Times New Roman" w:hAnsi="Times New Roman"/>
          <w:sz w:val="14"/>
          <w:szCs w:val="14"/>
          <w:color w:val="auto"/>
        </w:rPr>
        <w:t>We currently have nine Directors divided among three classes as described above. The Board was temporarily reduced to eight directors when Mark Callegari retired from the Board following last year's annual meeting. In February 2024, the Board size was increased to nine and Sara Baack was appointed as a Director to fill a newly created vacancy under the Class II Directors.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Board has determined that all of the Directors, other than Mr. Brown, are independent Directors as defined in the listing standards for The Nasdaq Stock Market LLC.</w:t>
      </w:r>
    </w:p>
    <w:p>
      <w:pPr>
        <w:spacing w:after="0" w:line="185" w:lineRule="exact"/>
        <w:rPr>
          <w:sz w:val="20"/>
          <w:szCs w:val="20"/>
          <w:color w:val="auto"/>
        </w:rPr>
      </w:pPr>
    </w:p>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Three Class III Directors are to be elected at the Annual Meeting for three-year terms ending 2027 at the Annual Meeting of stockholders. The Board has nominated Paul S. Althasen, Michael N. Frumkin, and Thomas A. McDonnell, for election as Class III Directors. Unless otherwise instructed, each valid proxy will be voted for Michael N. Frumkin, Paul S. Althasen, and Thomas A. McDonnell. Each of the Class III nominees has consented to serve as a Director of Euronet. If a nominee is unable or subsequently declines to serve as a Director at the time of the Annual Meeting, the proxies will be voted for any alternative nominee who shall be designated by the present Board to fill the vacancy. We are not aware of any reason why Mr. Frumkin, Mr. Althasen, or Mr. McDonnell will be unable or will decline to serve as a Director.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Nominees for Election at the Annual Meeting</w:t>
      </w:r>
    </w:p>
    <w:p>
      <w:pPr>
        <w:spacing w:after="0" w:line="165"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following is a brief description of the business experience of each nominee for Director and a brief discussion of the specific experience, qualifications, attributes or skills that led to the conclusion that the nominee should continue to serve as a Director for the Company, in light of the Company’s business and structure.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68" w:right="319" w:bottom="1440" w:gutter="0" w:footer="0" w:header="0"/>
        </w:sectPr>
      </w:pPr>
    </w:p>
    <w:bookmarkStart w:id="29" w:name="page30"/>
    <w:bookmarkEnd w:id="29"/>
    <w:p>
      <w:pPr>
        <w:jc w:val="both"/>
        <w:ind w:firstLine="331"/>
        <w:spacing w:after="0" w:line="264" w:lineRule="auto"/>
        <w:rPr>
          <w:sz w:val="20"/>
          <w:szCs w:val="20"/>
          <w:color w:val="auto"/>
        </w:rPr>
      </w:pPr>
      <w:r>
        <w:rPr>
          <w:rFonts w:ascii="Times New Roman" w:cs="Times New Roman" w:eastAsia="Times New Roman" w:hAnsi="Times New Roman"/>
          <w:sz w:val="14"/>
          <w:szCs w:val="14"/>
          <w:color w:val="auto"/>
        </w:rPr>
        <w:t>PAUL S. ALTHASEN has served on our Board since May 2003. He joined Euronet in February 2003 in connection with Euronet’s acquisition of e-pay Limited, a UK company. Mr. Althasen served as Executive Vice President of Euronet until his resignation on April 2, 2012. Mr. Althasen is a co-founder and former CEO and Co-Managing Director of e-pay, and he was responsible for the strategic direction of e-pay from its formation in 1999 until April 2012. From 1989 to 1999, Mr. Althasen was a co-founder and Managing Director of MPC Mobile Phone Center, a franchised retailer of cellular phones in the UK. Previously, Mr. Althasen worked for Chemical Bank in London where he traded financial securities. From 2008 to 2016, Mr. Althasen served as a director of Evolve Telecom Ltd., a B2B provider of telecommunication services. Mr. Althasen currently serves as a director of Lodwick Homes Ltd. Since 2008, Mr. Althasen has been a director of Pier Insurance Managed Services Ltd., where he holds joint responsibility for the company’s strategic direction and general management. Mr. Althasen has a B.A. (Honors) degree in business studies from the City of London Business School.</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Board considers as particularly valuable Mr. Althasen's broad first-hand knowledge and experience in the prepaid payments industry in Western Europe and especially in the UK.</w:t>
      </w:r>
    </w:p>
    <w:p>
      <w:pPr>
        <w:spacing w:after="0" w:line="185" w:lineRule="exact"/>
        <w:rPr>
          <w:sz w:val="20"/>
          <w:szCs w:val="20"/>
          <w:color w:val="auto"/>
        </w:rPr>
      </w:pPr>
    </w:p>
    <w:p>
      <w:pPr>
        <w:jc w:val="both"/>
        <w:ind w:firstLine="331"/>
        <w:spacing w:after="0" w:line="261" w:lineRule="auto"/>
        <w:rPr>
          <w:sz w:val="20"/>
          <w:szCs w:val="20"/>
          <w:color w:val="auto"/>
        </w:rPr>
      </w:pPr>
      <w:r>
        <w:rPr>
          <w:rFonts w:ascii="Times New Roman" w:cs="Times New Roman" w:eastAsia="Times New Roman" w:hAnsi="Times New Roman"/>
          <w:sz w:val="14"/>
          <w:szCs w:val="14"/>
          <w:color w:val="auto"/>
        </w:rPr>
        <w:t>MICHAEL N. FRUMKIN has served on our Board since June 2020. Mr. Frumkin has more than 25 years of experience in technical and management leadership roles in fast-growth, high-performance technology companies, including Silicon Valley icons like NeXT and Google. He was responsible for critical engineering functions at Verity, Excite, and Google, all of whom went from startup to successful IPOs during his tenure. In 1995, he joined a small 10 person startup that built one of the first full scale commercial internet search engines that eventually became Excite@Home, a multi-billion dollar public company. In his tenure at Excite, Mr. Frumkin was responsible for core company functions like web crawl and e-commerce engineering. After Excite, Mr. Frumkin spent several years as the Chief Technology Officer of Gamechange, the seed stage collaboration between Accenture Technology Ventures and Softbank Venture Capital, where he was responsible for technical due diligence and providing management guidance to portfolio companies. In 2002, pursuing a desire to go back to his more technical distributed computing roots, he joined Google where his responsibilities ranged from managing large engineering teams responsible for most of Google’s revenue, to overseeing critical internal software infrastructure projects. At various points in time, he was responsible for the engineering teams building and operating AdWords and the initial launch of AdSense, and the building of Google’s personalization infrastructure. In 2012, Mr. Frumkin founded the Google Accelerated Science research team within Google Research. This team worked with leading scientific institutions and universities around the world to increase the pace of discovery in important scientific research by bringing Google’s expertise in machine intelligence and machine perception to bear on fundamental science problems. Mr. Frumkin retired from Google in 2023. Mr. Frumkin holds Bachelor of Science and Master of Science degrees in Computer Science and Engineering from MIT.</w:t>
      </w:r>
    </w:p>
    <w:p>
      <w:pPr>
        <w:spacing w:after="0" w:line="148"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Board considers as particularly valuable Mr. Frumkin’s technical and engineering expertise and demonstrated success in applying that knowledge across a variety of high-growth technology companies.</w:t>
      </w:r>
    </w:p>
    <w:p>
      <w:pPr>
        <w:spacing w:after="0" w:line="119" w:lineRule="exact"/>
        <w:rPr>
          <w:sz w:val="20"/>
          <w:szCs w:val="20"/>
          <w:color w:val="auto"/>
        </w:rPr>
      </w:pPr>
    </w:p>
    <w:p>
      <w:pPr>
        <w:jc w:val="both"/>
        <w:ind w:firstLine="331"/>
        <w:spacing w:after="0" w:line="266" w:lineRule="auto"/>
        <w:rPr>
          <w:sz w:val="20"/>
          <w:szCs w:val="20"/>
          <w:color w:val="auto"/>
        </w:rPr>
      </w:pPr>
      <w:r>
        <w:rPr>
          <w:rFonts w:ascii="Times New Roman" w:cs="Times New Roman" w:eastAsia="Times New Roman" w:hAnsi="Times New Roman"/>
          <w:sz w:val="14"/>
          <w:szCs w:val="14"/>
          <w:color w:val="auto"/>
        </w:rPr>
        <w:t>THOMAS A. MCDONNELL has been a Director of Euronet since its incorporation in December 1996 and he previously served on the boards of Euronet’s predecessor companies. He has served as Lead Independent Director since September 2014. From October 1984 until September 12, 2012, he served as Chief Executive Officer of DST Systems, Inc., a former stockholder of Euronet. From September 12, 2012 through December 31, 2012, he served as non-executive Chairman of DST Systems, Inc. From 1973 to September 1995, he served as Treasurer of DST Systems, Inc. From January 1, 2013 until his retirement on December 31, 2014, Mr. McDonnell was President and Chief Executive Officer of the Ewing Marion Kauffman Foundation. Mr. McDonnell is currently a director of ENDI Corp., where he is a member of the Audit Committee. Mr. McDonnell has a B.S. in Accounting from Rockhurst University and an M.B.A. from the Wharton School of Finance.</w:t>
      </w:r>
    </w:p>
    <w:p>
      <w:pPr>
        <w:spacing w:after="0" w:line="317" w:lineRule="exact"/>
        <w:rPr>
          <w:sz w:val="20"/>
          <w:szCs w:val="20"/>
          <w:color w:val="auto"/>
        </w:rPr>
      </w:pPr>
    </w:p>
    <w:p>
      <w:pPr>
        <w:jc w:val="both"/>
        <w:ind w:firstLine="331"/>
        <w:spacing w:after="0" w:line="269" w:lineRule="auto"/>
        <w:rPr>
          <w:sz w:val="20"/>
          <w:szCs w:val="20"/>
          <w:color w:val="auto"/>
        </w:rPr>
      </w:pPr>
      <w:r>
        <w:rPr>
          <w:rFonts w:ascii="Times New Roman" w:cs="Times New Roman" w:eastAsia="Times New Roman" w:hAnsi="Times New Roman"/>
          <w:sz w:val="14"/>
          <w:szCs w:val="14"/>
          <w:color w:val="auto"/>
        </w:rPr>
        <w:t>The Board considers as particularly valuable Mr. McDonnell’s many years of experience in management of a public company in the transaction processing industry and participation on other company boards, whereby Mr. McDonnell has acquired extensive financial, accounting and management experience and substantive business knowledge. These qualities, as well as the knowledge of the Company’s business gained from his participation on the Board since the Company’s inception, are considered particularly valuable by the Board.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Directors</w:t>
      </w:r>
    </w:p>
    <w:p>
      <w:pPr>
        <w:spacing w:after="0" w:line="187" w:lineRule="exact"/>
        <w:rPr>
          <w:sz w:val="20"/>
          <w:szCs w:val="20"/>
          <w:color w:val="auto"/>
        </w:rPr>
      </w:pPr>
    </w:p>
    <w:p>
      <w:pPr>
        <w:jc w:val="both"/>
        <w:ind w:firstLine="331"/>
        <w:spacing w:after="0" w:line="290" w:lineRule="auto"/>
        <w:rPr>
          <w:sz w:val="20"/>
          <w:szCs w:val="20"/>
          <w:color w:val="auto"/>
        </w:rPr>
      </w:pPr>
      <w:r>
        <w:rPr>
          <w:rFonts w:ascii="Times New Roman" w:cs="Times New Roman" w:eastAsia="Times New Roman" w:hAnsi="Times New Roman"/>
          <w:sz w:val="14"/>
          <w:szCs w:val="14"/>
          <w:color w:val="auto"/>
        </w:rPr>
        <w:t>The following is a brief description of the business experience of each of our other Directors whose term of office will extend beyond 2024 Annual Meeting, and a brief discussion of the specific experience, qualifications, attributes or skills that led to the conclusion that the other Directors are qualified for service as a Director of the Company, in light of the Company’s business and structure.</w:t>
      </w:r>
    </w:p>
    <w:p>
      <w:pPr>
        <w:spacing w:after="0" w:line="302" w:lineRule="exact"/>
        <w:rPr>
          <w:sz w:val="20"/>
          <w:szCs w:val="20"/>
          <w:color w:val="auto"/>
        </w:rPr>
      </w:pPr>
    </w:p>
    <w:p>
      <w:pPr>
        <w:jc w:val="both"/>
        <w:ind w:firstLine="331"/>
        <w:spacing w:after="0" w:line="290" w:lineRule="auto"/>
        <w:rPr>
          <w:sz w:val="20"/>
          <w:szCs w:val="20"/>
          <w:color w:val="auto"/>
        </w:rPr>
      </w:pPr>
      <w:r>
        <w:rPr>
          <w:rFonts w:ascii="Times New Roman" w:cs="Times New Roman" w:eastAsia="Times New Roman" w:hAnsi="Times New Roman"/>
          <w:sz w:val="14"/>
          <w:szCs w:val="14"/>
          <w:color w:val="auto"/>
        </w:rPr>
        <w:t>Ms. LIGIA TORRES FENTANES has served on our Board since December 2022. Ms. Torres' professional experience includes over 30 years in the financial sector across capital markets, wealth management and asset management, where she held operational, managerial and board positions covering Latin America, Asia, Europe, the Middle East and Africa. The last 20 years of her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0" w:right="319" w:bottom="1440" w:gutter="0" w:footer="0" w:header="0"/>
        </w:sectPr>
      </w:pPr>
    </w:p>
    <w:bookmarkStart w:id="30" w:name="page31"/>
    <w:bookmarkEnd w:id="30"/>
    <w:p>
      <w:pPr>
        <w:jc w:val="both"/>
        <w:spacing w:after="0" w:line="265" w:lineRule="auto"/>
        <w:rPr>
          <w:sz w:val="20"/>
          <w:szCs w:val="20"/>
          <w:color w:val="auto"/>
        </w:rPr>
      </w:pPr>
      <w:r>
        <w:rPr>
          <w:rFonts w:ascii="Times New Roman" w:cs="Times New Roman" w:eastAsia="Times New Roman" w:hAnsi="Times New Roman"/>
          <w:sz w:val="14"/>
          <w:szCs w:val="14"/>
          <w:color w:val="auto"/>
        </w:rPr>
        <w:t>professional career were within the BNP Paribas Group. From 2013 until to her retirement in 2021, she worked in the asset management division where she first led the emerging market activities to subsequently become Chief Executive Officer of the Asia Pacific region based in Hong Kong. At present, she is a Director of the Union de Banque Privee ( UBP) in Switzerland, Alfred Berg AM (Norway) and the board chair of RAM, an alternative asset management company of Medio Banca Group. Ms. Torres has a bachelor’s degree in Business Administration from the Instituto Teconologico Autonomo de Mexico (ITAM) and postgraduate degrees in International Finance and Derivatives from HEC (Paris) and from the University of Paris Dauphine IX. She has followed the Oxford University program on Corporate Sustainability Leadership and the Non-executive Director program of the Financial Times, focused on Corporate Governance. She is fluent in English, Spanish, French and Italian.</w:t>
      </w:r>
    </w:p>
    <w:p>
      <w:pPr>
        <w:spacing w:after="0" w:line="143"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Board considers as particularly valuable Ms. Torres’s prior board work contributing to the definition and implementation of growth strategies, the reinforcement of governance and risk control frameworks and on the elaboration of strategy in sustainability.</w:t>
      </w:r>
    </w:p>
    <w:p>
      <w:pPr>
        <w:spacing w:after="0" w:line="119" w:lineRule="exact"/>
        <w:rPr>
          <w:sz w:val="20"/>
          <w:szCs w:val="20"/>
          <w:color w:val="auto"/>
        </w:rPr>
      </w:pPr>
    </w:p>
    <w:p>
      <w:pPr>
        <w:jc w:val="both"/>
        <w:ind w:firstLine="331"/>
        <w:spacing w:after="0" w:line="264" w:lineRule="auto"/>
        <w:rPr>
          <w:sz w:val="20"/>
          <w:szCs w:val="20"/>
          <w:color w:val="auto"/>
        </w:rPr>
      </w:pPr>
      <w:r>
        <w:rPr>
          <w:rFonts w:ascii="Times New Roman" w:cs="Times New Roman" w:eastAsia="Times New Roman" w:hAnsi="Times New Roman"/>
          <w:sz w:val="14"/>
          <w:szCs w:val="14"/>
          <w:color w:val="auto"/>
        </w:rPr>
        <w:t>DR. ANDRZEJ OLECHOWSKI has served on our Board since May 2002. He previously served as a Director of Euronet from its incorporation in December 1996 until May 2000. From 2005 until 2009 when he retired, Dr. Olechowski was the President of Conseil DG, a Polish consulting company. From 1995 until 2008, Dr. Olechowski served as a Senior Advisor for Central Europe Trust, Poland, a consulting firm. He has held several senior positions with the Polish government: from 1993 to 1995, he was Minister of Foreign Affairs and in 1992 he was Minister of Finance. From 1992 to 1993, and again in 1995, he served as economic advisor to President Lech Walesa. From 1991 to 1992, he was Secretary of State in the Ministry of Foreign Economic Relations and from 1989 to 1991 he was Deputy Governor of the National Bank of Poland. From May 1998 to June 2000, Dr. Olechowski served as the Chairman of Bank Handlowy w Warszawie S.A. (Poland). From 2011 to 2020, Dr. Olechowski was a Professor at Vistula University. He is Honorary Chairman of Supervisory Board of Bank Handlowy w Warszawie S.A. (Poland), and sits on the boards of various charitable and educational foundations. He received a Ph.D. in Economics in 1979 from the Central School of Planning and Statistics in Warsaw.</w:t>
      </w:r>
    </w:p>
    <w:p>
      <w:pPr>
        <w:spacing w:after="0" w:line="143"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The Board considers as particularly valuable Dr. Olechowski’s significant stature in Polish government and business, his extensive business connections in and knowledge of the banking industry in Poland and Central Europe (which have historically been among the Company’s most important markets in the EFT Division), as well as his experience as a consultant and member of other boards with respect to the strategic and market factors affecting the Company’s business.</w:t>
      </w:r>
    </w:p>
    <w:p>
      <w:pPr>
        <w:spacing w:after="0" w:line="134" w:lineRule="exact"/>
        <w:rPr>
          <w:sz w:val="20"/>
          <w:szCs w:val="20"/>
          <w:color w:val="auto"/>
        </w:rPr>
      </w:pPr>
    </w:p>
    <w:p>
      <w:pPr>
        <w:jc w:val="both"/>
        <w:ind w:firstLine="331"/>
        <w:spacing w:after="0" w:line="265" w:lineRule="auto"/>
        <w:rPr>
          <w:sz w:val="20"/>
          <w:szCs w:val="20"/>
          <w:color w:val="auto"/>
        </w:rPr>
      </w:pPr>
      <w:r>
        <w:rPr>
          <w:rFonts w:ascii="Times New Roman" w:cs="Times New Roman" w:eastAsia="Times New Roman" w:hAnsi="Times New Roman"/>
          <w:sz w:val="14"/>
          <w:szCs w:val="14"/>
          <w:color w:val="auto"/>
        </w:rPr>
        <w:t>MICHAEL J. BROWN is one of the founders of Euronet and has served as our Chairman of the Board and Chief Executive Officer since 1996 and has served as President since December 2014.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43"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The Board considers as particularly valuable Mr. Brown's deep commitment to the success of the Company (demonstrated in particular by his long-term stock holdings), his extensive experience as the founder of the Company and the initiator of each of the business lines of the Company, and the strategic, business and financial skills and knowledge he brings to his position as Director. Through his management of the Company since its inception, Mr. Brown has acquired a unique knowledge of the financial transaction processing industry in the markets in which the Company operates.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ANDREW B. SCHMITT has served on our Board since September 24, 2003. Mr. Schmitt served as President and Chief Executive Officer of Layne Christensen Company from October</w:t>
      </w:r>
    </w:p>
    <w:p>
      <w:pPr>
        <w:spacing w:after="0" w:line="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1993 until his retirement on January 31, 2012. For approximately two years prior to joining Layne Christensen Company, Mr. Schmitt was a partner in two privately owned hydrostatic pump and motor manufacturing companies and an oil and gas service company. He served as President of the Tri-State Oil Tools Division of Baker Hughes Incorporated from February 1988 to October 1991. Currently, Mr. Schmitt serves on the board of directors of FreightCar America, Inc., where he chairs the Compensation Committee and is a member of the Nominating and Corporate Governance Committee. Mr. Schmitt served as a director of Layne Christensen Company until his retirement in 2012. Mr. Schmitt holds a Bachelor of Science degree from the University of Alabama School of Commerce and Business.</w:t>
      </w:r>
    </w:p>
    <w:p>
      <w:pPr>
        <w:spacing w:after="0" w:line="145"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Board considers as particularly valuable Mr. Schmitt's extensive financial, business and management experience and skills, including in particular, valuable knowledge and experience acquired from managing an international business that, like the Company, operated in many developing markets during his tenure.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31" w:name="page32"/>
    <w:bookmarkEnd w:id="31"/>
    <w:p>
      <w:pPr>
        <w:jc w:val="both"/>
        <w:ind w:firstLine="331"/>
        <w:spacing w:after="0" w:line="262" w:lineRule="auto"/>
        <w:rPr>
          <w:sz w:val="20"/>
          <w:szCs w:val="20"/>
          <w:color w:val="auto"/>
        </w:rPr>
      </w:pPr>
      <w:r>
        <w:rPr>
          <w:rFonts w:ascii="Times New Roman" w:cs="Times New Roman" w:eastAsia="Times New Roman" w:hAnsi="Times New Roman"/>
          <w:sz w:val="14"/>
          <w:szCs w:val="14"/>
          <w:color w:val="auto"/>
        </w:rPr>
        <w:t>M. JEANNINE STRANDJORD, CPA, has 50 plus years of financial management experience and was employed in three different industries after starting in public accounting on the audit staff of Ernst and Whinney in 1968. For 20 years, beginning in 1985, she held several senior financial management roles at Sprint Corporation. She managed the successful transformation and restructuring of Sprint as Chief Integration Officer from 2003 until 2005 when she retired. Previously, she was Senior VP and Chief Financial Officer of Global Solutions, a $9 billion division, from 1998 until 2003, and was Controller and Treasurer from 1986 to 1998. Ms. Strandjord was a director of American Century Mutual Funds (for six registered investment companies) from 1994 to 2018; was a director of DST Systems, Inc., from 1996 to 2012; and has been a director of MGP Ingredients from 2013 until May 2022. She has also been a director of JE Dunn Construction Corporation, a private company, from 2006 until December 2020. Her current non-profit board is the KU Medical Center Advancement Board which she Chairs. Past non-profit boards include Rockhurst University, the Heartland Chapter of the National Association for Corporate Directors, the Kansas City Community Foundation, the World War I Museum, the Truman Library Institute and the Ewing M. Kauffman Foundation. She has been a Director of the Company since 2001 and is currently the Chair of the Audit Committee. She also served as Lead Independent Director from 2010 to 2014. Ms. Strandjord holds a bachelor’s degree in accounting and business administration from the University of Kansas. She was named “National Director of the Year” by the National Association of Corporate Directors in 2020.</w:t>
      </w:r>
    </w:p>
    <w:p>
      <w:pPr>
        <w:spacing w:after="0" w:line="319"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Board considers as particularly valuable Ms. Strandjord's experience on the boards of various other public companies, as well as an extensive background in finance, corporate governance, restructuring, talent management, and compensation and benefits.</w:t>
      </w:r>
    </w:p>
    <w:p>
      <w:pPr>
        <w:spacing w:after="0" w:line="119" w:lineRule="exact"/>
        <w:rPr>
          <w:sz w:val="20"/>
          <w:szCs w:val="20"/>
          <w:color w:val="auto"/>
        </w:rPr>
      </w:pPr>
    </w:p>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SARA BAACK was appointed in February 2024. Since 2022, Ms. Baack has been a Founding Partner at Snowhawk LP, a private investment firm that targets strategic majority investents in businesses that power the economy's digital transition across cloud, connectivity and technology services sectors. She served as Chief Product Officer of Equinix, Inc., a global interconnection and data center company, from 2019 to 2022. Previously, she was Equinix’s Chief Marketing Officer from 2012 to 2019. Ms. Baack currently serves on the board of cloud management firm ProsperOps. Ms. Baack was a director of Splunk Inc. from December 2017 until February 2023. Ms. Baack holds a B.A. from Rice University and an M.B.A. from Harvard Business School where she was a Baker Scholar.</w:t>
      </w:r>
    </w:p>
    <w:p>
      <w:pPr>
        <w:spacing w:after="0" w:line="141"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Board considers as particularly valuable Ms. Baack's extensive experience in product development and marketing across a range of industries, which, along with her C-level executive experience, will support Euronet as we continue to expand our business across new categories and more markets.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Required Vote and Board Recommendation</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Election of the Company’s three nominees for Director requires each Director nominee to receive the affirmative vote of a majority of the votes cast in person, by telephone, mailed in or represented by proxy at the Annual Meeting regarding the election of such Director nominee.</w:t>
      </w:r>
    </w:p>
    <w:p>
      <w:pPr>
        <w:spacing w:after="0" w:line="117" w:lineRule="exact"/>
        <w:rPr>
          <w:sz w:val="20"/>
          <w:szCs w:val="20"/>
          <w:color w:val="auto"/>
        </w:rPr>
      </w:pPr>
    </w:p>
    <w:p>
      <w:pPr>
        <w:spacing w:after="0"/>
        <w:tabs>
          <w:tab w:leader="none" w:pos="10020" w:val="left"/>
        </w:tabs>
        <w:rPr>
          <w:sz w:val="20"/>
          <w:szCs w:val="20"/>
          <w:color w:val="auto"/>
        </w:rPr>
      </w:pPr>
      <w:r>
        <w:rPr>
          <w:rFonts w:ascii="Times New Roman" w:cs="Times New Roman" w:eastAsia="Times New Roman" w:hAnsi="Times New Roman"/>
          <w:sz w:val="14"/>
          <w:szCs w:val="14"/>
          <w:b w:val="1"/>
          <w:bCs w:val="1"/>
          <w:color w:val="auto"/>
        </w:rPr>
        <w:t>THE BOARD UNANIMOUSLY RECOMMENDS THAT YOU VOTE “FOR” THE ELECTION OF PAUL S. ALTHASEN, MICHAEL N. FRUMKIN,</w:t>
        <w:tab/>
        <w:t>AND THOMAS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MCDONNELL AS CLASS III DIRECTORS OF EURONET.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0"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006EBF"/>
        </w:rPr>
        <w:t>PROPOSAL 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ADVISORY VOTE TO APPROVE EXECUTIVE COMPENSATION</w:t>
      </w:r>
    </w:p>
    <w:p>
      <w:pPr>
        <w:spacing w:after="0" w:line="160" w:lineRule="exact"/>
        <w:rPr>
          <w:sz w:val="20"/>
          <w:szCs w:val="20"/>
          <w:color w:val="auto"/>
        </w:rPr>
      </w:pPr>
    </w:p>
    <w:p>
      <w:pPr>
        <w:jc w:val="both"/>
        <w:ind w:firstLine="331"/>
        <w:spacing w:after="0" w:line="282" w:lineRule="auto"/>
        <w:rPr>
          <w:sz w:val="20"/>
          <w:szCs w:val="20"/>
          <w:color w:val="auto"/>
        </w:rPr>
      </w:pPr>
      <w:r>
        <w:rPr>
          <w:rFonts w:ascii="Times New Roman" w:cs="Times New Roman" w:eastAsia="Times New Roman" w:hAnsi="Times New Roman"/>
          <w:sz w:val="14"/>
          <w:szCs w:val="14"/>
          <w:color w:val="auto"/>
        </w:rPr>
        <w:t>The Dodd-Frank Wall Street Reform and Consumer Protection Act of 2010, or the Dodd-Frank Act, enables our stockholders to vote to approve, on a non-binding advisory basis, the compensation of our named executive officers as disclosed in this Proxy Statement in accordance with the SEC’s rules.</w:t>
      </w:r>
    </w:p>
    <w:p>
      <w:pPr>
        <w:spacing w:after="0" w:line="95" w:lineRule="exact"/>
        <w:rPr>
          <w:sz w:val="20"/>
          <w:szCs w:val="20"/>
          <w:color w:val="auto"/>
        </w:rPr>
      </w:pPr>
    </w:p>
    <w:p>
      <w:pPr>
        <w:jc w:val="both"/>
        <w:ind w:firstLine="331"/>
        <w:spacing w:after="0" w:line="250" w:lineRule="auto"/>
        <w:rPr>
          <w:sz w:val="20"/>
          <w:szCs w:val="20"/>
          <w:color w:val="auto"/>
        </w:rPr>
      </w:pPr>
      <w:r>
        <w:rPr>
          <w:rFonts w:ascii="Times New Roman" w:cs="Times New Roman" w:eastAsia="Times New Roman" w:hAnsi="Times New Roman"/>
          <w:sz w:val="14"/>
          <w:szCs w:val="14"/>
          <w:color w:val="auto"/>
        </w:rPr>
        <w:t xml:space="preserve">As described in detail below under the heading </w:t>
      </w:r>
      <w:r>
        <w:rPr>
          <w:rFonts w:ascii="Times New Roman" w:cs="Times New Roman" w:eastAsia="Times New Roman" w:hAnsi="Times New Roman"/>
          <w:sz w:val="14"/>
          <w:szCs w:val="14"/>
          <w:i w:val="1"/>
          <w:iCs w:val="1"/>
          <w:color w:val="auto"/>
        </w:rPr>
        <w:t>“Compensation Discussion and Analysis,”</w:t>
      </w:r>
      <w:r>
        <w:rPr>
          <w:rFonts w:ascii="Times New Roman" w:cs="Times New Roman" w:eastAsia="Times New Roman" w:hAnsi="Times New Roman"/>
          <w:sz w:val="14"/>
          <w:szCs w:val="14"/>
          <w:color w:val="auto"/>
        </w:rPr>
        <w:t xml:space="preserve"> our executive compensation programs are designed (i) to align the interests of executive management and stockholders by making individual compensation dependent upon achievement of financial goals and by providing long-term incentives through our equity-based award plans, and (ii) to provide competitive compensation that will help attract, retain and reward highly qualified executives who contribute to our long-term success. The overall compensation program is designed to reward a combination of strong individual performance, strong performance by Euronet in meeting its long-term strategic goals and stock price appreciation.</w:t>
      </w:r>
    </w:p>
    <w:p>
      <w:pPr>
        <w:spacing w:after="0" w:line="120" w:lineRule="exact"/>
        <w:rPr>
          <w:sz w:val="20"/>
          <w:szCs w:val="20"/>
          <w:color w:val="auto"/>
        </w:rPr>
      </w:pPr>
    </w:p>
    <w:p>
      <w:pPr>
        <w:jc w:val="both"/>
        <w:ind w:firstLine="331"/>
        <w:spacing w:after="0" w:line="247" w:lineRule="auto"/>
        <w:rPr>
          <w:sz w:val="20"/>
          <w:szCs w:val="20"/>
          <w:color w:val="auto"/>
        </w:rPr>
      </w:pPr>
      <w:r>
        <w:rPr>
          <w:rFonts w:ascii="Times New Roman" w:cs="Times New Roman" w:eastAsia="Times New Roman" w:hAnsi="Times New Roman"/>
          <w:sz w:val="14"/>
          <w:szCs w:val="14"/>
          <w:color w:val="auto"/>
        </w:rPr>
        <w:t>Our compensation package for executive officers consists of a balance of base salary, certain employee benefits, annual bonuses under our Executive Annual Incentive Plan, performance based equity grants and limited perquisites or other benefits. To serve the best interests of stockholders, the Compensation Committee follows an executive compensation philosophy that emphasizes performance-based compensation. This philosophy also aligns the economic interests of executive officers and stockholders by ensuring that nonvested performance-based equity incentive awards represent a substantial portion of an executive officer’s total compensation package. The Compensation Committee periodically reviews our executive compensation practices to ensure they achieve our desired goals.</w:t>
      </w:r>
    </w:p>
    <w:p>
      <w:pPr>
        <w:spacing w:after="0" w:line="122" w:lineRule="exact"/>
        <w:rPr>
          <w:sz w:val="20"/>
          <w:szCs w:val="20"/>
          <w:color w:val="auto"/>
        </w:rPr>
      </w:pPr>
    </w:p>
    <w:p>
      <w:pPr>
        <w:jc w:val="both"/>
        <w:ind w:firstLine="331"/>
        <w:spacing w:after="0" w:line="247" w:lineRule="auto"/>
        <w:rPr>
          <w:sz w:val="20"/>
          <w:szCs w:val="20"/>
          <w:color w:val="auto"/>
        </w:rPr>
      </w:pPr>
      <w:r>
        <w:rPr>
          <w:rFonts w:ascii="Times New Roman" w:cs="Times New Roman" w:eastAsia="Times New Roman" w:hAnsi="Times New Roman"/>
          <w:sz w:val="14"/>
          <w:szCs w:val="14"/>
          <w:color w:val="auto"/>
        </w:rPr>
        <w:t>At last year’s annual meeting, over 86% of the votes cast on the advisory vote on executive compensation were in favor of the Company’s named executive officer compensation for 2023. We are asking our stockholders to again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approve, on an advisory basis, the following resolution:</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“RESOLVED, that the Company’s stockholders approve, on an advisory basis, the compensation of the named executive officers, as disclosed in the Company’s Proxy Statement for the</w:t>
      </w:r>
    </w:p>
    <w:p>
      <w:pPr>
        <w:spacing w:after="0" w:line="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2024 Annual Meeting of stockholders pursuant to the compensation disclosure rules of the Securities and Exchange Commission, including the Compensation Discussion and Analysis, the compensation tables and related narrative disclosure.”</w:t>
      </w:r>
    </w:p>
    <w:p>
      <w:pPr>
        <w:spacing w:after="0" w:line="135"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say-on-pay vote is advisory, and therefore not binding on the Company, the Compensation Committee or our Board of Directors. However, our Board of Directors and Compensation Committee value the opinions of our stockholders and will consider the outcome of the vote when making future executive compensation decisions.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color w:val="auto"/>
        </w:rPr>
        <w:t>THE BOARD UNANIMOUSLY RECOMMENDS AN ADVISORY VOTE “FOR” THE APPROVAL OF THE COMPENSATION OF OUR NAMED EXECUTIVE OFFICERS, AS DISCLOSED IN THIS PROXY STATEMENT PURSUANT TO THE COMPENSATION DISCLOSURE RULES OF THE SECURITIES AND EXCHANGE COMMISSION, INCLUDING THE COMPENSATION DISCUSSION AND ANALYSIS, THE COMPENSATION TABLES AND RELATED NARRATIVE DISCLOSURE.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006EBF"/>
        </w:rPr>
        <w:t>PROPOSAL 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RATIFICATION OF KPMG LLP AS OUR INDEPENDENT REGISTERED PUBLIC ACCOUNTING FIRM FOR THE FISCAL YEAR 2024</w:t>
      </w:r>
    </w:p>
    <w:p>
      <w:pPr>
        <w:spacing w:after="0" w:line="149"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We are requesting our stockholders ratify the selection by our Audit Committee of KPMG LLP as Euronet’s independent registered public accounting firm for 2024. KPMG LLP will audit the consolidated financial statements of Euronet and its subsidiaries for 2024, review certain reports we will file with the SEC, audit the effectiveness of our internal control over financial reporting, provide our Board and stockholders with certain reports, and provide such other services as our Audit Committee and its Chairperson may approve from time to time.</w:t>
      </w:r>
    </w:p>
    <w:p>
      <w:pPr>
        <w:spacing w:after="0" w:line="134" w:lineRule="exact"/>
        <w:rPr>
          <w:sz w:val="20"/>
          <w:szCs w:val="20"/>
          <w:color w:val="auto"/>
        </w:rPr>
      </w:pPr>
    </w:p>
    <w:p>
      <w:pPr>
        <w:jc w:val="both"/>
        <w:ind w:firstLine="434"/>
        <w:spacing w:after="0" w:line="271" w:lineRule="auto"/>
        <w:rPr>
          <w:sz w:val="20"/>
          <w:szCs w:val="20"/>
          <w:color w:val="auto"/>
        </w:rPr>
      </w:pPr>
      <w:r>
        <w:rPr>
          <w:rFonts w:ascii="Times New Roman" w:cs="Times New Roman" w:eastAsia="Times New Roman" w:hAnsi="Times New Roman"/>
          <w:sz w:val="14"/>
          <w:szCs w:val="14"/>
          <w:color w:val="auto"/>
        </w:rPr>
        <w:t>KPMG LLP served as our independent registered public accounting firm for 2023, and performed professional services for us as described below in the “Audit Matters” section. Representatives of KPMG LLP are expected to be present at the Annual Meeting and will have the opportunity to make a statement if they desire and to respond to appropriate questions. Although our Audit Committee has selected KPMG LLP, it nonetheless may, in its discretion, terminate KPMG’s engagement and retain another independent registered public accounting firm at any time during the year if it concludes that such change would be in the best interests of Euronet and its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Required Vote and Board Recommendation</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Approval of the ratification of KPMG LLP as our independent registered public accounting firm for 2024 requires the affirmative vote of a majority of the shares of Common Stock present in person or represented by proxy at the Annual Meeting and voting on this proposal.</w:t>
      </w:r>
    </w:p>
    <w:p>
      <w:pPr>
        <w:spacing w:after="0" w:line="11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b w:val="1"/>
          <w:bCs w:val="1"/>
          <w:color w:val="auto"/>
        </w:rPr>
        <w:t>THE BOARD UNANIMOUSLY RECOMMENDS THAT STOCKHOLDERS VOTE “FOR” THE RATIFICATION OF THE SELECTION OF KPMG LLP AS OUR INDEPENDENT REGISTERED PUBLIC ACCOUNTING FIRM FOR THE FISCAL YEAR 2024.</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006EBF"/>
        </w:rPr>
        <w:t>COMPENSATION DISCUSSION AND ANALYSIS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89"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Euronet has a long-standing compensation philosophy that emphasizes performance-based compensation to ensure that the interests of all of our executives, including the named executive officers (NEOs), are aligned with our stockholders. Our program is market-competitive to ensure we attract, retain and reward highly qualified executives who contribute to our success with compensation packages established pursuant to the following principles:</w:t>
      </w:r>
    </w:p>
    <w:p>
      <w:pPr>
        <w:spacing w:after="0" w:line="99" w:lineRule="exact"/>
        <w:rPr>
          <w:sz w:val="20"/>
          <w:szCs w:val="20"/>
          <w:color w:val="auto"/>
        </w:rPr>
      </w:pPr>
    </w:p>
    <w:p>
      <w:pPr>
        <w:ind w:left="560"/>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Market-Competitive </w:t>
      </w:r>
      <w:r>
        <w:rPr>
          <w:rFonts w:ascii="Times New Roman" w:cs="Times New Roman" w:eastAsia="Times New Roman" w:hAnsi="Times New Roman"/>
          <w:sz w:val="14"/>
          <w:szCs w:val="14"/>
          <w:color w:val="auto"/>
        </w:rPr>
        <w:t>- We review and benchmark our compensation opportunities annually to ensure total direct compensation including base salary, an annual cash incentive and target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long-term equity incentives are market-competitive.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705" cy="52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60"/>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Pay for Performance </w:t>
      </w:r>
      <w:r>
        <w:rPr>
          <w:rFonts w:ascii="Times New Roman" w:cs="Times New Roman" w:eastAsia="Times New Roman" w:hAnsi="Times New Roman"/>
          <w:sz w:val="14"/>
          <w:szCs w:val="14"/>
          <w:color w:val="auto"/>
        </w:rPr>
        <w:t>- We emphasize pay for performance with at least 80% of NEO target total direct compensation dependent on the achievement of annual and long-term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705" cy="52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60"/>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Comprehensive Benefit Programs </w:t>
      </w:r>
      <w:r>
        <w:rPr>
          <w:rFonts w:ascii="Times New Roman" w:cs="Times New Roman" w:eastAsia="Times New Roman" w:hAnsi="Times New Roman"/>
          <w:sz w:val="14"/>
          <w:szCs w:val="14"/>
          <w:color w:val="auto"/>
        </w:rPr>
        <w:t>- We offer our employees a competitive benefit plan that supports retirement, health and wellness. NEOs generally have access to the same health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retirement benefits as all of our U.S.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705" cy="52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60"/>
        <w:spacing w:after="0" w:line="275" w:lineRule="auto"/>
        <w:rPr>
          <w:sz w:val="20"/>
          <w:szCs w:val="20"/>
          <w:color w:val="auto"/>
        </w:rPr>
      </w:pPr>
      <w:r>
        <w:rPr>
          <w:rFonts w:ascii="Times New Roman" w:cs="Times New Roman" w:eastAsia="Times New Roman" w:hAnsi="Times New Roman"/>
          <w:sz w:val="14"/>
          <w:szCs w:val="14"/>
          <w:b w:val="1"/>
          <w:bCs w:val="1"/>
          <w:color w:val="auto"/>
        </w:rPr>
        <w:t xml:space="preserve">Stockholder Value Alignment - </w:t>
      </w:r>
      <w:r>
        <w:rPr>
          <w:rFonts w:ascii="Times New Roman" w:cs="Times New Roman" w:eastAsia="Times New Roman" w:hAnsi="Times New Roman"/>
          <w:sz w:val="14"/>
          <w:szCs w:val="14"/>
          <w:color w:val="auto"/>
        </w:rPr>
        <w:t>We align incentive programs with stockholder value creation by using annual and three-to-five-year performance measures that drive stockholder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value. Incentive goals are directly aligned with our Board-approved long-term strategic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-205740</wp:posOffset>
            </wp:positionV>
            <wp:extent cx="52705" cy="52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82"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Management's primary operating measures are earnings per share and operating income, each adjusted for currency fluctuations and certain pre-defined, non-cash and non-recurring elements approved by the Compensation Committee, which we refer to as "adjusted EPS" and "adjusted operating income,"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Performance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 2023, the Company achieved strong financial results. Our 2023 financial performance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59625" cy="7270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727075"/>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0061AA"/>
        </w:rPr>
        <w:t>Top and Bottom Line Results</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2860" w:type="dxa"/>
            <w:vAlign w:val="bottom"/>
          </w:tcPr>
          <w:p>
            <w:pPr>
              <w:jc w:val="center"/>
              <w:ind w:left="844"/>
              <w:spacing w:after="0"/>
              <w:rPr>
                <w:sz w:val="20"/>
                <w:szCs w:val="20"/>
                <w:color w:val="auto"/>
              </w:rPr>
            </w:pPr>
            <w:r>
              <w:rPr>
                <w:rFonts w:ascii="Times New Roman" w:cs="Times New Roman" w:eastAsia="Times New Roman" w:hAnsi="Times New Roman"/>
                <w:sz w:val="16"/>
                <w:szCs w:val="16"/>
                <w:b w:val="1"/>
                <w:bCs w:val="1"/>
                <w:color w:val="0061AA"/>
                <w:w w:val="93"/>
              </w:rPr>
              <w:t>10%</w:t>
            </w: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60" w:type="dxa"/>
            <w:vAlign w:val="bottom"/>
          </w:tcPr>
          <w:p>
            <w:pPr>
              <w:jc w:val="center"/>
              <w:ind w:right="1541"/>
              <w:spacing w:after="0"/>
              <w:rPr>
                <w:sz w:val="20"/>
                <w:szCs w:val="20"/>
                <w:color w:val="auto"/>
              </w:rPr>
            </w:pPr>
            <w:r>
              <w:rPr>
                <w:rFonts w:ascii="Times New Roman" w:cs="Times New Roman" w:eastAsia="Times New Roman" w:hAnsi="Times New Roman"/>
                <w:sz w:val="16"/>
                <w:szCs w:val="16"/>
                <w:b w:val="1"/>
                <w:bCs w:val="1"/>
                <w:color w:val="0061AA"/>
                <w:w w:val="99"/>
              </w:rPr>
              <w:t>12%</w:t>
            </w:r>
          </w:p>
        </w:tc>
        <w:tc>
          <w:tcPr>
            <w:tcW w:w="3020" w:type="dxa"/>
            <w:vAlign w:val="bottom"/>
          </w:tcPr>
          <w:p>
            <w:pPr>
              <w:jc w:val="right"/>
              <w:ind w:right="1661"/>
              <w:spacing w:after="0"/>
              <w:rPr>
                <w:sz w:val="20"/>
                <w:szCs w:val="20"/>
                <w:color w:val="auto"/>
              </w:rPr>
            </w:pPr>
            <w:r>
              <w:rPr>
                <w:rFonts w:ascii="Times New Roman" w:cs="Times New Roman" w:eastAsia="Times New Roman" w:hAnsi="Times New Roman"/>
                <w:sz w:val="16"/>
                <w:szCs w:val="16"/>
                <w:b w:val="1"/>
                <w:bCs w:val="1"/>
                <w:color w:val="0061AA"/>
              </w:rPr>
              <w:t>15%</w:t>
            </w:r>
          </w:p>
        </w:tc>
        <w:tc>
          <w:tcPr>
            <w:tcW w:w="0" w:type="dxa"/>
            <w:vAlign w:val="bottom"/>
          </w:tcPr>
          <w:p>
            <w:pPr>
              <w:spacing w:after="0"/>
              <w:rPr>
                <w:sz w:val="1"/>
                <w:szCs w:val="1"/>
                <w:color w:val="auto"/>
              </w:rPr>
            </w:pPr>
          </w:p>
        </w:tc>
      </w:tr>
      <w:tr>
        <w:trPr>
          <w:trHeight w:val="191"/>
        </w:trPr>
        <w:tc>
          <w:tcPr>
            <w:tcW w:w="3540" w:type="dxa"/>
            <w:vAlign w:val="bottom"/>
            <w:gridSpan w:val="2"/>
            <w:vMerge w:val="restart"/>
          </w:tcPr>
          <w:p>
            <w:pPr>
              <w:jc w:val="center"/>
              <w:ind w:left="164"/>
              <w:spacing w:after="0"/>
              <w:rPr>
                <w:sz w:val="20"/>
                <w:szCs w:val="20"/>
                <w:color w:val="auto"/>
              </w:rPr>
            </w:pPr>
            <w:r>
              <w:rPr>
                <w:rFonts w:ascii="Times New Roman" w:cs="Times New Roman" w:eastAsia="Times New Roman" w:hAnsi="Times New Roman"/>
                <w:sz w:val="16"/>
                <w:szCs w:val="16"/>
                <w:b w:val="1"/>
                <w:bCs w:val="1"/>
                <w:color w:val="0061AA"/>
                <w:w w:val="97"/>
              </w:rPr>
              <w:t>Revenue Increase</w:t>
            </w:r>
          </w:p>
        </w:tc>
        <w:tc>
          <w:tcPr>
            <w:tcW w:w="1080" w:type="dxa"/>
            <w:vAlign w:val="bottom"/>
          </w:tcPr>
          <w:p>
            <w:pPr>
              <w:spacing w:after="0"/>
              <w:rPr>
                <w:sz w:val="16"/>
                <w:szCs w:val="16"/>
                <w:color w:val="auto"/>
              </w:rPr>
            </w:pPr>
          </w:p>
        </w:tc>
        <w:tc>
          <w:tcPr>
            <w:tcW w:w="3660" w:type="dxa"/>
            <w:vAlign w:val="bottom"/>
          </w:tcPr>
          <w:p>
            <w:pPr>
              <w:jc w:val="center"/>
              <w:ind w:right="1581"/>
              <w:spacing w:after="0"/>
              <w:rPr>
                <w:sz w:val="20"/>
                <w:szCs w:val="20"/>
                <w:color w:val="auto"/>
              </w:rPr>
            </w:pPr>
            <w:r>
              <w:rPr>
                <w:rFonts w:ascii="Times New Roman" w:cs="Times New Roman" w:eastAsia="Times New Roman" w:hAnsi="Times New Roman"/>
                <w:sz w:val="16"/>
                <w:szCs w:val="16"/>
                <w:b w:val="1"/>
                <w:bCs w:val="1"/>
                <w:color w:val="0061AA"/>
                <w:w w:val="98"/>
              </w:rPr>
              <w:t>Adjusted Operating Income</w:t>
            </w:r>
          </w:p>
        </w:tc>
        <w:tc>
          <w:tcPr>
            <w:tcW w:w="3020" w:type="dxa"/>
            <w:vAlign w:val="bottom"/>
            <w:vMerge w:val="restart"/>
          </w:tcPr>
          <w:p>
            <w:pPr>
              <w:jc w:val="center"/>
              <w:ind w:right="721"/>
              <w:spacing w:after="0"/>
              <w:rPr>
                <w:sz w:val="20"/>
                <w:szCs w:val="20"/>
                <w:color w:val="auto"/>
              </w:rPr>
            </w:pPr>
            <w:r>
              <w:rPr>
                <w:rFonts w:ascii="Times New Roman" w:cs="Times New Roman" w:eastAsia="Times New Roman" w:hAnsi="Times New Roman"/>
                <w:sz w:val="16"/>
                <w:szCs w:val="16"/>
                <w:b w:val="1"/>
                <w:bCs w:val="1"/>
                <w:color w:val="0061AA"/>
                <w:w w:val="97"/>
              </w:rPr>
              <w:t>Adjusted EPS Increase</w:t>
            </w:r>
          </w:p>
        </w:tc>
        <w:tc>
          <w:tcPr>
            <w:tcW w:w="0" w:type="dxa"/>
            <w:vAlign w:val="bottom"/>
          </w:tcPr>
          <w:p>
            <w:pPr>
              <w:spacing w:after="0"/>
              <w:rPr>
                <w:sz w:val="1"/>
                <w:szCs w:val="1"/>
                <w:color w:val="auto"/>
              </w:rPr>
            </w:pPr>
          </w:p>
        </w:tc>
      </w:tr>
      <w:tr>
        <w:trPr>
          <w:trHeight w:val="112"/>
        </w:trPr>
        <w:tc>
          <w:tcPr>
            <w:tcW w:w="354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3660" w:type="dxa"/>
            <w:vAlign w:val="bottom"/>
            <w:vMerge w:val="restart"/>
          </w:tcPr>
          <w:p>
            <w:pPr>
              <w:jc w:val="center"/>
              <w:ind w:right="1541"/>
              <w:spacing w:after="0"/>
              <w:rPr>
                <w:sz w:val="20"/>
                <w:szCs w:val="20"/>
                <w:color w:val="auto"/>
              </w:rPr>
            </w:pPr>
            <w:r>
              <w:rPr>
                <w:rFonts w:ascii="Times New Roman" w:cs="Times New Roman" w:eastAsia="Times New Roman" w:hAnsi="Times New Roman"/>
                <w:sz w:val="16"/>
                <w:szCs w:val="16"/>
                <w:b w:val="1"/>
                <w:bCs w:val="1"/>
                <w:color w:val="0061AA"/>
                <w:w w:val="96"/>
              </w:rPr>
              <w:t>Increase</w:t>
            </w:r>
          </w:p>
        </w:tc>
        <w:tc>
          <w:tcPr>
            <w:tcW w:w="3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3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3540" w:type="dxa"/>
            <w:vAlign w:val="bottom"/>
            <w:tcBorders>
              <w:bottom w:val="single" w:sz="8" w:color="auto"/>
            </w:tcBorders>
            <w:gridSpan w:val="2"/>
          </w:tcPr>
          <w:p>
            <w:pPr>
              <w:jc w:val="center"/>
              <w:ind w:left="164"/>
              <w:spacing w:after="0"/>
              <w:rPr>
                <w:sz w:val="20"/>
                <w:szCs w:val="20"/>
                <w:color w:val="auto"/>
              </w:rPr>
            </w:pPr>
            <w:r>
              <w:rPr>
                <w:rFonts w:ascii="Times New Roman" w:cs="Times New Roman" w:eastAsia="Times New Roman" w:hAnsi="Times New Roman"/>
                <w:sz w:val="14"/>
                <w:szCs w:val="14"/>
                <w:color w:val="auto"/>
              </w:rPr>
              <w:t>9% increase on a constant currency basis</w:t>
            </w:r>
            <w:r>
              <w:rPr>
                <w:rFonts w:ascii="Times New Roman" w:cs="Times New Roman" w:eastAsia="Times New Roman" w:hAnsi="Times New Roman"/>
                <w:sz w:val="23"/>
                <w:szCs w:val="23"/>
                <w:color w:val="auto"/>
                <w:vertAlign w:val="superscript"/>
              </w:rPr>
              <w:t>1</w:t>
            </w:r>
          </w:p>
        </w:tc>
        <w:tc>
          <w:tcPr>
            <w:tcW w:w="4740" w:type="dxa"/>
            <w:vAlign w:val="bottom"/>
            <w:tcBorders>
              <w:bottom w:val="single" w:sz="8" w:color="auto"/>
            </w:tcBorders>
            <w:gridSpan w:val="2"/>
          </w:tcPr>
          <w:p>
            <w:pPr>
              <w:jc w:val="center"/>
              <w:ind w:right="461"/>
              <w:spacing w:after="0"/>
              <w:rPr>
                <w:sz w:val="20"/>
                <w:szCs w:val="20"/>
                <w:color w:val="auto"/>
              </w:rPr>
            </w:pPr>
            <w:r>
              <w:rPr>
                <w:rFonts w:ascii="Times New Roman" w:cs="Times New Roman" w:eastAsia="Times New Roman" w:hAnsi="Times New Roman"/>
                <w:sz w:val="14"/>
                <w:szCs w:val="14"/>
                <w:color w:val="auto"/>
              </w:rPr>
              <w:t>12% increase on a constant currency basis</w:t>
            </w:r>
            <w:r>
              <w:rPr>
                <w:rFonts w:ascii="Times New Roman" w:cs="Times New Roman" w:eastAsia="Times New Roman" w:hAnsi="Times New Roman"/>
                <w:sz w:val="23"/>
                <w:szCs w:val="23"/>
                <w:color w:val="auto"/>
                <w:vertAlign w:val="superscript"/>
              </w:rPr>
              <w:t>1</w:t>
            </w:r>
          </w:p>
        </w:tc>
        <w:tc>
          <w:tcPr>
            <w:tcW w:w="3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6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3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6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60" w:type="dxa"/>
            <w:vAlign w:val="bottom"/>
          </w:tcPr>
          <w:p>
            <w:pPr>
              <w:jc w:val="center"/>
              <w:ind w:left="1141"/>
              <w:spacing w:after="0"/>
              <w:rPr>
                <w:sz w:val="20"/>
                <w:szCs w:val="20"/>
                <w:color w:val="auto"/>
              </w:rPr>
            </w:pPr>
            <w:r>
              <w:rPr>
                <w:rFonts w:ascii="Times New Roman" w:cs="Times New Roman" w:eastAsia="Times New Roman" w:hAnsi="Times New Roman"/>
                <w:sz w:val="16"/>
                <w:szCs w:val="16"/>
                <w:b w:val="1"/>
                <w:bCs w:val="1"/>
                <w:color w:val="006EBF"/>
                <w:w w:val="97"/>
              </w:rPr>
              <w:t>Total Stockholder Return</w:t>
            </w:r>
          </w:p>
        </w:tc>
        <w:tc>
          <w:tcPr>
            <w:tcW w:w="3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61AA"/>
                <w:w w:val="97"/>
              </w:rPr>
              <w:t>$378.4 million</w:t>
            </w: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jc w:val="center"/>
              <w:ind w:left="1141"/>
              <w:spacing w:after="0"/>
              <w:rPr>
                <w:sz w:val="20"/>
                <w:szCs w:val="20"/>
                <w:color w:val="auto"/>
              </w:rPr>
            </w:pPr>
            <w:r>
              <w:rPr>
                <w:rFonts w:ascii="Times New Roman" w:cs="Times New Roman" w:eastAsia="Times New Roman" w:hAnsi="Times New Roman"/>
                <w:sz w:val="16"/>
                <w:szCs w:val="16"/>
                <w:b w:val="1"/>
                <w:bCs w:val="1"/>
                <w:color w:val="006EBF"/>
                <w:w w:val="95"/>
              </w:rPr>
              <w:t>Year-end 2023</w:t>
            </w:r>
          </w:p>
        </w:tc>
        <w:tc>
          <w:tcPr>
            <w:tcW w:w="3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61AA"/>
                <w:w w:val="97"/>
              </w:rPr>
              <w:t>Capital Returned to</w:t>
            </w:r>
          </w:p>
        </w:tc>
        <w:tc>
          <w:tcPr>
            <w:tcW w:w="680" w:type="dxa"/>
            <w:vAlign w:val="bottom"/>
          </w:tcPr>
          <w:p>
            <w:pPr>
              <w:spacing w:after="0"/>
              <w:rPr>
                <w:sz w:val="16"/>
                <w:szCs w:val="16"/>
                <w:color w:val="auto"/>
              </w:rPr>
            </w:pPr>
          </w:p>
        </w:tc>
        <w:tc>
          <w:tcPr>
            <w:tcW w:w="1080" w:type="dxa"/>
            <w:vAlign w:val="bottom"/>
          </w:tcPr>
          <w:p>
            <w:pPr>
              <w:jc w:val="center"/>
              <w:ind w:left="303"/>
              <w:spacing w:after="0"/>
              <w:rPr>
                <w:sz w:val="20"/>
                <w:szCs w:val="20"/>
                <w:color w:val="auto"/>
              </w:rPr>
            </w:pPr>
            <w:r>
              <w:rPr>
                <w:rFonts w:ascii="Times New Roman" w:cs="Times New Roman" w:eastAsia="Times New Roman" w:hAnsi="Times New Roman"/>
                <w:sz w:val="16"/>
                <w:szCs w:val="16"/>
                <w:b w:val="1"/>
                <w:bCs w:val="1"/>
                <w:color w:val="0061AA"/>
                <w:w w:val="98"/>
              </w:rPr>
              <w:t>1-YEAR</w:t>
            </w:r>
          </w:p>
        </w:tc>
        <w:tc>
          <w:tcPr>
            <w:tcW w:w="3660" w:type="dxa"/>
            <w:vAlign w:val="bottom"/>
          </w:tcPr>
          <w:p>
            <w:pPr>
              <w:jc w:val="center"/>
              <w:ind w:left="1161"/>
              <w:spacing w:after="0"/>
              <w:rPr>
                <w:sz w:val="20"/>
                <w:szCs w:val="20"/>
                <w:color w:val="auto"/>
              </w:rPr>
            </w:pPr>
            <w:r>
              <w:rPr>
                <w:rFonts w:ascii="Times New Roman" w:cs="Times New Roman" w:eastAsia="Times New Roman" w:hAnsi="Times New Roman"/>
                <w:sz w:val="16"/>
                <w:szCs w:val="16"/>
                <w:b w:val="1"/>
                <w:bCs w:val="1"/>
                <w:color w:val="0061AA"/>
                <w:w w:val="98"/>
              </w:rPr>
              <w:t>3-YEAR</w:t>
            </w:r>
          </w:p>
        </w:tc>
        <w:tc>
          <w:tcPr>
            <w:tcW w:w="3020" w:type="dxa"/>
            <w:vAlign w:val="bottom"/>
            <w:tcBorders>
              <w:right w:val="single" w:sz="8" w:color="auto"/>
            </w:tcBorders>
          </w:tcPr>
          <w:p>
            <w:pPr>
              <w:jc w:val="center"/>
              <w:ind w:left="81"/>
              <w:spacing w:after="0"/>
              <w:rPr>
                <w:sz w:val="20"/>
                <w:szCs w:val="20"/>
                <w:color w:val="auto"/>
              </w:rPr>
            </w:pPr>
            <w:r>
              <w:rPr>
                <w:rFonts w:ascii="Times New Roman" w:cs="Times New Roman" w:eastAsia="Times New Roman" w:hAnsi="Times New Roman"/>
                <w:sz w:val="16"/>
                <w:szCs w:val="16"/>
                <w:b w:val="1"/>
                <w:bCs w:val="1"/>
                <w:color w:val="0061AA"/>
                <w:w w:val="98"/>
              </w:rPr>
              <w:t>5-YEAR</w:t>
            </w:r>
          </w:p>
        </w:tc>
        <w:tc>
          <w:tcPr>
            <w:tcW w:w="0" w:type="dxa"/>
            <w:vAlign w:val="bottom"/>
          </w:tcPr>
          <w:p>
            <w:pPr>
              <w:spacing w:after="0"/>
              <w:rPr>
                <w:sz w:val="1"/>
                <w:szCs w:val="1"/>
                <w:color w:val="auto"/>
              </w:rPr>
            </w:pPr>
          </w:p>
        </w:tc>
      </w:tr>
      <w:tr>
        <w:trPr>
          <w:trHeight w:val="209"/>
        </w:trPr>
        <w:tc>
          <w:tcPr>
            <w:tcW w:w="2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61AA"/>
                <w:w w:val="98"/>
              </w:rPr>
              <w:t>Stockholders</w:t>
            </w:r>
          </w:p>
        </w:tc>
        <w:tc>
          <w:tcPr>
            <w:tcW w:w="680" w:type="dxa"/>
            <w:vAlign w:val="bottom"/>
          </w:tcPr>
          <w:p>
            <w:pPr>
              <w:spacing w:after="0"/>
              <w:rPr>
                <w:sz w:val="18"/>
                <w:szCs w:val="18"/>
                <w:color w:val="auto"/>
              </w:rPr>
            </w:pPr>
          </w:p>
        </w:tc>
        <w:tc>
          <w:tcPr>
            <w:tcW w:w="108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0061AA"/>
              </w:rPr>
              <w:t>8%</w:t>
            </w:r>
          </w:p>
        </w:tc>
        <w:tc>
          <w:tcPr>
            <w:tcW w:w="3660" w:type="dxa"/>
            <w:vAlign w:val="bottom"/>
          </w:tcPr>
          <w:p>
            <w:pPr>
              <w:jc w:val="center"/>
              <w:ind w:left="1161"/>
              <w:spacing w:after="0"/>
              <w:rPr>
                <w:sz w:val="20"/>
                <w:szCs w:val="20"/>
                <w:color w:val="auto"/>
              </w:rPr>
            </w:pPr>
            <w:r>
              <w:rPr>
                <w:rFonts w:ascii="Times New Roman" w:cs="Times New Roman" w:eastAsia="Times New Roman" w:hAnsi="Times New Roman"/>
                <w:sz w:val="16"/>
                <w:szCs w:val="16"/>
                <w:b w:val="1"/>
                <w:bCs w:val="1"/>
                <w:color w:val="0061AA"/>
                <w:w w:val="98"/>
              </w:rPr>
              <w:t>(30%)</w:t>
            </w:r>
          </w:p>
        </w:tc>
        <w:tc>
          <w:tcPr>
            <w:tcW w:w="3020" w:type="dxa"/>
            <w:vAlign w:val="bottom"/>
            <w:tcBorders>
              <w:right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b w:val="1"/>
                <w:bCs w:val="1"/>
                <w:color w:val="0061AA"/>
              </w:rPr>
              <w:t>(1%)</w:t>
            </w:r>
          </w:p>
        </w:tc>
        <w:tc>
          <w:tcPr>
            <w:tcW w:w="0" w:type="dxa"/>
            <w:vAlign w:val="bottom"/>
          </w:tcPr>
          <w:p>
            <w:pPr>
              <w:spacing w:after="0"/>
              <w:rPr>
                <w:sz w:val="1"/>
                <w:szCs w:val="1"/>
                <w:color w:val="auto"/>
              </w:rPr>
            </w:pPr>
          </w:p>
        </w:tc>
      </w:tr>
      <w:tr>
        <w:trPr>
          <w:trHeight w:val="206"/>
        </w:trPr>
        <w:tc>
          <w:tcPr>
            <w:tcW w:w="2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(through Share Repurchases)</w:t>
            </w: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firstLine="331"/>
        <w:spacing w:after="0" w:line="239"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Adjusted operating income, adjusted EPS, revenue on a constant currency basis and adjusted operating income on a constant currency basis are non-GAAP financial measures that exclude certain items. Please refer to Appendix A to this Proxy Statement for a reconciliation of these measures relative to the reported GAAP financial measures. To evaluate performance in a manner consistent with how management evaluates our operational results and trends, the Compensation Committee uses certain non-GAAP performance metrics for both annual incentive and long-term awards. Constant currency financial measures assume foreign currency exchange rates did not change from the prior period, which enables consistent year-over-year financial comparisons and ensures incentive payouts are not artificially inflated or impaired by local country currency fluctuations that are outside the control of management.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590" w:right="319" w:bottom="1440" w:gutter="0" w:footer="0" w:header="0"/>
        </w:sectPr>
      </w:pPr>
    </w:p>
    <w:bookmarkStart w:id="35" w:name="page36"/>
    <w:bookmarkEnd w:id="35"/>
    <w:p>
      <w:pPr>
        <w:jc w:val="both"/>
        <w:ind w:firstLine="331"/>
        <w:spacing w:after="0" w:line="275" w:lineRule="auto"/>
        <w:rPr>
          <w:sz w:val="20"/>
          <w:szCs w:val="20"/>
          <w:color w:val="auto"/>
        </w:rPr>
      </w:pPr>
      <w:r>
        <w:rPr>
          <w:rFonts w:ascii="Times New Roman" w:cs="Times New Roman" w:eastAsia="Times New Roman" w:hAnsi="Times New Roman"/>
          <w:sz w:val="14"/>
          <w:szCs w:val="14"/>
          <w:color w:val="auto"/>
        </w:rPr>
        <w:t>The following graph compares Euronet Worldwide, Inc.’s annual percentage change in cumulative total return on common shares over the past five years with the cumulative total return of companies comprising the Nasdaq Composite index and the Nasdaq US Benchmark Financial Services TR Index. This presentation assumes that $100 was invested in shares of the relevant issuers on December 31, 2017, and that dividends received were immediately invested in additional shares. The graph plots the value of the initial $100 investment at one-year intervals for the fiscal years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295910</wp:posOffset>
            </wp:positionV>
            <wp:extent cx="4389120" cy="22904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89120" cy="229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COMPENSATION PROGRAM OBJECTIVES AND STRATEGY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Industry Environment</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payments industry is changing rapidly and requires companies to be transparent, compliant and competitively priced as well as develop and maintain leading-edge, flexible technology in order to provide consumers with access to their funds in the way they demand it.</w:t>
      </w:r>
    </w:p>
    <w:p>
      <w:pPr>
        <w:spacing w:after="0" w:line="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Banks are closing branches, resulting in cash deserts across certain areas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-64135</wp:posOffset>
            </wp:positionV>
            <wp:extent cx="52705" cy="52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Consumers want choice on how to interact with their funds while participating in the global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-73660</wp:posOffset>
            </wp:positionV>
            <wp:extent cx="52705" cy="52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Data security, data privacy and compliance are fundamentally important to company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-73660</wp:posOffset>
            </wp:positionV>
            <wp:extent cx="52705" cy="52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Compensation Program Must Reflect the Industry Within Which We Operate, Be Market Competitive and Pay For Performance</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We strive to balance the need for market-competitive pay within a framework that provides the appropriate mix of fixed and variable, at-risk compensation to attract, retain and motivate talent and align executive and stockholder interests within our pay-for-performance objectives.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program must:</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Support our efforts to attract and retain highly qualified business minds to contribute to our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-64135</wp:posOffset>
            </wp:positionV>
            <wp:extent cx="52705" cy="52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7" w:lineRule="exact"/>
        <w:rPr>
          <w:sz w:val="20"/>
          <w:szCs w:val="20"/>
          <w:color w:val="auto"/>
        </w:rPr>
      </w:pPr>
    </w:p>
    <w:p>
      <w:pPr>
        <w:ind w:left="560" w:right="180"/>
        <w:spacing w:after="0" w:line="257" w:lineRule="auto"/>
        <w:rPr>
          <w:sz w:val="20"/>
          <w:szCs w:val="20"/>
          <w:color w:val="auto"/>
        </w:rPr>
      </w:pPr>
      <w:r>
        <w:rPr>
          <w:rFonts w:ascii="Times New Roman" w:cs="Times New Roman" w:eastAsia="Times New Roman" w:hAnsi="Times New Roman"/>
          <w:sz w:val="14"/>
          <w:szCs w:val="14"/>
          <w:color w:val="auto"/>
        </w:rPr>
        <w:t>Align the interests of our executives with the interests of our stockholders by making individual compensation dependent upon achievement of financial goals and providing long-term incentives through our equity-based award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705" cy="52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Reward our executives based on the achievement of sustained financial and operating performance and demonstrated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-73660</wp:posOffset>
            </wp:positionV>
            <wp:extent cx="52705" cy="52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PARTICIPANTS IN EXECUTIVE COMPENSATION DESIGN AND DECISION-MAKING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w:t>
      </w:r>
    </w:p>
    <w:p>
      <w:pPr>
        <w:spacing w:after="0" w:line="187"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The Compensation Committee is currently comprised of seven independent Directors who each hold a significant amount of Company stock (stock value at December 31, 2023 of Compensation Committee members ranges from one to 34 times the annual cash retainer) and together they administer our executive compensation programs. The Compensation Committee is responsible for recommending policies to the Board that govern both annual cash compensation and equity incentive programs. The Compensation Committee has the authority to retain independent outside consultants or advisors as it deems necessary to provide desired expertise and counsel.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Consultant</w:t>
      </w:r>
    </w:p>
    <w:p>
      <w:pPr>
        <w:spacing w:after="0" w:line="187" w:lineRule="exact"/>
        <w:rPr>
          <w:sz w:val="20"/>
          <w:szCs w:val="20"/>
          <w:color w:val="auto"/>
        </w:rPr>
      </w:pPr>
    </w:p>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The Compensation Committee retained FW Cook as independent compensation consultant for 2023 to advise the Compensation Committee on all matters related to executive officer compensation. FW Cook provided advice regarding current and emerging practices with regard to executive compensation. Representatives from FW Cook attended meetings, as requested by the Committee, including the December 2022 meeting, when the Committee approved grants of stock incentive awards and determined executive compensation and established performance targets for 2023. FW Cook provided other services to the Compensation Committee or the Company. FW Cook did not provide any services to the Compensation Committee or the Company outside of its capacity as executive compensation consultant.</w:t>
      </w:r>
    </w:p>
    <w:p>
      <w:pPr>
        <w:spacing w:after="0" w:line="141"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Compensation Committee assessed the independence of FW Cook pursuant to Nasdaq's rules and concluded that no conflict of interest exists that would prevent FW Cook from independently advising the Committee.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Chief Executive Officer and Chief Financial Officer</w:t>
      </w:r>
    </w:p>
    <w:p>
      <w:pPr>
        <w:spacing w:after="0" w:line="187" w:lineRule="exact"/>
        <w:rPr>
          <w:sz w:val="20"/>
          <w:szCs w:val="20"/>
          <w:color w:val="auto"/>
        </w:rPr>
      </w:pPr>
    </w:p>
    <w:p>
      <w:pPr>
        <w:jc w:val="both"/>
        <w:ind w:firstLine="331"/>
        <w:spacing w:after="0" w:line="269" w:lineRule="auto"/>
        <w:rPr>
          <w:sz w:val="20"/>
          <w:szCs w:val="20"/>
          <w:color w:val="auto"/>
        </w:rPr>
      </w:pPr>
      <w:r>
        <w:rPr>
          <w:rFonts w:ascii="Times New Roman" w:cs="Times New Roman" w:eastAsia="Times New Roman" w:hAnsi="Times New Roman"/>
          <w:sz w:val="14"/>
          <w:szCs w:val="14"/>
          <w:color w:val="auto"/>
        </w:rPr>
        <w:t>The Compensation Committee considers input from our Chief Executive Officer ("CEO") and Chief Financial Officer ("CFO") regarding the responsibilities and accomplishments of individual executive officers, information as to potential achievability of incentive goals and levels of various compensation elements necessary to provide incentives for and to retain executive management. Our CEO makes recommendations to the Compensation Committee on each of the other executive officers' compensation. Executive officers are not involved in proposing or seeking approval for their own compensation. For the CEO's review, the independent Directors meet in an executive session to assess the CEO's performance and determine appropriate compensation levels and performance goals.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Compensation Committee has incorporated the following governance features into our programs:</w:t>
      </w:r>
    </w:p>
    <w:p>
      <w:pPr>
        <w:spacing w:after="0" w:line="175" w:lineRule="exact"/>
        <w:rPr>
          <w:sz w:val="20"/>
          <w:szCs w:val="20"/>
          <w:color w:val="auto"/>
        </w:rPr>
      </w:pPr>
    </w:p>
    <w:p>
      <w:pPr>
        <w:ind w:left="2380"/>
        <w:spacing w:after="0"/>
        <w:tabs>
          <w:tab w:leader="none" w:pos="7700" w:val="left"/>
        </w:tabs>
        <w:rPr>
          <w:sz w:val="20"/>
          <w:szCs w:val="20"/>
          <w:color w:val="auto"/>
        </w:rPr>
      </w:pPr>
      <w:r>
        <w:rPr>
          <w:rFonts w:ascii="Times New Roman" w:cs="Times New Roman" w:eastAsia="Times New Roman" w:hAnsi="Times New Roman"/>
          <w:sz w:val="17"/>
          <w:szCs w:val="17"/>
          <w:b w:val="1"/>
          <w:bCs w:val="1"/>
          <w:color w:val="0061AA"/>
        </w:rPr>
        <w:t>What We Do</w:t>
      </w:r>
      <w:r>
        <w:rPr>
          <w:sz w:val="20"/>
          <w:szCs w:val="20"/>
          <w:color w:val="auto"/>
        </w:rPr>
        <w:tab/>
      </w:r>
      <w:r>
        <w:rPr>
          <w:rFonts w:ascii="Times New Roman" w:cs="Times New Roman" w:eastAsia="Times New Roman" w:hAnsi="Times New Roman"/>
          <w:sz w:val="17"/>
          <w:szCs w:val="17"/>
          <w:b w:val="1"/>
          <w:bCs w:val="1"/>
          <w:color w:val="0061AA"/>
        </w:rPr>
        <w:t>What We Do Not Do</w:t>
      </w:r>
    </w:p>
    <w:p>
      <w:pPr>
        <w:sectPr>
          <w:pgSz w:w="11900" w:h="16838" w:orient="portrait"/>
          <w:cols w:equalWidth="0" w:num="1">
            <w:col w:w="11280"/>
          </w:cols>
          <w:pgMar w:left="300" w:top="436" w:right="319" w:bottom="1440" w:gutter="0" w:footer="0" w:header="0"/>
        </w:sectPr>
      </w:pPr>
    </w:p>
    <w:p>
      <w:pPr>
        <w:spacing w:after="0" w:line="32" w:lineRule="exact"/>
        <w:rPr>
          <w:sz w:val="20"/>
          <w:szCs w:val="20"/>
          <w:color w:val="auto"/>
        </w:rPr>
      </w:pPr>
    </w:p>
    <w:p>
      <w:pPr>
        <w:ind w:left="120" w:hanging="114"/>
        <w:spacing w:after="0"/>
        <w:tabs>
          <w:tab w:leader="none" w:pos="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Align pay and stockholder performance</w:t>
      </w:r>
    </w:p>
    <w:p>
      <w:pPr>
        <w:spacing w:after="0" w:line="25" w:lineRule="exact"/>
        <w:rPr>
          <w:rFonts w:ascii="Times New Roman" w:cs="Times New Roman" w:eastAsia="Times New Roman" w:hAnsi="Times New Roman"/>
          <w:sz w:val="14"/>
          <w:szCs w:val="14"/>
          <w:color w:val="auto"/>
        </w:rPr>
      </w:pPr>
    </w:p>
    <w:p>
      <w:pPr>
        <w:ind w:right="40" w:firstLine="6"/>
        <w:spacing w:after="0" w:line="257" w:lineRule="auto"/>
        <w:tabs>
          <w:tab w:leader="none" w:pos="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rigorous stock ownership requirements and holding periods of shares for the CEO and Board</w:t>
      </w:r>
    </w:p>
    <w:p>
      <w:pPr>
        <w:ind w:left="120" w:hanging="114"/>
        <w:spacing w:after="0"/>
        <w:tabs>
          <w:tab w:leader="none" w:pos="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targets for performance metrics aligned to stockholder interests</w:t>
      </w:r>
    </w:p>
    <w:p>
      <w:pPr>
        <w:spacing w:after="0" w:line="11" w:lineRule="exact"/>
        <w:rPr>
          <w:rFonts w:ascii="Times New Roman" w:cs="Times New Roman" w:eastAsia="Times New Roman" w:hAnsi="Times New Roman"/>
          <w:sz w:val="14"/>
          <w:szCs w:val="14"/>
          <w:color w:val="auto"/>
        </w:rPr>
      </w:pPr>
    </w:p>
    <w:p>
      <w:pPr>
        <w:jc w:val="both"/>
        <w:ind w:right="40" w:firstLine="6"/>
        <w:spacing w:after="0" w:line="275" w:lineRule="auto"/>
        <w:tabs>
          <w:tab w:leader="none" w:pos="12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forfeiture of equity awards when a NEO terminates employment for any reason other than retirement, disability, death or termination under specific circumstances related to change of control</w:t>
      </w:r>
    </w:p>
    <w:p>
      <w:pPr>
        <w:spacing w:after="0" w:line="149" w:lineRule="exact"/>
        <w:rPr>
          <w:rFonts w:ascii="Times New Roman" w:cs="Times New Roman" w:eastAsia="Times New Roman" w:hAnsi="Times New Roman"/>
          <w:sz w:val="14"/>
          <w:szCs w:val="14"/>
          <w:color w:val="auto"/>
        </w:rPr>
      </w:pPr>
    </w:p>
    <w:p>
      <w:pPr>
        <w:ind w:left="120" w:hanging="114"/>
        <w:spacing w:after="0"/>
        <w:tabs>
          <w:tab w:leader="none" w:pos="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Responsible use of shares under our long-term incentive program</w:t>
      </w:r>
    </w:p>
    <w:p>
      <w:pPr>
        <w:spacing w:after="0" w:line="11" w:lineRule="exact"/>
        <w:rPr>
          <w:rFonts w:ascii="Times New Roman" w:cs="Times New Roman" w:eastAsia="Times New Roman" w:hAnsi="Times New Roman"/>
          <w:sz w:val="14"/>
          <w:szCs w:val="14"/>
          <w:color w:val="auto"/>
        </w:rPr>
      </w:pPr>
    </w:p>
    <w:p>
      <w:pPr>
        <w:ind w:left="120" w:hanging="114"/>
        <w:spacing w:after="0"/>
        <w:tabs>
          <w:tab w:leader="none" w:pos="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pledging without prior approval and hedging</w:t>
      </w:r>
    </w:p>
    <w:p>
      <w:pPr>
        <w:spacing w:after="0" w:line="11" w:lineRule="exact"/>
        <w:rPr>
          <w:rFonts w:ascii="Times New Roman" w:cs="Times New Roman" w:eastAsia="Times New Roman" w:hAnsi="Times New Roman"/>
          <w:sz w:val="14"/>
          <w:szCs w:val="14"/>
          <w:color w:val="auto"/>
        </w:rPr>
      </w:pPr>
    </w:p>
    <w:p>
      <w:pPr>
        <w:ind w:left="120" w:hanging="114"/>
        <w:spacing w:after="0"/>
        <w:tabs>
          <w:tab w:leader="none" w:pos="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an independent compensation consultant</w:t>
      </w:r>
    </w:p>
    <w:p>
      <w:pPr>
        <w:spacing w:after="0" w:line="11" w:lineRule="exact"/>
        <w:rPr>
          <w:rFonts w:ascii="Times New Roman" w:cs="Times New Roman" w:eastAsia="Times New Roman" w:hAnsi="Times New Roman"/>
          <w:sz w:val="14"/>
          <w:szCs w:val="14"/>
          <w:color w:val="auto"/>
        </w:rPr>
      </w:pPr>
    </w:p>
    <w:p>
      <w:pPr>
        <w:ind w:left="120" w:hanging="114"/>
        <w:spacing w:after="0"/>
        <w:tabs>
          <w:tab w:leader="none" w:pos="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limited perquisites</w:t>
      </w:r>
    </w:p>
    <w:p>
      <w:pPr>
        <w:spacing w:after="0" w:line="11" w:lineRule="exact"/>
        <w:rPr>
          <w:rFonts w:ascii="Times New Roman" w:cs="Times New Roman" w:eastAsia="Times New Roman" w:hAnsi="Times New Roman"/>
          <w:sz w:val="14"/>
          <w:szCs w:val="14"/>
          <w:color w:val="auto"/>
        </w:rPr>
      </w:pPr>
    </w:p>
    <w:p>
      <w:pPr>
        <w:ind w:left="120" w:hanging="114"/>
        <w:spacing w:after="0"/>
        <w:tabs>
          <w:tab w:leader="none" w:pos="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annual compensation risk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-1315720</wp:posOffset>
            </wp:positionV>
            <wp:extent cx="715962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Pay dividends or dividend equivalents on unearned, unvested or unexercised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-190500</wp:posOffset>
            </wp:positionV>
            <wp:extent cx="52705" cy="52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Pay excessive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-73660</wp:posOffset>
            </wp:positionV>
            <wp:extent cx="52705" cy="52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Backdate or reprice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-73660</wp:posOffset>
            </wp:positionV>
            <wp:extent cx="52705" cy="52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right="1640"/>
        <w:spacing w:after="0" w:line="257" w:lineRule="auto"/>
        <w:rPr>
          <w:sz w:val="20"/>
          <w:szCs w:val="20"/>
          <w:color w:val="auto"/>
        </w:rPr>
      </w:pPr>
      <w:r>
        <w:rPr>
          <w:rFonts w:ascii="Times New Roman" w:cs="Times New Roman" w:eastAsia="Times New Roman" w:hAnsi="Times New Roman"/>
          <w:sz w:val="14"/>
          <w:szCs w:val="14"/>
          <w:color w:val="auto"/>
        </w:rPr>
        <w:t>Award immediately vested options or RSUs to any employee Make multi-year compensation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-190500</wp:posOffset>
            </wp:positionV>
            <wp:extent cx="52705" cy="52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-80645</wp:posOffset>
            </wp:positionV>
            <wp:extent cx="52705" cy="52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Grant stock options with an exercise price less than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-73660</wp:posOffset>
            </wp:positionV>
            <wp:extent cx="52705" cy="52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Provide excise tax gross-ups on new or amended agreements since February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-73660</wp:posOffset>
            </wp:positionV>
            <wp:extent cx="52705" cy="52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ectPr>
          <w:pgSz w:w="11900" w:h="16838" w:orient="portrait"/>
          <w:cols w:equalWidth="0" w:num="2">
            <w:col w:w="5720" w:space="400"/>
            <w:col w:w="5160"/>
          </w:cols>
          <w:pgMar w:left="300" w:top="436" w:right="31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How We Establish Executive Compensation Levels</w:t>
      </w:r>
    </w:p>
    <w:p>
      <w:pPr>
        <w:spacing w:after="0" w:line="100"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In determining the annual compensation of each executive officer, including the Chief Executive Officer, the Compensation Committee considers Euronet’s financial performance both on an absolute basis and relative to comparable companies. In addition, it assesses individual performance against quantitative and qualitative objectives. Factors considered by the Compensation Committee in assessing individual performance include, but are not limited to:</w:t>
      </w:r>
    </w:p>
    <w:p>
      <w:pPr>
        <w:spacing w:after="0" w:line="112" w:lineRule="exact"/>
        <w:rPr>
          <w:sz w:val="20"/>
          <w:szCs w:val="20"/>
          <w:color w:val="auto"/>
        </w:rPr>
      </w:pPr>
    </w:p>
    <w:p>
      <w:pPr>
        <w:ind w:left="560"/>
        <w:spacing w:after="0" w:line="269" w:lineRule="auto"/>
        <w:rPr>
          <w:sz w:val="20"/>
          <w:szCs w:val="20"/>
          <w:color w:val="auto"/>
        </w:rPr>
      </w:pPr>
      <w:r>
        <w:rPr>
          <w:rFonts w:ascii="Times New Roman" w:cs="Times New Roman" w:eastAsia="Times New Roman" w:hAnsi="Times New Roman"/>
          <w:sz w:val="14"/>
          <w:szCs w:val="14"/>
          <w:color w:val="auto"/>
        </w:rPr>
        <w:t>Financial Results — Company and business sector financial results for the most recent relevant period, on an absolute basis and relative to comparable companies with respect to certain financial parameters, including revenue growth, operating income growth, growth in per share earnings and return 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705" cy="52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60" w:right="3040"/>
        <w:spacing w:after="0" w:line="257" w:lineRule="auto"/>
        <w:rPr>
          <w:sz w:val="20"/>
          <w:szCs w:val="20"/>
          <w:color w:val="auto"/>
        </w:rPr>
      </w:pPr>
      <w:r>
        <w:rPr>
          <w:rFonts w:ascii="Times New Roman" w:cs="Times New Roman" w:eastAsia="Times New Roman" w:hAnsi="Times New Roman"/>
          <w:sz w:val="14"/>
          <w:szCs w:val="14"/>
          <w:color w:val="auto"/>
        </w:rPr>
        <w:t>Strategic Growth and Execution — strategic planning and implementation, business growth, acquisitions, technology and innovation; Leadership and Effectiveness — management development and personal leadership;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705" cy="52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-80645</wp:posOffset>
            </wp:positionV>
            <wp:extent cx="52705" cy="52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Governance and Controls — corporate reputation and brand, risk management, the strength of the internal control environment and contribution to a culture of ethics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-73660</wp:posOffset>
            </wp:positionV>
            <wp:extent cx="52705" cy="52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Committed to and improvements in the Company's long term sustainability including environmental, social,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-73660</wp:posOffset>
            </wp:positionV>
            <wp:extent cx="52705" cy="52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17" w:lineRule="exact"/>
        <w:rPr>
          <w:sz w:val="20"/>
          <w:szCs w:val="20"/>
          <w:color w:val="auto"/>
        </w:rPr>
      </w:pPr>
    </w:p>
    <w:p>
      <w:pPr>
        <w:ind w:firstLine="331"/>
        <w:spacing w:after="0" w:line="298" w:lineRule="auto"/>
        <w:rPr>
          <w:sz w:val="20"/>
          <w:szCs w:val="20"/>
          <w:color w:val="auto"/>
        </w:rPr>
      </w:pPr>
      <w:r>
        <w:rPr>
          <w:rFonts w:ascii="Times New Roman" w:cs="Times New Roman" w:eastAsia="Times New Roman" w:hAnsi="Times New Roman"/>
          <w:sz w:val="14"/>
          <w:szCs w:val="14"/>
          <w:color w:val="auto"/>
        </w:rPr>
        <w:t>The Compensation Committee considers all factors collectively in determining executive officers’ annual compensation. The weight given to a particular factor may vary from year to year depending on the goals and objectives of the organization, thus enabling the Compensation Committee to align annual financial objectives with strategic leadership initiatives.</w:t>
      </w:r>
    </w:p>
    <w:p>
      <w:pPr>
        <w:spacing w:after="0" w:line="119" w:lineRule="exact"/>
        <w:rPr>
          <w:sz w:val="20"/>
          <w:szCs w:val="20"/>
          <w:color w:val="auto"/>
        </w:rPr>
      </w:pPr>
    </w:p>
    <w:p>
      <w:pPr>
        <w:ind w:firstLine="331"/>
        <w:spacing w:after="0" w:line="298" w:lineRule="auto"/>
        <w:rPr>
          <w:sz w:val="20"/>
          <w:szCs w:val="20"/>
          <w:color w:val="auto"/>
        </w:rPr>
      </w:pPr>
      <w:r>
        <w:rPr>
          <w:rFonts w:ascii="Times New Roman" w:cs="Times New Roman" w:eastAsia="Times New Roman" w:hAnsi="Times New Roman"/>
          <w:sz w:val="14"/>
          <w:szCs w:val="14"/>
          <w:color w:val="auto"/>
        </w:rPr>
        <w:t>The Compensation Committee believes that it establishes challenging performance goals for executive management incentive plans. Performance goals primarily focus on adjusted EPS growth which the Compensation Committee believes provides a meaningful incentive for the executives and is strongly correlated with improved stockholder returns.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36"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Peer Group</w:t>
      </w:r>
    </w:p>
    <w:p>
      <w:pPr>
        <w:spacing w:after="0" w:line="338"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The Compensation Committee believes that it is essential for our continued success that overall compensation policies allow us to be competitive in attracting and retaining executive talent. However, the Committee does not establish compensation targets solely based on peer group compensation amounts, because it believes that individual and company performance should be the primary determinants of annual compensation.</w:t>
      </w:r>
    </w:p>
    <w:p>
      <w:pPr>
        <w:spacing w:after="0" w:line="274" w:lineRule="exact"/>
        <w:rPr>
          <w:sz w:val="20"/>
          <w:szCs w:val="20"/>
          <w:color w:val="auto"/>
        </w:rPr>
      </w:pPr>
    </w:p>
    <w:p>
      <w:pPr>
        <w:jc w:val="both"/>
        <w:ind w:firstLine="331"/>
        <w:spacing w:after="0" w:line="290" w:lineRule="auto"/>
        <w:rPr>
          <w:sz w:val="20"/>
          <w:szCs w:val="20"/>
          <w:color w:val="auto"/>
        </w:rPr>
      </w:pPr>
      <w:r>
        <w:rPr>
          <w:rFonts w:ascii="Times New Roman" w:cs="Times New Roman" w:eastAsia="Times New Roman" w:hAnsi="Times New Roman"/>
          <w:sz w:val="14"/>
          <w:szCs w:val="14"/>
          <w:color w:val="auto"/>
        </w:rPr>
        <w:t>The Company's peer group (the "Peer Group") listed below, and FW Cook's executive compensation market analysis were used to inform the Compensation Committee's decisions on long-term incentive compensation for our executives for 2023. The Compensation Committee believes the group of companies have similar financial characteristics as Euronet and operate in similar industries.</w:t>
      </w:r>
    </w:p>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Members of the current Peer Group were included because they met all of the following criteria:</w:t>
      </w:r>
    </w:p>
    <w:p>
      <w:pPr>
        <w:spacing w:after="0" w:line="152" w:lineRule="exact"/>
        <w:rPr>
          <w:sz w:val="20"/>
          <w:szCs w:val="20"/>
          <w:color w:val="auto"/>
        </w:rPr>
      </w:pPr>
    </w:p>
    <w:p>
      <w:pPr>
        <w:ind w:left="560" w:right="2660"/>
        <w:spacing w:after="0" w:line="269" w:lineRule="auto"/>
        <w:rPr>
          <w:sz w:val="20"/>
          <w:szCs w:val="20"/>
          <w:color w:val="auto"/>
        </w:rPr>
      </w:pPr>
      <w:r>
        <w:rPr>
          <w:rFonts w:ascii="Times New Roman" w:cs="Times New Roman" w:eastAsia="Times New Roman" w:hAnsi="Times New Roman"/>
          <w:sz w:val="14"/>
          <w:szCs w:val="14"/>
          <w:color w:val="auto"/>
        </w:rPr>
        <w:t>the company was in the same or similar industry as Euronet, including Data Processing and Outsourced Services, and Application Software, the company was reasonably comparable in revenue and market capitalization size to Euronet,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705" cy="52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705" cy="5270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-81280</wp:posOffset>
            </wp:positionV>
            <wp:extent cx="52705" cy="52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the company was headquartered in the United States and publicly traded on a major stock exchange,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-73660</wp:posOffset>
            </wp:positionV>
            <wp:extent cx="52705" cy="52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the company had a similar operating structure as Euronet, such as offering similar services and/or having significant foreign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-73660</wp:posOffset>
            </wp:positionV>
            <wp:extent cx="52705" cy="52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Committee also considered companies that named Euronet as a peer and were prevalent peers of current peers.</w:t>
      </w:r>
    </w:p>
    <w:p>
      <w:pPr>
        <w:spacing w:after="0" w:line="185" w:lineRule="exact"/>
        <w:rPr>
          <w:sz w:val="20"/>
          <w:szCs w:val="20"/>
          <w:color w:val="auto"/>
        </w:rPr>
      </w:pPr>
    </w:p>
    <w:p>
      <w:pPr>
        <w:ind w:right="80" w:firstLine="331"/>
        <w:spacing w:after="0" w:line="298" w:lineRule="auto"/>
        <w:rPr>
          <w:sz w:val="20"/>
          <w:szCs w:val="20"/>
          <w:color w:val="auto"/>
        </w:rPr>
      </w:pPr>
      <w:r>
        <w:rPr>
          <w:rFonts w:ascii="Times New Roman" w:cs="Times New Roman" w:eastAsia="Times New Roman" w:hAnsi="Times New Roman"/>
          <w:sz w:val="14"/>
          <w:szCs w:val="14"/>
          <w:color w:val="auto"/>
        </w:rPr>
        <w:t>The companies comprising the Peer Group to determine long-term incentive compensation for our executives for 2023, all of which had revenues between $600 million and $8.9 billion and market capitalization between $1 billion and $31.7 billion, were: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 ACI Worldwide, Inc.</w:t>
            </w:r>
          </w:p>
        </w:tc>
        <w:tc>
          <w:tcPr>
            <w:tcW w:w="4400" w:type="dxa"/>
            <w:vAlign w:val="bottom"/>
            <w:gridSpan w:val="3"/>
          </w:tcPr>
          <w:p>
            <w:pPr>
              <w:ind w:left="1660"/>
              <w:spacing w:after="0"/>
              <w:rPr>
                <w:sz w:val="20"/>
                <w:szCs w:val="20"/>
                <w:color w:val="auto"/>
              </w:rPr>
            </w:pPr>
            <w:r>
              <w:rPr>
                <w:rFonts w:ascii="Times New Roman" w:cs="Times New Roman" w:eastAsia="Times New Roman" w:hAnsi="Times New Roman"/>
                <w:sz w:val="14"/>
                <w:szCs w:val="14"/>
                <w:color w:val="auto"/>
              </w:rPr>
              <w:t>• Global Payments, Inc.</w:t>
            </w:r>
          </w:p>
        </w:tc>
        <w:tc>
          <w:tcPr>
            <w:tcW w:w="2680" w:type="dxa"/>
            <w:vAlign w:val="bottom"/>
          </w:tcPr>
          <w:p>
            <w:pPr>
              <w:spacing w:after="0"/>
              <w:rPr>
                <w:sz w:val="15"/>
                <w:szCs w:val="15"/>
                <w:color w:val="auto"/>
              </w:rPr>
            </w:pPr>
          </w:p>
        </w:tc>
      </w:t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 Bread Financial</w:t>
            </w:r>
          </w:p>
        </w:tc>
        <w:tc>
          <w:tcPr>
            <w:tcW w:w="4400" w:type="dxa"/>
            <w:vAlign w:val="bottom"/>
            <w:gridSpan w:val="3"/>
          </w:tcPr>
          <w:p>
            <w:pPr>
              <w:ind w:left="1660"/>
              <w:spacing w:after="0"/>
              <w:rPr>
                <w:sz w:val="20"/>
                <w:szCs w:val="20"/>
                <w:color w:val="auto"/>
              </w:rPr>
            </w:pPr>
            <w:r>
              <w:rPr>
                <w:rFonts w:ascii="Times New Roman" w:cs="Times New Roman" w:eastAsia="Times New Roman" w:hAnsi="Times New Roman"/>
                <w:sz w:val="14"/>
                <w:szCs w:val="14"/>
                <w:color w:val="auto"/>
              </w:rPr>
              <w:t>• Green Dot Corporation</w:t>
            </w:r>
          </w:p>
        </w:tc>
        <w:tc>
          <w:tcPr>
            <w:tcW w:w="2680" w:type="dxa"/>
            <w:vAlign w:val="bottom"/>
          </w:tcPr>
          <w:p>
            <w:pPr>
              <w:spacing w:after="0"/>
              <w:rPr>
                <w:sz w:val="15"/>
                <w:szCs w:val="15"/>
                <w:color w:val="auto"/>
              </w:rPr>
            </w:pPr>
          </w:p>
        </w:tc>
      </w:t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 Broadridge Financial Solutions, Inc.</w:t>
            </w:r>
          </w:p>
        </w:tc>
        <w:tc>
          <w:tcPr>
            <w:tcW w:w="4400" w:type="dxa"/>
            <w:vAlign w:val="bottom"/>
            <w:gridSpan w:val="3"/>
          </w:tcPr>
          <w:p>
            <w:pPr>
              <w:ind w:left="1660"/>
              <w:spacing w:after="0"/>
              <w:rPr>
                <w:sz w:val="20"/>
                <w:szCs w:val="20"/>
                <w:color w:val="auto"/>
              </w:rPr>
            </w:pPr>
            <w:r>
              <w:rPr>
                <w:rFonts w:ascii="Times New Roman" w:cs="Times New Roman" w:eastAsia="Times New Roman" w:hAnsi="Times New Roman"/>
                <w:sz w:val="14"/>
                <w:szCs w:val="14"/>
                <w:color w:val="auto"/>
              </w:rPr>
              <w:t>• Jack Henry &amp; Associates, Inc.</w:t>
            </w:r>
          </w:p>
        </w:tc>
        <w:tc>
          <w:tcPr>
            <w:tcW w:w="2680" w:type="dxa"/>
            <w:vAlign w:val="bottom"/>
          </w:tcPr>
          <w:p>
            <w:pPr>
              <w:spacing w:after="0"/>
              <w:rPr>
                <w:sz w:val="15"/>
                <w:szCs w:val="15"/>
                <w:color w:val="auto"/>
              </w:rPr>
            </w:pPr>
          </w:p>
        </w:tc>
      </w:t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 Envestnet, Inc.</w:t>
            </w:r>
          </w:p>
        </w:tc>
        <w:tc>
          <w:tcPr>
            <w:tcW w:w="4400" w:type="dxa"/>
            <w:vAlign w:val="bottom"/>
            <w:gridSpan w:val="3"/>
          </w:tcPr>
          <w:p>
            <w:pPr>
              <w:ind w:left="1660"/>
              <w:spacing w:after="0"/>
              <w:rPr>
                <w:sz w:val="20"/>
                <w:szCs w:val="20"/>
                <w:color w:val="auto"/>
              </w:rPr>
            </w:pPr>
            <w:r>
              <w:rPr>
                <w:rFonts w:ascii="Times New Roman" w:cs="Times New Roman" w:eastAsia="Times New Roman" w:hAnsi="Times New Roman"/>
                <w:sz w:val="14"/>
                <w:szCs w:val="14"/>
                <w:color w:val="auto"/>
              </w:rPr>
              <w:t>• SS&amp;C Technologies Holdings, Inc.</w:t>
            </w:r>
          </w:p>
        </w:tc>
        <w:tc>
          <w:tcPr>
            <w:tcW w:w="2680" w:type="dxa"/>
            <w:vAlign w:val="bottom"/>
          </w:tcPr>
          <w:p>
            <w:pPr>
              <w:spacing w:after="0"/>
              <w:rPr>
                <w:sz w:val="15"/>
                <w:szCs w:val="15"/>
                <w:color w:val="auto"/>
              </w:rPr>
            </w:pPr>
          </w:p>
        </w:tc>
      </w:t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 EVERTEC, Inc.</w:t>
            </w:r>
          </w:p>
        </w:tc>
        <w:tc>
          <w:tcPr>
            <w:tcW w:w="4400" w:type="dxa"/>
            <w:vAlign w:val="bottom"/>
            <w:gridSpan w:val="3"/>
          </w:tcPr>
          <w:p>
            <w:pPr>
              <w:ind w:left="1660"/>
              <w:spacing w:after="0"/>
              <w:rPr>
                <w:sz w:val="20"/>
                <w:szCs w:val="20"/>
                <w:color w:val="auto"/>
              </w:rPr>
            </w:pPr>
            <w:r>
              <w:rPr>
                <w:rFonts w:ascii="Times New Roman" w:cs="Times New Roman" w:eastAsia="Times New Roman" w:hAnsi="Times New Roman"/>
                <w:sz w:val="14"/>
                <w:szCs w:val="14"/>
                <w:color w:val="auto"/>
              </w:rPr>
              <w:t>• TTEC Holdings, Inc.</w:t>
            </w:r>
          </w:p>
        </w:tc>
        <w:tc>
          <w:tcPr>
            <w:tcW w:w="2680" w:type="dxa"/>
            <w:vAlign w:val="bottom"/>
          </w:tcPr>
          <w:p>
            <w:pPr>
              <w:spacing w:after="0"/>
              <w:rPr>
                <w:sz w:val="15"/>
                <w:szCs w:val="15"/>
                <w:color w:val="auto"/>
              </w:rPr>
            </w:pPr>
          </w:p>
        </w:tc>
      </w:t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 Fair Issac Corp</w:t>
            </w:r>
          </w:p>
        </w:tc>
        <w:tc>
          <w:tcPr>
            <w:tcW w:w="4400" w:type="dxa"/>
            <w:vAlign w:val="bottom"/>
            <w:gridSpan w:val="3"/>
          </w:tcPr>
          <w:p>
            <w:pPr>
              <w:ind w:left="1660"/>
              <w:spacing w:after="0"/>
              <w:rPr>
                <w:sz w:val="20"/>
                <w:szCs w:val="20"/>
                <w:color w:val="auto"/>
              </w:rPr>
            </w:pPr>
            <w:r>
              <w:rPr>
                <w:rFonts w:ascii="Times New Roman" w:cs="Times New Roman" w:eastAsia="Times New Roman" w:hAnsi="Times New Roman"/>
                <w:sz w:val="14"/>
                <w:szCs w:val="14"/>
                <w:color w:val="auto"/>
              </w:rPr>
              <w:t>• The Western Union Company</w:t>
            </w:r>
          </w:p>
        </w:tc>
        <w:tc>
          <w:tcPr>
            <w:tcW w:w="2680" w:type="dxa"/>
            <w:vAlign w:val="bottom"/>
          </w:tcPr>
          <w:p>
            <w:pPr>
              <w:spacing w:after="0"/>
              <w:rPr>
                <w:sz w:val="15"/>
                <w:szCs w:val="15"/>
                <w:color w:val="auto"/>
              </w:rPr>
            </w:pPr>
          </w:p>
        </w:tc>
      </w:t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 FleetCor Technologies, Inc.</w:t>
            </w:r>
          </w:p>
        </w:tc>
        <w:tc>
          <w:tcPr>
            <w:tcW w:w="4400" w:type="dxa"/>
            <w:vAlign w:val="bottom"/>
            <w:gridSpan w:val="3"/>
          </w:tcPr>
          <w:p>
            <w:pPr>
              <w:ind w:left="1660"/>
              <w:spacing w:after="0"/>
              <w:rPr>
                <w:sz w:val="20"/>
                <w:szCs w:val="20"/>
                <w:color w:val="auto"/>
              </w:rPr>
            </w:pPr>
            <w:r>
              <w:rPr>
                <w:rFonts w:ascii="Times New Roman" w:cs="Times New Roman" w:eastAsia="Times New Roman" w:hAnsi="Times New Roman"/>
                <w:sz w:val="14"/>
                <w:szCs w:val="14"/>
                <w:color w:val="auto"/>
              </w:rPr>
              <w:t>• WEX, Inc.</w:t>
            </w:r>
          </w:p>
        </w:tc>
        <w:tc>
          <w:tcPr>
            <w:tcW w:w="2680" w:type="dxa"/>
            <w:vAlign w:val="bottom"/>
          </w:tcPr>
          <w:p>
            <w:pPr>
              <w:spacing w:after="0"/>
              <w:rPr>
                <w:sz w:val="15"/>
                <w:szCs w:val="15"/>
                <w:color w:val="auto"/>
              </w:rPr>
            </w:pPr>
          </w:p>
        </w:tc>
      </w:tr>
      <w:tr>
        <w:trPr>
          <w:trHeight w:val="188"/>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 Genpact Limited.</w:t>
            </w: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356"/>
        </w:trPr>
        <w:tc>
          <w:tcPr>
            <w:tcW w:w="86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Euronet's revenues and market capitalization ranked at the following percentile as compared to the Peer Group:</w:t>
            </w:r>
          </w:p>
        </w:tc>
        <w:tc>
          <w:tcPr>
            <w:tcW w:w="2680" w:type="dxa"/>
            <w:vAlign w:val="bottom"/>
          </w:tcPr>
          <w:p>
            <w:pPr>
              <w:spacing w:after="0"/>
              <w:rPr>
                <w:sz w:val="24"/>
                <w:szCs w:val="24"/>
                <w:color w:val="auto"/>
              </w:rPr>
            </w:pPr>
          </w:p>
        </w:tc>
      </w:tr>
      <w:tr>
        <w:trPr>
          <w:trHeight w:val="345"/>
        </w:trPr>
        <w:tc>
          <w:tcPr>
            <w:tcW w:w="4200" w:type="dxa"/>
            <w:vAlign w:val="bottom"/>
          </w:tcPr>
          <w:p>
            <w:pPr>
              <w:spacing w:after="0"/>
              <w:rPr>
                <w:sz w:val="24"/>
                <w:szCs w:val="24"/>
                <w:color w:val="auto"/>
              </w:rPr>
            </w:pPr>
          </w:p>
        </w:tc>
        <w:tc>
          <w:tcPr>
            <w:tcW w:w="4400" w:type="dxa"/>
            <w:vAlign w:val="bottom"/>
            <w:tcBorders>
              <w:bottom w:val="single" w:sz="8" w:color="auto"/>
            </w:tcBorders>
            <w:gridSpan w:val="3"/>
          </w:tcPr>
          <w:p>
            <w:pPr>
              <w:ind w:left="3020"/>
              <w:spacing w:after="0"/>
              <w:rPr>
                <w:sz w:val="20"/>
                <w:szCs w:val="20"/>
                <w:color w:val="auto"/>
              </w:rPr>
            </w:pPr>
            <w:r>
              <w:rPr>
                <w:rFonts w:ascii="Times New Roman" w:cs="Times New Roman" w:eastAsia="Times New Roman" w:hAnsi="Times New Roman"/>
                <w:sz w:val="14"/>
                <w:szCs w:val="14"/>
                <w:color w:val="auto"/>
              </w:rPr>
              <w:t>Percentile Rank</w:t>
            </w:r>
            <w:r>
              <w:rPr>
                <w:rFonts w:ascii="Times New Roman" w:cs="Times New Roman" w:eastAsia="Times New Roman" w:hAnsi="Times New Roman"/>
                <w:sz w:val="23"/>
                <w:szCs w:val="23"/>
                <w:color w:val="auto"/>
                <w:vertAlign w:val="superscript"/>
              </w:rPr>
              <w:t>(1)</w:t>
            </w:r>
          </w:p>
        </w:tc>
        <w:tc>
          <w:tcPr>
            <w:tcW w:w="2680" w:type="dxa"/>
            <w:vAlign w:val="bottom"/>
            <w:tcBorders>
              <w:bottom w:val="single" w:sz="8" w:color="auto"/>
            </w:tcBorders>
          </w:tcPr>
          <w:p>
            <w:pPr>
              <w:spacing w:after="0"/>
              <w:rPr>
                <w:sz w:val="24"/>
                <w:szCs w:val="24"/>
                <w:color w:val="auto"/>
              </w:rPr>
            </w:pPr>
          </w:p>
        </w:tc>
      </w:tr>
      <w:tr>
        <w:trPr>
          <w:trHeight w:val="208"/>
        </w:trPr>
        <w:tc>
          <w:tcPr>
            <w:tcW w:w="4200" w:type="dxa"/>
            <w:vAlign w:val="bottom"/>
          </w:tcPr>
          <w:p>
            <w:pPr>
              <w:spacing w:after="0"/>
              <w:rPr>
                <w:sz w:val="18"/>
                <w:szCs w:val="18"/>
                <w:color w:val="auto"/>
              </w:rPr>
            </w:pPr>
          </w:p>
        </w:tc>
        <w:tc>
          <w:tcPr>
            <w:tcW w:w="4400" w:type="dxa"/>
            <w:vAlign w:val="bottom"/>
            <w:gridSpan w:val="3"/>
          </w:tcPr>
          <w:p>
            <w:pPr>
              <w:ind w:left="1460"/>
              <w:spacing w:after="0"/>
              <w:rPr>
                <w:sz w:val="20"/>
                <w:szCs w:val="20"/>
                <w:color w:val="auto"/>
              </w:rPr>
            </w:pPr>
            <w:r>
              <w:rPr>
                <w:rFonts w:ascii="Times New Roman" w:cs="Times New Roman" w:eastAsia="Times New Roman" w:hAnsi="Times New Roman"/>
                <w:sz w:val="14"/>
                <w:szCs w:val="14"/>
                <w:color w:val="auto"/>
              </w:rPr>
              <w:t>Revenues</w:t>
            </w:r>
          </w:p>
        </w:tc>
        <w:tc>
          <w:tcPr>
            <w:tcW w:w="268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Market Capitalization</w:t>
            </w:r>
          </w:p>
        </w:tc>
      </w:tr>
      <w:tr>
        <w:trPr>
          <w:trHeight w:val="206"/>
        </w:trPr>
        <w:tc>
          <w:tcPr>
            <w:tcW w:w="4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Euronet Worldwide, Inc.</w:t>
            </w:r>
          </w:p>
        </w:tc>
        <w:tc>
          <w:tcPr>
            <w:tcW w:w="3480" w:type="dxa"/>
            <w:vAlign w:val="bottom"/>
            <w:tcBorders>
              <w:top w:val="single" w:sz="8" w:color="auto"/>
            </w:tcBorders>
          </w:tcPr>
          <w:p>
            <w:pPr>
              <w:ind w:left="1600"/>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tcPr>
          <w:p>
            <w:pPr>
              <w:jc w:val="right"/>
              <w:ind w:right="1528"/>
              <w:spacing w:after="0"/>
              <w:rPr>
                <w:sz w:val="20"/>
                <w:szCs w:val="20"/>
                <w:color w:val="auto"/>
              </w:rPr>
            </w:pPr>
            <w:r>
              <w:rPr>
                <w:rFonts w:ascii="Times New Roman" w:cs="Times New Roman" w:eastAsia="Times New Roman" w:hAnsi="Times New Roman"/>
                <w:sz w:val="14"/>
                <w:szCs w:val="14"/>
                <w:color w:val="auto"/>
              </w:rPr>
              <w:t>44%</w:t>
            </w:r>
          </w:p>
        </w:tc>
      </w:tr>
    </w:tbl>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2"/>
          <w:szCs w:val="12"/>
          <w:color w:val="auto"/>
        </w:rPr>
        <w:t xml:space="preserve"> Based on latest four quarters revenues and market capitalization as of October 31, 2022.</w:t>
      </w:r>
    </w:p>
    <w:p>
      <w:pPr>
        <w:spacing w:after="0" w:line="11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4"/>
          <w:szCs w:val="14"/>
          <w:color w:val="auto"/>
        </w:rPr>
        <w:t>The Compensation Committee evaluates whether the compensation opportunities for executives are appropriate and competitive by comparing each named executive officer’s target total compensation opportunity, which represents the sum of the executive’s base salary and target award amounts under the Executive Annual Incentive Plan and Stock Incentive Plan, to the target total compensation opportunities for executives in comparable positions at peer companies. The Compensation Committee references the 50th percentile of the Peer Group when making this comparison, although a named executive officer’s total compensation opportunity may be higher or lower depending upon the executive’s tenure, overall level of responsibility and performance. The Compensation Committee believes that the 50th percentile is an appropriate market reference point for total compensation opportunity because of Euronet's size relative to the Peer Group.</w:t>
      </w:r>
    </w:p>
    <w:p>
      <w:pPr>
        <w:spacing w:after="0" w:line="141"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The Compensation Committee decided to maintain 2023 base salaries and target annual incentives at the 2022 levels. The Compensation Committee's determination of 2023 salaries and target annual incentive opportunities was informed by competitive data compiled by the independent compensation consultant in late 2022, which compared target total direct compensation opportunities for our named executive officers with the median statistics for target total direct compensation among similarly situated executives within the relevant peer data.</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36" w:right="319" w:bottom="1440" w:gutter="0" w:footer="0" w:header="0"/>
        </w:sectPr>
      </w:pPr>
    </w:p>
    <w:bookmarkStart w:id="39" w:name="page40"/>
    <w:bookmarkEnd w:id="39"/>
    <w:p>
      <w:pPr>
        <w:jc w:val="both"/>
        <w:ind w:right="40" w:firstLine="331"/>
        <w:spacing w:after="0" w:line="264" w:lineRule="auto"/>
        <w:rPr>
          <w:sz w:val="20"/>
          <w:szCs w:val="20"/>
          <w:color w:val="auto"/>
        </w:rPr>
      </w:pPr>
      <w:r>
        <w:rPr>
          <w:rFonts w:ascii="Times New Roman" w:cs="Times New Roman" w:eastAsia="Times New Roman" w:hAnsi="Times New Roman"/>
          <w:sz w:val="14"/>
          <w:szCs w:val="14"/>
          <w:color w:val="auto"/>
        </w:rPr>
        <w:t>In the fourth quarter of 2023, the Compensation Committee reviewed an updated competitive analysis of target total direct compensation opportunities for our named executive officers, to inform their decisions on long-term incentive grant values for the December 2023 grant. The competitive analysis indicated that base salaries for our executive officers were below the median of our peers while our target non-equity compensation was comparable to the median of our peers. Further, target long-term incentive grant values was comparable to the median of our peers. For this reason, the Compensation Committee left the target long-term incentive grant values for executives unchanged from the prior year. Most of our long-term equity incentive compensation is subject to performance-based vesting criteria and our executive officers will fully earn this compensation only if the performance-based vesting criteria are satisfied and our share price appreciates significantly from the date of grant. The Compensation Committee believes this structure is appropriate for our executive officers as it emphasizes performance-based stock compensation is consistent with our compensation philosophy and is directly aligned with stockholders.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Elements of Compensation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Key elements of our Named Executive Officer compensation programs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126365</wp:posOffset>
            </wp:positionV>
            <wp:extent cx="71596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1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590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32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Characteristics</w:t>
            </w:r>
          </w:p>
        </w:tc>
        <w:tc>
          <w:tcPr>
            <w:tcW w:w="0" w:type="dxa"/>
            <w:vAlign w:val="bottom"/>
          </w:tcPr>
          <w:p>
            <w:pPr>
              <w:spacing w:after="0"/>
              <w:rPr>
                <w:sz w:val="1"/>
                <w:szCs w:val="1"/>
                <w:color w:val="auto"/>
              </w:rPr>
            </w:pPr>
          </w:p>
        </w:tc>
      </w:tr>
      <w:tr>
        <w:trPr>
          <w:trHeight w:val="219"/>
        </w:trPr>
        <w:tc>
          <w:tcPr>
            <w:tcW w:w="21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Base Salaries</w:t>
            </w:r>
          </w:p>
        </w:tc>
        <w:tc>
          <w:tcPr>
            <w:tcW w:w="59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Compensates executives for their level of responsibility and individual performance.</w:t>
            </w:r>
          </w:p>
        </w:tc>
        <w:tc>
          <w:tcPr>
            <w:tcW w:w="3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Fixed component; evaluated annually</w:t>
            </w:r>
          </w:p>
        </w:tc>
        <w:tc>
          <w:tcPr>
            <w:tcW w:w="0" w:type="dxa"/>
            <w:vAlign w:val="bottom"/>
          </w:tcPr>
          <w:p>
            <w:pPr>
              <w:spacing w:after="0"/>
              <w:rPr>
                <w:sz w:val="1"/>
                <w:szCs w:val="1"/>
                <w:color w:val="auto"/>
              </w:rPr>
            </w:pPr>
          </w:p>
        </w:tc>
      </w:tr>
      <w:tr>
        <w:trPr>
          <w:trHeight w:val="102"/>
        </w:trPr>
        <w:tc>
          <w:tcPr>
            <w:tcW w:w="2120" w:type="dxa"/>
            <w:vAlign w:val="bottom"/>
            <w:vMerge w:val="continue"/>
          </w:tcPr>
          <w:p>
            <w:pPr>
              <w:spacing w:after="0"/>
              <w:rPr>
                <w:sz w:val="8"/>
                <w:szCs w:val="8"/>
                <w:color w:val="auto"/>
              </w:rPr>
            </w:pPr>
          </w:p>
        </w:tc>
        <w:tc>
          <w:tcPr>
            <w:tcW w:w="59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Also helps attract and retain strong talent.</w:t>
            </w:r>
          </w:p>
        </w:tc>
        <w:tc>
          <w:tcPr>
            <w:tcW w:w="3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120" w:type="dxa"/>
            <w:vAlign w:val="bottom"/>
          </w:tcPr>
          <w:p>
            <w:pPr>
              <w:spacing w:after="0"/>
              <w:rPr>
                <w:sz w:val="7"/>
                <w:szCs w:val="7"/>
                <w:color w:val="auto"/>
              </w:rPr>
            </w:pPr>
          </w:p>
        </w:tc>
        <w:tc>
          <w:tcPr>
            <w:tcW w:w="5900" w:type="dxa"/>
            <w:vAlign w:val="bottom"/>
            <w:vMerge w:val="continue"/>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2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3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00" w:top="471" w:right="279" w:bottom="1440" w:gutter="0" w:footer="0" w:header="0"/>
        </w:sectPr>
      </w:pPr>
    </w:p>
    <w:p>
      <w:pPr>
        <w:spacing w:after="0" w:line="86" w:lineRule="exact"/>
        <w:rPr>
          <w:sz w:val="20"/>
          <w:szCs w:val="20"/>
          <w:color w:val="auto"/>
        </w:rPr>
      </w:pPr>
    </w:p>
    <w:p>
      <w:pPr>
        <w:ind w:left="300"/>
        <w:spacing w:after="0"/>
        <w:tabs>
          <w:tab w:leader="none" w:pos="2980" w:val="left"/>
        </w:tabs>
        <w:rPr>
          <w:sz w:val="20"/>
          <w:szCs w:val="20"/>
          <w:color w:val="auto"/>
        </w:rPr>
      </w:pPr>
      <w:r>
        <w:rPr>
          <w:rFonts w:ascii="Times New Roman" w:cs="Times New Roman" w:eastAsia="Times New Roman" w:hAnsi="Times New Roman"/>
          <w:sz w:val="14"/>
          <w:szCs w:val="14"/>
          <w:b w:val="1"/>
          <w:bCs w:val="1"/>
          <w:color w:val="auto"/>
        </w:rPr>
        <w:t>Annual Non-Equity Incentives</w:t>
      </w:r>
      <w:r>
        <w:rPr>
          <w:sz w:val="20"/>
          <w:szCs w:val="20"/>
          <w:color w:val="auto"/>
        </w:rPr>
        <w:tab/>
      </w:r>
      <w:r>
        <w:rPr>
          <w:rFonts w:ascii="Times New Roman" w:cs="Times New Roman" w:eastAsia="Times New Roman" w:hAnsi="Times New Roman"/>
          <w:sz w:val="14"/>
          <w:szCs w:val="14"/>
          <w:color w:val="auto"/>
        </w:rPr>
        <w:t>Promotes achieving our annual corporate and business division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223520</wp:posOffset>
            </wp:positionV>
            <wp:extent cx="715962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firstLine="288"/>
        <w:spacing w:after="0" w:line="298" w:lineRule="auto"/>
        <w:rPr>
          <w:sz w:val="20"/>
          <w:szCs w:val="20"/>
          <w:color w:val="auto"/>
        </w:rPr>
      </w:pPr>
      <w:r>
        <w:rPr>
          <w:rFonts w:ascii="Times New Roman" w:cs="Times New Roman" w:eastAsia="Times New Roman" w:hAnsi="Times New Roman"/>
          <w:sz w:val="14"/>
          <w:szCs w:val="14"/>
          <w:color w:val="auto"/>
        </w:rPr>
        <w:t>Performance-based cash opportunity; amount varies based on Company performance.</w:t>
      </w:r>
    </w:p>
    <w:p>
      <w:pPr>
        <w:spacing w:after="0" w:line="200" w:lineRule="exact"/>
        <w:rPr>
          <w:sz w:val="20"/>
          <w:szCs w:val="20"/>
          <w:color w:val="auto"/>
        </w:rPr>
      </w:pPr>
    </w:p>
    <w:p>
      <w:pPr>
        <w:sectPr>
          <w:pgSz w:w="11900" w:h="16838" w:orient="portrait"/>
          <w:cols w:equalWidth="0" w:num="2">
            <w:col w:w="7220" w:space="720"/>
            <w:col w:w="3380"/>
          </w:cols>
          <w:pgMar w:left="300" w:top="471" w:right="279" w:bottom="1440" w:gutter="0" w:footer="0" w:header="0"/>
          <w:type w:val="continuous"/>
        </w:sectPr>
      </w:pPr>
    </w:p>
    <w:p>
      <w:pPr>
        <w:spacing w:after="0" w:line="262" w:lineRule="exact"/>
        <w:rPr>
          <w:sz w:val="20"/>
          <w:szCs w:val="20"/>
          <w:color w:val="auto"/>
        </w:rPr>
      </w:pPr>
    </w:p>
    <w:p>
      <w:pPr>
        <w:ind w:left="300"/>
        <w:spacing w:after="0"/>
        <w:tabs>
          <w:tab w:leader="none" w:pos="2980" w:val="left"/>
        </w:tabs>
        <w:rPr>
          <w:sz w:val="20"/>
          <w:szCs w:val="20"/>
          <w:color w:val="auto"/>
        </w:rPr>
      </w:pPr>
      <w:r>
        <w:rPr>
          <w:rFonts w:ascii="Times New Roman" w:cs="Times New Roman" w:eastAsia="Times New Roman" w:hAnsi="Times New Roman"/>
          <w:sz w:val="14"/>
          <w:szCs w:val="14"/>
          <w:b w:val="1"/>
          <w:bCs w:val="1"/>
          <w:color w:val="auto"/>
        </w:rPr>
        <w:t>Stock Incentives</w:t>
      </w:r>
      <w:r>
        <w:rPr>
          <w:sz w:val="20"/>
          <w:szCs w:val="20"/>
          <w:color w:val="auto"/>
        </w:rPr>
        <w:tab/>
      </w:r>
      <w:r>
        <w:rPr>
          <w:rFonts w:ascii="Times New Roman" w:cs="Times New Roman" w:eastAsia="Times New Roman" w:hAnsi="Times New Roman"/>
          <w:sz w:val="14"/>
          <w:szCs w:val="14"/>
          <w:color w:val="auto"/>
        </w:rPr>
        <w:t>Promotes (a) achieving our long-term corporate financial goals and (b) stockholder</w:t>
      </w:r>
    </w:p>
    <w:p>
      <w:pPr>
        <w:spacing w:after="0" w:line="4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198755</wp:posOffset>
            </wp:positionV>
            <wp:extent cx="715962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firstLine="288"/>
        <w:spacing w:after="0" w:line="267" w:lineRule="auto"/>
        <w:rPr>
          <w:sz w:val="20"/>
          <w:szCs w:val="20"/>
          <w:color w:val="auto"/>
        </w:rPr>
      </w:pPr>
      <w:r>
        <w:rPr>
          <w:rFonts w:ascii="Times New Roman" w:cs="Times New Roman" w:eastAsia="Times New Roman" w:hAnsi="Times New Roman"/>
          <w:sz w:val="14"/>
          <w:szCs w:val="14"/>
          <w:color w:val="auto"/>
        </w:rPr>
        <w:t>Performance-based equity opportunity in the form of stock options and performance RSUs; amounts earned/realized will vary from the targeted grant-date fair value based on actual financial and stock price performance.</w:t>
      </w:r>
    </w:p>
    <w:p>
      <w:pPr>
        <w:spacing w:after="0" w:line="195" w:lineRule="exact"/>
        <w:rPr>
          <w:sz w:val="20"/>
          <w:szCs w:val="20"/>
          <w:color w:val="auto"/>
        </w:rPr>
      </w:pPr>
    </w:p>
    <w:p>
      <w:pPr>
        <w:sectPr>
          <w:pgSz w:w="11900" w:h="16838" w:orient="portrait"/>
          <w:cols w:equalWidth="0" w:num="2">
            <w:col w:w="7780" w:space="160"/>
            <w:col w:w="3380"/>
          </w:cols>
          <w:pgMar w:left="300" w:top="471" w:right="279" w:bottom="1440" w:gutter="0" w:footer="0" w:header="0"/>
          <w:type w:val="continuous"/>
        </w:sectPr>
      </w:pPr>
    </w:p>
    <w:p>
      <w:pPr>
        <w:jc w:val="both"/>
        <w:ind w:right="40" w:firstLine="331"/>
        <w:spacing w:after="0" w:line="269" w:lineRule="auto"/>
        <w:rPr>
          <w:sz w:val="20"/>
          <w:szCs w:val="20"/>
          <w:color w:val="auto"/>
        </w:rPr>
      </w:pPr>
      <w:r>
        <w:rPr>
          <w:rFonts w:ascii="Times New Roman" w:cs="Times New Roman" w:eastAsia="Times New Roman" w:hAnsi="Times New Roman"/>
          <w:sz w:val="14"/>
          <w:szCs w:val="14"/>
          <w:color w:val="auto"/>
        </w:rPr>
        <w:t>Each element of compensation is described below, including a discussion of the specific actions taken by the Compensation Committee for 2023 concerning the CEO and other executive officers.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Base Salaries for Named Executive Officers</w:t>
      </w:r>
    </w:p>
    <w:p>
      <w:pPr>
        <w:spacing w:after="0" w:line="187" w:lineRule="exact"/>
        <w:rPr>
          <w:sz w:val="20"/>
          <w:szCs w:val="20"/>
          <w:color w:val="auto"/>
        </w:rPr>
      </w:pPr>
    </w:p>
    <w:p>
      <w:pPr>
        <w:jc w:val="both"/>
        <w:ind w:right="40" w:firstLine="331"/>
        <w:spacing w:after="0" w:line="277" w:lineRule="auto"/>
        <w:rPr>
          <w:sz w:val="20"/>
          <w:szCs w:val="20"/>
          <w:color w:val="auto"/>
        </w:rPr>
      </w:pPr>
      <w:r>
        <w:rPr>
          <w:rFonts w:ascii="Times New Roman" w:cs="Times New Roman" w:eastAsia="Times New Roman" w:hAnsi="Times New Roman"/>
          <w:sz w:val="14"/>
          <w:szCs w:val="14"/>
          <w:color w:val="auto"/>
        </w:rPr>
        <w:t>In determining salary adjustments for the Named Executive Officers, the Compensation Committee considered each executive officer's individual performance and targeted base salary levels within a +/- 15% range around the median base salary paid for executives with similar responsibilities within the Peer Group and survey data. Adjustments are not made each year. As previously discussed, the Compensation Committee did not make adjustments from the 2023 salaries for any Named Executive Officers.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table below shows the salaries for the named executive officers:</w:t>
            </w: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50"/>
        </w:trPr>
        <w:tc>
          <w:tcPr>
            <w:tcW w:w="5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0061AA"/>
              </w:rPr>
              <w:t>FY2022 Salary</w:t>
            </w:r>
          </w:p>
        </w:tc>
        <w:tc>
          <w:tcPr>
            <w:tcW w:w="420" w:type="dxa"/>
            <w:vAlign w:val="bottom"/>
          </w:tcPr>
          <w:p>
            <w:pPr>
              <w:spacing w:after="0"/>
              <w:rPr>
                <w:sz w:val="24"/>
                <w:szCs w:val="24"/>
                <w:color w:val="auto"/>
              </w:rPr>
            </w:pPr>
          </w:p>
        </w:tc>
        <w:tc>
          <w:tcPr>
            <w:tcW w:w="15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0061AA"/>
              </w:rPr>
              <w:t>FY2023 Salary</w:t>
            </w:r>
          </w:p>
        </w:tc>
        <w:tc>
          <w:tcPr>
            <w:tcW w:w="13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0061AA"/>
              </w:rPr>
              <w:t>Merit %</w:t>
            </w:r>
          </w:p>
        </w:tc>
        <w:tc>
          <w:tcPr>
            <w:tcW w:w="260" w:type="dxa"/>
            <w:vAlign w:val="bottom"/>
          </w:tcPr>
          <w:p>
            <w:pPr>
              <w:spacing w:after="0"/>
              <w:rPr>
                <w:sz w:val="24"/>
                <w:szCs w:val="24"/>
                <w:color w:val="auto"/>
              </w:rPr>
            </w:pPr>
          </w:p>
        </w:tc>
      </w:tr>
      <w:tr>
        <w:trPr>
          <w:trHeight w:val="217"/>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0061AA"/>
              </w:rPr>
              <w:t>Name</w:t>
            </w:r>
          </w:p>
        </w:tc>
        <w:tc>
          <w:tcPr>
            <w:tcW w:w="1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0061AA"/>
              </w:rPr>
              <w:t>(000s)</w:t>
            </w:r>
          </w:p>
        </w:tc>
        <w:tc>
          <w:tcPr>
            <w:tcW w:w="4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0061AA"/>
              </w:rPr>
              <w:t>(000s)</w:t>
            </w:r>
          </w:p>
        </w:tc>
        <w:tc>
          <w:tcPr>
            <w:tcW w:w="1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0061AA"/>
              </w:rPr>
              <w:t>Increase</w:t>
            </w:r>
          </w:p>
        </w:tc>
        <w:tc>
          <w:tcPr>
            <w:tcW w:w="260" w:type="dxa"/>
            <w:vAlign w:val="bottom"/>
            <w:tcBorders>
              <w:bottom w:val="single" w:sz="8" w:color="auto"/>
            </w:tcBorders>
          </w:tcPr>
          <w:p>
            <w:pPr>
              <w:spacing w:after="0"/>
              <w:rPr>
                <w:sz w:val="18"/>
                <w:szCs w:val="18"/>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Michael J. Brown</w:t>
            </w:r>
          </w:p>
        </w:tc>
        <w:tc>
          <w:tcPr>
            <w:tcW w:w="12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850</w:t>
            </w:r>
          </w:p>
        </w:tc>
        <w:tc>
          <w:tcPr>
            <w:tcW w:w="4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850</w:t>
            </w:r>
          </w:p>
        </w:tc>
        <w:tc>
          <w:tcPr>
            <w:tcW w:w="1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7"/>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Rick L. Weller</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500</w:t>
            </w:r>
          </w:p>
        </w:tc>
        <w:tc>
          <w:tcPr>
            <w:tcW w:w="4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500</w:t>
            </w:r>
          </w:p>
        </w:tc>
        <w:tc>
          <w:tcPr>
            <w:tcW w:w="13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7"/>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Nikos Fountas</w:t>
            </w:r>
          </w:p>
        </w:tc>
        <w:tc>
          <w:tcPr>
            <w:tcW w:w="12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426</w:t>
            </w:r>
          </w:p>
        </w:tc>
        <w:tc>
          <w:tcPr>
            <w:tcW w:w="4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426</w:t>
            </w:r>
          </w:p>
        </w:tc>
        <w:tc>
          <w:tcPr>
            <w:tcW w:w="1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Kevin J. Caponecchi</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450</w:t>
            </w:r>
          </w:p>
        </w:tc>
        <w:tc>
          <w:tcPr>
            <w:tcW w:w="4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450</w:t>
            </w:r>
          </w:p>
        </w:tc>
        <w:tc>
          <w:tcPr>
            <w:tcW w:w="13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2"/>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Juan C. Bianchi</w:t>
            </w:r>
          </w:p>
        </w:tc>
        <w:tc>
          <w:tcPr>
            <w:tcW w:w="12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450</w:t>
            </w:r>
          </w:p>
        </w:tc>
        <w:tc>
          <w:tcPr>
            <w:tcW w:w="4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450</w:t>
            </w:r>
          </w:p>
        </w:tc>
        <w:tc>
          <w:tcPr>
            <w:tcW w:w="1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Non-Equity Incentive Compensation</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320"/>
          </w:cols>
          <w:pgMar w:left="300" w:top="471" w:right="279" w:bottom="1440" w:gutter="0" w:footer="0" w:header="0"/>
          <w:type w:val="continuous"/>
        </w:sectPr>
      </w:pPr>
    </w:p>
    <w:bookmarkStart w:id="40" w:name="page41"/>
    <w:bookmarkEnd w:id="40"/>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Certain members of senior and executive management, including the Named Executive Officers participate in our stockholder approved Executive Annual Incentive Plan through which they are eligible to earn non-equity (cash) incentive awards. In determining annual non-equity incentive compensation, the Compensation Committee considers the overall performance of Euronet and the individual performance of each executive officer. In measuring individual performance, the Compensation Committee measures the level of responsibility of an executive officer against his base salary and other elements of compensation to determine whether overall compensation is sufficient to retain and motivate highly qualified individuals.</w:t>
      </w:r>
    </w:p>
    <w:p>
      <w:pPr>
        <w:spacing w:after="0" w:line="13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Non-equity incentive compensation to executive officers applies Company-wide performance criteria that executives directly influence, to ensure a link between annual performance and actual incentive payments. In December 2022, the Compensation Committee established 2023 incentive targets for Messrs. Brown, Weller, Fountas, Caponecchi and Bianchi based on predetermined adjusted EPS targets on a constant currency basis.</w:t>
      </w:r>
    </w:p>
    <w:p>
      <w:pPr>
        <w:spacing w:after="0" w:line="134" w:lineRule="exact"/>
        <w:rPr>
          <w:sz w:val="20"/>
          <w:szCs w:val="20"/>
          <w:color w:val="auto"/>
        </w:rPr>
      </w:pPr>
    </w:p>
    <w:p>
      <w:pPr>
        <w:jc w:val="both"/>
        <w:ind w:firstLine="331"/>
        <w:spacing w:after="0" w:line="265" w:lineRule="auto"/>
        <w:rPr>
          <w:sz w:val="20"/>
          <w:szCs w:val="20"/>
          <w:color w:val="auto"/>
        </w:rPr>
      </w:pPr>
      <w:r>
        <w:rPr>
          <w:rFonts w:ascii="Times New Roman" w:cs="Times New Roman" w:eastAsia="Times New Roman" w:hAnsi="Times New Roman"/>
          <w:sz w:val="14"/>
          <w:szCs w:val="14"/>
          <w:color w:val="auto"/>
        </w:rPr>
        <w:t>For 2023, adjusted EPS on a constant currency basis of $6.50, $6.85 or $7.30 would result in a payout as a percentage of base salary of 75%, 150% or 300%, respectively, for Mr. Brown, 62.5%, 125% or 250%, respectively, for Mr. Weller and 50%, 100% or 200%, respectively, for each of Messrs. Fountas, Caponecchi and Bianchi. Amounts achieved between target and maximum were calculated based on the proportionate achievement. The threshold, target and maximum adjusted EPS objectives for 2023 represent a 0%, 5% and 12% increase, respectively, over adjusted EPS of $6.51 for 2022. For 2023, the Company achieved adjusted EPS of $7.46 ($7.45 on a constant currency basis), which resulted in annual incentive compensation of $2,550,000, $1,250,000, $874,800, $900,000 and $900,000 being paid to Messrs. Brown, Weller, Fountas, Caponecchi and Bianchi, respectively. Results achieved between the target and maximum were calculated based on their proportionate achievement.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0061AA"/>
              </w:rPr>
              <w:t>%</w:t>
            </w:r>
          </w:p>
        </w:tc>
        <w:tc>
          <w:tcPr>
            <w:tcW w:w="0" w:type="dxa"/>
            <w:vAlign w:val="bottom"/>
          </w:tcPr>
          <w:p>
            <w:pPr>
              <w:spacing w:after="0"/>
              <w:rPr>
                <w:sz w:val="1"/>
                <w:szCs w:val="1"/>
                <w:color w:val="auto"/>
              </w:rPr>
            </w:pPr>
          </w:p>
        </w:tc>
      </w:tr>
      <w:tr>
        <w:trPr>
          <w:trHeight w:val="173"/>
        </w:trPr>
        <w:tc>
          <w:tcPr>
            <w:tcW w:w="38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0061AA"/>
              </w:rPr>
              <w:t>Name</w:t>
            </w:r>
          </w:p>
        </w:tc>
        <w:tc>
          <w:tcPr>
            <w:tcW w:w="25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061AA"/>
              </w:rPr>
              <w:t>2022 Annual</w:t>
            </w:r>
          </w:p>
        </w:tc>
        <w:tc>
          <w:tcPr>
            <w:tcW w:w="220" w:type="dxa"/>
            <w:vAlign w:val="bottom"/>
          </w:tcPr>
          <w:p>
            <w:pPr>
              <w:spacing w:after="0"/>
              <w:rPr>
                <w:sz w:val="15"/>
                <w:szCs w:val="15"/>
                <w:color w:val="auto"/>
              </w:rPr>
            </w:pPr>
          </w:p>
        </w:tc>
        <w:tc>
          <w:tcPr>
            <w:tcW w:w="18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0061AA"/>
              </w:rPr>
              <w:t>2023 Annual</w:t>
            </w:r>
          </w:p>
        </w:tc>
        <w:tc>
          <w:tcPr>
            <w:tcW w:w="13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0061AA"/>
              </w:rPr>
              <w:t>Increase /</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61AA"/>
              </w:rPr>
              <w:t>Incentive Plan Payout</w:t>
            </w: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0061AA"/>
              </w:rPr>
              <w:t>Incentive Plan Payout</w:t>
            </w:r>
          </w:p>
        </w:tc>
        <w:tc>
          <w:tcPr>
            <w:tcW w:w="1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0061AA"/>
              </w:rPr>
              <w:t>(Decrease)</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Michael J. Brown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2,550,000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2,550,000</w:t>
            </w:r>
          </w:p>
        </w:tc>
        <w:tc>
          <w:tcPr>
            <w:tcW w:w="1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7"/>
        </w:trPr>
        <w:tc>
          <w:tcPr>
            <w:tcW w:w="3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Rick L. Weller</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1,250,000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1,250,000</w:t>
            </w:r>
          </w:p>
        </w:tc>
        <w:tc>
          <w:tcPr>
            <w:tcW w:w="1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7"/>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Nikos Fountas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866,700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874,800</w:t>
            </w:r>
          </w:p>
        </w:tc>
        <w:tc>
          <w:tcPr>
            <w:tcW w:w="1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7"/>
        </w:trPr>
        <w:tc>
          <w:tcPr>
            <w:tcW w:w="3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Kevin J. Caponecchi</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900,000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900,000</w:t>
            </w:r>
          </w:p>
        </w:tc>
        <w:tc>
          <w:tcPr>
            <w:tcW w:w="1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7"/>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Juan C. Bianchi</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900,000</w:t>
            </w:r>
          </w:p>
        </w:tc>
        <w:tc>
          <w:tcPr>
            <w:tcW w:w="1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Incentive Programs</w:t>
      </w:r>
    </w:p>
    <w:p>
      <w:pPr>
        <w:spacing w:after="0" w:line="187" w:lineRule="exact"/>
        <w:rPr>
          <w:sz w:val="20"/>
          <w:szCs w:val="20"/>
          <w:color w:val="auto"/>
        </w:rPr>
      </w:pPr>
    </w:p>
    <w:p>
      <w:pPr>
        <w:jc w:val="both"/>
        <w:ind w:firstLine="331"/>
        <w:spacing w:after="0" w:line="263" w:lineRule="auto"/>
        <w:rPr>
          <w:sz w:val="20"/>
          <w:szCs w:val="20"/>
          <w:color w:val="auto"/>
        </w:rPr>
      </w:pPr>
      <w:r>
        <w:rPr>
          <w:rFonts w:ascii="Times New Roman" w:cs="Times New Roman" w:eastAsia="Times New Roman" w:hAnsi="Times New Roman"/>
          <w:sz w:val="14"/>
          <w:szCs w:val="14"/>
          <w:color w:val="auto"/>
        </w:rPr>
        <w:t>Our stock incentive plans are designed to promote an alignment of long-term interests between our employees and our stockholders and to assist in the retention and motivation of employees. The Compensation Committee can grant to key employees of Euronet and its subsidiaries a variety of stock incentives, including nonqualified stock options, incentive stock options, stock appreciation rights, restricted stock, performance awards and other stock-based incentives. Grants are usually approved by the Compensation Committee for recommendation to the Board during regularly scheduled committee meetings, of which there are typically four per year occurring at regular intervals. The Compensation Committee intends that performance-based stock incentives serve as a significant portion of our executive officers’ total compensation package. Stock incentives offer the executive officers significant long-term incentives to increase their efforts on behalf of Euronet and its subsidiaries, to focus managerial efforts on enhancing stockholder value and to align the interests of the executive officers with the stockholders. Grants of stock incentives are designed to be competitive with the companies in the Peer Group for the level of job the executive officer holds and to motivate the executive officer to contribute to an increase in our stock price over time.</w:t>
      </w:r>
    </w:p>
    <w:p>
      <w:pPr>
        <w:spacing w:after="0" w:line="320" w:lineRule="exact"/>
        <w:rPr>
          <w:sz w:val="20"/>
          <w:szCs w:val="20"/>
          <w:color w:val="auto"/>
        </w:rPr>
      </w:pPr>
    </w:p>
    <w:p>
      <w:pPr>
        <w:jc w:val="both"/>
        <w:ind w:firstLine="331"/>
        <w:spacing w:after="0" w:line="265" w:lineRule="auto"/>
        <w:rPr>
          <w:sz w:val="20"/>
          <w:szCs w:val="20"/>
          <w:color w:val="auto"/>
        </w:rPr>
      </w:pPr>
      <w:r>
        <w:rPr>
          <w:rFonts w:ascii="Times New Roman" w:cs="Times New Roman" w:eastAsia="Times New Roman" w:hAnsi="Times New Roman"/>
          <w:sz w:val="14"/>
          <w:szCs w:val="14"/>
          <w:color w:val="auto"/>
        </w:rPr>
        <w:t>Under the terms of the Stock Incentive Plan, last approved by the stockholders in May 2021, the exercise price of all option awards made to our Named Executive Officers or any of our other employees is fixed at the closing trading price on the date of grant. We do not have a program, plan or practice of awarding options and setting the exercise price based on the stock’s price on a date other than the grant date, and we do not have a practice of determining the exercise price of option grants by using average prices (or lowest prices) of our common stock in a period preceding or following the grant date.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Long-Term Equity Incentive Awards</w:t>
      </w:r>
    </w:p>
    <w:p>
      <w:pPr>
        <w:spacing w:after="0" w:line="187" w:lineRule="exact"/>
        <w:rPr>
          <w:sz w:val="20"/>
          <w:szCs w:val="20"/>
          <w:color w:val="auto"/>
        </w:rPr>
      </w:pPr>
    </w:p>
    <w:p>
      <w:pPr>
        <w:jc w:val="both"/>
        <w:ind w:firstLine="331"/>
        <w:spacing w:after="0" w:line="265" w:lineRule="auto"/>
        <w:rPr>
          <w:sz w:val="20"/>
          <w:szCs w:val="20"/>
          <w:color w:val="auto"/>
        </w:rPr>
      </w:pPr>
      <w:r>
        <w:rPr>
          <w:rFonts w:ascii="Times New Roman" w:cs="Times New Roman" w:eastAsia="Times New Roman" w:hAnsi="Times New Roman"/>
          <w:sz w:val="14"/>
          <w:szCs w:val="14"/>
          <w:color w:val="auto"/>
        </w:rPr>
        <w:t>In December 2023, the Compensation Committee, together in consultation with its compensation consultants, completed the award of equity incentive compensation grants to selected managers and key contributors to the success of the Company’s achievements, including the CEO and other NEOs. To further the long-term growth and success of Euronet, the Committee proposed and the Board approved the granting of awards to motivate the leadership team to remain committed to Euronet's market opportunities in the rapidly changing Fintech market. In that regard, the grants included a combination of performance vesting stock options and performance vesting restricted stock. The RSUs and stock options vest based on service and performance conditions over three to four years. The Committee believes that these awards will provide continued motivation to the leadership team to remain with the Company and capitalize on the very substantial opportunities in the payments industry to continue to grow stockholder value.</w:t>
      </w:r>
    </w:p>
    <w:p>
      <w:pPr>
        <w:spacing w:after="0" w:line="143" w:lineRule="exact"/>
        <w:rPr>
          <w:sz w:val="20"/>
          <w:szCs w:val="20"/>
          <w:color w:val="auto"/>
        </w:rPr>
      </w:pPr>
    </w:p>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As described above, the Compensation Committee reviewed Euronet’s performance in recent years in relation to the executives' incentive targets to confirm that the performance measures the Compensation Committee previously set for performance-based incentive stock awards were sufficiently rigorous and demanding as demonstrated by incentive goal performance ranging from zero achieved to partial achievement to full achievement. After this review, the Compensation Committee determined that the targets and the associated level of compensation awarded to the executive officers have generally been appropriate and challenging. As demonstrated by annual incentive achievements over the past three years that range from zero achievement to maximum achievement. Moreover, long-term share-based compensation performance achievements likewise ranged from zero achievement to maximum achievement.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Elements of Compensation</w:t>
      </w:r>
    </w:p>
    <w:p>
      <w:pPr>
        <w:spacing w:after="0" w:line="187"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We reported and included the grant date fair value of each year’s award as compensation in the summary compensation tables. These historical awards, while reported as compensation, are theoretical valuations assuming stock appreciation and anticipated achievement of the established performance goals as of the date of the grant. The value realized will depend on four important factors — from three to five year vesting period for equity awards, achievement of the predetermined performance goals, and continued stock price appreciation. Therefore, actual compensation will differ from theoretical compensation based upon continued operating performance and market performance of our stock price.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Compensation Mix</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Compensation Committee concluded that for 2023 executive compensation reflected an appropriate mix of base salary, incentive bonuses, service-based equity compensation and performance-based equity compensation that provides sufficient retentive and motivational value to align the interests of executives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6329680" cy="28733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29680" cy="287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Benefits</w:t>
      </w:r>
    </w:p>
    <w:p>
      <w:pPr>
        <w:spacing w:after="0" w:line="187"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Our employees in the United States are entitled to receive medical, dental, vision, life and short-term and long-term disability insurance benefits and may participate in our 401(k) plan. For 401(k) participants, we match 50% of participant deferrals on the first six percent or four percent of a participant’s deferrals, depending on which subsidiary’s plan the employee participates. Generally, employees outside the United States are covered by social benefit programs of their respective countries. Our executive officers generally participate in these benefit plans on the same basis as our other employees.</w:t>
      </w:r>
    </w:p>
    <w:p>
      <w:pPr>
        <w:spacing w:after="0" w:line="13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All of our employees are entitled to participate in the Employee Stock Purchase Plan ("ESPP"), which was adopted in 2001. This plan, which has been established in accordance with certain federal income tax rules set forth in Section 423 of the Internal Revenue Code of 1986, as amended (the “Code”), permits employees to purchase stock from us at a price that is equal to 85% of the lower of the trading price on the opening or closing of certain three-month “offering periods.”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Retirement Plans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We do not sponsor a defined benefit pension plan or any other deferred compensation plans for executives or any of our other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Perquisites and Other Benefits</w:t>
      </w:r>
    </w:p>
    <w:p>
      <w:pPr>
        <w:spacing w:after="0" w:line="187" w:lineRule="exact"/>
        <w:rPr>
          <w:sz w:val="20"/>
          <w:szCs w:val="20"/>
          <w:color w:val="auto"/>
        </w:rPr>
      </w:pPr>
    </w:p>
    <w:p>
      <w:pPr>
        <w:jc w:val="both"/>
        <w:ind w:firstLine="331"/>
        <w:spacing w:after="0" w:line="275" w:lineRule="auto"/>
        <w:rPr>
          <w:sz w:val="20"/>
          <w:szCs w:val="20"/>
          <w:color w:val="auto"/>
        </w:rPr>
      </w:pPr>
      <w:r>
        <w:rPr>
          <w:rFonts w:ascii="Times New Roman" w:cs="Times New Roman" w:eastAsia="Times New Roman" w:hAnsi="Times New Roman"/>
          <w:sz w:val="14"/>
          <w:szCs w:val="14"/>
          <w:color w:val="auto"/>
        </w:rPr>
        <w:t>Perquisites and other benefits have been a very small part of our executive compensation program. The aggregate incremental cost to the Company of providing perquisites and other benefits to our CEO and the other NEOs as a group in 2023 was $12,008 and $219,608, respectively, and is included in the “All Other Compensation” column of the Summary Compensation Table on page 45. As a part of Mr. Fountas' relocation to London, UK in 2018, the Compensation Committee approved the reimbursement of personal costs for housing and school tuition. The Compensation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72390</wp:posOffset>
            </wp:positionV>
            <wp:extent cx="718502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43" w:name="page44"/>
    <w:bookmarkEnd w:id="43"/>
    <w:p>
      <w:pPr>
        <w:jc w:val="both"/>
        <w:spacing w:after="0" w:line="277" w:lineRule="auto"/>
        <w:rPr>
          <w:sz w:val="20"/>
          <w:szCs w:val="20"/>
          <w:color w:val="auto"/>
        </w:rPr>
      </w:pPr>
      <w:r>
        <w:rPr>
          <w:rFonts w:ascii="Times New Roman" w:cs="Times New Roman" w:eastAsia="Times New Roman" w:hAnsi="Times New Roman"/>
          <w:sz w:val="14"/>
          <w:szCs w:val="14"/>
          <w:color w:val="auto"/>
        </w:rPr>
        <w:t>Committee believes this reimbursement is appropriate to locate Mr. Fountas in a significant European financial center near companies important to the growth plans of Euronet and to better facilitate international travel necessary for his duties. Considered both individually and in the aggregate, the Compensation Committee believes that the perquisites and other benefits we offer to our Named Executive Officers are reasonable and appropriate.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of Control Policy</w:t>
      </w:r>
    </w:p>
    <w:p>
      <w:pPr>
        <w:spacing w:after="0" w:line="187" w:lineRule="exact"/>
        <w:rPr>
          <w:sz w:val="20"/>
          <w:szCs w:val="20"/>
          <w:color w:val="auto"/>
        </w:rPr>
      </w:pPr>
    </w:p>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Euronet has a change in control provision in our Stock Incentive Plan that applies to all plan participants, including our NEOs. The change in control provisions were adopted to mitigate the concern that, in the event the Company is considering a change in control transaction, the employees involved in considering the transaction will be motivated to act in their own interests rather than the interests of the stockholders. Employees may not be in a position to influence the Company’s performance after a change in control and may not be in a position to earn their incentive awards or vest in their equity awards. Thus, the provisions are designed to make any transaction neutral to the employees’ economic interests. For a more detailed discussion of change in control arrangements with our NEOs, see the "Employment Agreements" discussion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and Director Stock Ownership and Hedging Policy</w:t>
      </w:r>
    </w:p>
    <w:p>
      <w:pPr>
        <w:spacing w:after="0" w:line="8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4"/>
          <w:szCs w:val="14"/>
          <w:color w:val="auto"/>
        </w:rPr>
        <w:t>Euronet also encourages broad-based employee stock ownership through various stockholder approved stock compensation plans. More than 350 employees have received awards in a combination of stock options and restricted stock. This means that, like other stockholders, employees broadly participate in both the upside opportunity and the downside risk of our performance. Key components of the Stock Ownership and Hedging Policy include:</w:t>
      </w:r>
    </w:p>
    <w:p>
      <w:pPr>
        <w:spacing w:after="0" w:line="101" w:lineRule="exact"/>
        <w:rPr>
          <w:sz w:val="20"/>
          <w:szCs w:val="20"/>
          <w:color w:val="auto"/>
        </w:rPr>
      </w:pPr>
    </w:p>
    <w:p>
      <w:pPr>
        <w:jc w:val="both"/>
        <w:ind w:left="520"/>
        <w:spacing w:after="0" w:line="298" w:lineRule="auto"/>
        <w:rPr>
          <w:sz w:val="20"/>
          <w:szCs w:val="20"/>
          <w:color w:val="auto"/>
        </w:rPr>
      </w:pPr>
      <w:r>
        <w:rPr>
          <w:rFonts w:ascii="Times New Roman" w:cs="Times New Roman" w:eastAsia="Times New Roman" w:hAnsi="Times New Roman"/>
          <w:sz w:val="14"/>
          <w:szCs w:val="14"/>
          <w:color w:val="auto"/>
        </w:rPr>
        <w:t>The allocation of stock awards to employees is progressive so that as an employee's level of responsibility and corresponding total compensation opportunity increases, an increasing percentage of total compensation is paid in performance based restricted stock and/or stock options to better align leadership 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-215265</wp:posOffset>
            </wp:positionV>
            <wp:extent cx="52705" cy="52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66" w:lineRule="exact"/>
        <w:rPr>
          <w:sz w:val="20"/>
          <w:szCs w:val="20"/>
          <w:color w:val="auto"/>
        </w:rPr>
      </w:pPr>
    </w:p>
    <w:p>
      <w:pPr>
        <w:jc w:val="both"/>
        <w:ind w:left="520"/>
        <w:spacing w:after="0" w:line="271" w:lineRule="auto"/>
        <w:rPr>
          <w:sz w:val="20"/>
          <w:szCs w:val="20"/>
          <w:color w:val="auto"/>
        </w:rPr>
      </w:pPr>
      <w:r>
        <w:rPr>
          <w:rFonts w:ascii="Times New Roman" w:cs="Times New Roman" w:eastAsia="Times New Roman" w:hAnsi="Times New Roman"/>
          <w:sz w:val="14"/>
          <w:szCs w:val="14"/>
          <w:color w:val="auto"/>
        </w:rPr>
        <w:t>Euronet has established an insider trading policy which applies to all directors, officers, employees, contractors, consultants and advisers of the Company, which are collectively referred to as “covered persons.” All covered persons are prohibited from trading in puts, calls or similar options on our stock or selling our stock “short.” In addition, covered persons may not purchase financial instruments (including prepaid variable forward contracts, equity swaps, collars and exchange funds) or otherwise engage in transactions that are designed to or have the effect of hedging or offsetting any decrease in the market value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-423545</wp:posOffset>
            </wp:positionV>
            <wp:extent cx="52705" cy="52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84" w:lineRule="exact"/>
        <w:rPr>
          <w:sz w:val="20"/>
          <w:szCs w:val="20"/>
          <w:color w:val="auto"/>
        </w:rPr>
      </w:pPr>
    </w:p>
    <w:p>
      <w:pPr>
        <w:jc w:val="both"/>
        <w:ind w:left="520"/>
        <w:spacing w:after="0" w:line="298" w:lineRule="auto"/>
        <w:rPr>
          <w:sz w:val="20"/>
          <w:szCs w:val="20"/>
          <w:color w:val="auto"/>
        </w:rPr>
      </w:pPr>
      <w:r>
        <w:rPr>
          <w:rFonts w:ascii="Times New Roman" w:cs="Times New Roman" w:eastAsia="Times New Roman" w:hAnsi="Times New Roman"/>
          <w:sz w:val="14"/>
          <w:szCs w:val="14"/>
          <w:color w:val="auto"/>
        </w:rPr>
        <w:t>Any Award granted to the Chief Executive Officer will contain a requirement that any shares issued upon the vesting of the Award will be held for a minimum of one (1) year subsequent to the date of vesting, unless the Chief Executive Officer retires or is terminated prior to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-215265</wp:posOffset>
            </wp:positionV>
            <wp:extent cx="52705" cy="52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77" w:lineRule="exact"/>
        <w:rPr>
          <w:sz w:val="20"/>
          <w:szCs w:val="20"/>
          <w:color w:val="auto"/>
        </w:rPr>
      </w:pPr>
    </w:p>
    <w:p>
      <w:pPr>
        <w:jc w:val="both"/>
        <w:ind w:left="520"/>
        <w:spacing w:after="0" w:line="269" w:lineRule="auto"/>
        <w:rPr>
          <w:sz w:val="20"/>
          <w:szCs w:val="20"/>
          <w:color w:val="auto"/>
        </w:rPr>
      </w:pPr>
      <w:r>
        <w:rPr>
          <w:rFonts w:ascii="Times New Roman" w:cs="Times New Roman" w:eastAsia="Times New Roman" w:hAnsi="Times New Roman"/>
          <w:sz w:val="14"/>
          <w:szCs w:val="14"/>
          <w:color w:val="auto"/>
        </w:rPr>
        <w:t>Euronet’s insider trading policy prohibits directors, executive officers, employees that report directly to an executive officer and certain other designated employees from holding Euronet securities in a margin account or pledging Euronet securities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-190500</wp:posOffset>
            </wp:positionV>
            <wp:extent cx="52705" cy="52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jc w:val="both"/>
        <w:ind w:left="940"/>
        <w:spacing w:after="0" w:line="260" w:lineRule="auto"/>
        <w:rPr>
          <w:sz w:val="20"/>
          <w:szCs w:val="20"/>
          <w:color w:val="auto"/>
        </w:rPr>
      </w:pPr>
      <w:r>
        <w:rPr>
          <w:rFonts w:ascii="Times New Roman" w:cs="Times New Roman" w:eastAsia="Times New Roman" w:hAnsi="Times New Roman"/>
          <w:sz w:val="14"/>
          <w:szCs w:val="14"/>
          <w:color w:val="auto"/>
        </w:rPr>
        <w:t>Exceptions to this restriction on pledging may be granted by the General Counsel under limited circumstances when the pledgor demonstrates the financial capacity to repay a loan without resorting to the pledged securities. As of December 31, 2023, Michael Brown had 590,223 shares pledged. Other than Michael Brown, none of the remaining NEOs had shares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-303530</wp:posOffset>
            </wp:positionV>
            <wp:extent cx="52705" cy="52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72390</wp:posOffset>
            </wp:positionV>
            <wp:extent cx="718502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44" w:name="page45"/>
    <w:bookmarkEnd w:id="44"/>
    <w:p>
      <w:pPr>
        <w:ind w:left="520"/>
        <w:spacing w:after="0" w:line="298" w:lineRule="auto"/>
        <w:rPr>
          <w:sz w:val="20"/>
          <w:szCs w:val="20"/>
          <w:color w:val="auto"/>
        </w:rPr>
      </w:pPr>
      <w:r>
        <w:rPr>
          <w:rFonts w:ascii="Times New Roman" w:cs="Times New Roman" w:eastAsia="Times New Roman" w:hAnsi="Times New Roman"/>
          <w:sz w:val="14"/>
          <w:szCs w:val="14"/>
          <w:color w:val="auto"/>
        </w:rPr>
        <w:t>The Compensation Committee has adopted stock ownership guidelines for the Chief Executive Officer and the non-executive Directors after a compliance period of five years. The requirements for each party and their current stock ownership position are as follows based on the stock price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-215265</wp:posOffset>
            </wp:positionV>
            <wp:extent cx="52705" cy="52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0061AA"/>
              </w:rPr>
              <w:t>Director</w:t>
            </w:r>
          </w:p>
        </w:tc>
        <w:tc>
          <w:tcPr>
            <w:tcW w:w="38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0061AA"/>
              </w:rPr>
              <w:t>Required Stock Ownership</w:t>
            </w:r>
          </w:p>
        </w:tc>
        <w:tc>
          <w:tcPr>
            <w:tcW w:w="52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0061AA"/>
              </w:rPr>
              <w:t>Current Stock Ownership Position</w:t>
            </w:r>
          </w:p>
        </w:tc>
      </w:tr>
      <w:tr>
        <w:trPr>
          <w:trHeight w:val="17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J. Brown</w:t>
            </w:r>
          </w:p>
        </w:tc>
        <w:tc>
          <w:tcPr>
            <w:tcW w:w="38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5 times base salary</w:t>
            </w:r>
          </w:p>
        </w:tc>
        <w:tc>
          <w:tcPr>
            <w:tcW w:w="52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313 times base salary</w:t>
            </w:r>
          </w:p>
        </w:tc>
      </w:tr>
      <w:tr>
        <w:trPr>
          <w:trHeight w:val="184"/>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Paul S. Althasen</w:t>
            </w:r>
          </w:p>
        </w:tc>
        <w:tc>
          <w:tcPr>
            <w:tcW w:w="38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5 times cash portion of annual retainer</w:t>
            </w:r>
          </w:p>
        </w:tc>
        <w:tc>
          <w:tcPr>
            <w:tcW w:w="52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23 times cash portion of annual retainer</w:t>
            </w:r>
          </w:p>
        </w:tc>
      </w:tr>
      <w:tr>
        <w:trPr>
          <w:trHeight w:val="18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Thomas A. McDonnell</w:t>
            </w:r>
          </w:p>
        </w:tc>
        <w:tc>
          <w:tcPr>
            <w:tcW w:w="38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5 times cash portion of annual retainer</w:t>
            </w:r>
          </w:p>
        </w:tc>
        <w:tc>
          <w:tcPr>
            <w:tcW w:w="52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34 times cash portion of annual retainer</w:t>
            </w:r>
          </w:p>
        </w:tc>
      </w:tr>
      <w:tr>
        <w:trPr>
          <w:trHeight w:val="184"/>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Dr. Andrej Olechowski</w:t>
            </w:r>
          </w:p>
        </w:tc>
        <w:tc>
          <w:tcPr>
            <w:tcW w:w="38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5 times cash portion of annual retainer</w:t>
            </w:r>
          </w:p>
        </w:tc>
        <w:tc>
          <w:tcPr>
            <w:tcW w:w="52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6 times cash portion of annual retainer</w:t>
            </w:r>
          </w:p>
        </w:tc>
      </w:tr>
      <w:tr>
        <w:trPr>
          <w:trHeight w:val="18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N. Frumkin</w:t>
            </w:r>
          </w:p>
        </w:tc>
        <w:tc>
          <w:tcPr>
            <w:tcW w:w="38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Not applicable</w:t>
            </w:r>
          </w:p>
        </w:tc>
        <w:tc>
          <w:tcPr>
            <w:tcW w:w="52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3 times cash portion of annual retainer</w:t>
            </w:r>
          </w:p>
        </w:tc>
      </w:tr>
      <w:tr>
        <w:trPr>
          <w:trHeight w:val="184"/>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Andrew B. Schmitt</w:t>
            </w:r>
          </w:p>
        </w:tc>
        <w:tc>
          <w:tcPr>
            <w:tcW w:w="38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5 times cash portion of annual retainer</w:t>
            </w:r>
          </w:p>
        </w:tc>
        <w:tc>
          <w:tcPr>
            <w:tcW w:w="52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30 times cash portion of annual retainer</w:t>
            </w:r>
          </w:p>
        </w:tc>
      </w:tr>
      <w:tr>
        <w:trPr>
          <w:trHeight w:val="18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 Jeannine Strandjord</w:t>
            </w:r>
          </w:p>
        </w:tc>
        <w:tc>
          <w:tcPr>
            <w:tcW w:w="38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5 times cash portion of annual retainer</w:t>
            </w:r>
          </w:p>
        </w:tc>
        <w:tc>
          <w:tcPr>
            <w:tcW w:w="52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19 times cash portion of annual retainer</w:t>
            </w:r>
          </w:p>
        </w:tc>
      </w:tr>
      <w:tr>
        <w:trPr>
          <w:trHeight w:val="184"/>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Ligia Torres Fentanes (1)</w:t>
            </w:r>
          </w:p>
        </w:tc>
        <w:tc>
          <w:tcPr>
            <w:tcW w:w="38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Not applicable</w:t>
            </w:r>
          </w:p>
        </w:tc>
        <w:tc>
          <w:tcPr>
            <w:tcW w:w="52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1 times cash portion of annual retainer</w:t>
            </w:r>
          </w:p>
        </w:tc>
      </w:tr>
      <w:tr>
        <w:trPr>
          <w:trHeight w:val="18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Sara Baack (1)</w:t>
            </w:r>
          </w:p>
        </w:tc>
        <w:tc>
          <w:tcPr>
            <w:tcW w:w="38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Not applicable</w:t>
            </w:r>
          </w:p>
        </w:tc>
        <w:tc>
          <w:tcPr>
            <w:tcW w:w="52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Not applicable</w:t>
            </w:r>
          </w:p>
        </w:tc>
      </w:tr>
    </w:tbl>
    <w:p>
      <w:pPr>
        <w:spacing w:after="0" w:line="126" w:lineRule="exact"/>
        <w:rPr>
          <w:sz w:val="20"/>
          <w:szCs w:val="20"/>
          <w:color w:val="auto"/>
        </w:rPr>
      </w:pPr>
    </w:p>
    <w:p>
      <w:pPr>
        <w:ind w:right="60" w:firstLine="6"/>
        <w:spacing w:after="0" w:line="269" w:lineRule="auto"/>
        <w:tabs>
          <w:tab w:leader="none" w:pos="20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Ligia Torres Fentanes and Sara Baack were appointed to the Board of Directors in December 2022 and February 2024, respectively, and therefore are in the initial five year compliance period and are required to retain 100% of vested shares net of tax until the ownership requirement is met.</w:t>
      </w:r>
    </w:p>
    <w:p>
      <w:pPr>
        <w:ind w:left="520" w:hanging="17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
          <w:szCs w:val="1"/>
          <w:color w:val="auto"/>
        </w:rPr>
        <w:drawing>
          <wp:inline distT="0" distB="0" distL="0" distR="0">
            <wp:extent cx="52705" cy="5270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705" cy="5270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While the stock ownership guidelines do not apply to the other NEOs, all of the other NEOs currently have stock ownership levels well in excess of generally established guidelines: Messrs. Weller, Caponecchi, Fountas and Bianchi hold shares (stock owned, stock issuable pursuant to options exercisable within 60 days of March 18, 2024 and beneficially owned stock at risk) valued at approximately 141, 105, 102, and 76 times their annual salaries,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Risk Assessment</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Compensation policies and practices are designed to discourage inappropriate risk-taking including:</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Stock ownership requirements for our CEO and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-64135</wp:posOffset>
            </wp:positionV>
            <wp:extent cx="52705" cy="52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Incentive plans more heavily weighted toward long-term performance to reduce the incentive to impair the prospects for long-term performance in favor of maximizing performance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-73660</wp:posOffset>
            </wp:positionV>
            <wp:extent cx="52705" cy="52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4"/>
          <w:szCs w:val="14"/>
          <w:color w:val="auto"/>
        </w:rPr>
        <w:t>one year.</w:t>
      </w:r>
    </w:p>
    <w:p>
      <w:pPr>
        <w:spacing w:after="0" w:line="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Short-term and long-term incentive performance targets are established prior to the beginning of each performance period and are not subject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-73660</wp:posOffset>
            </wp:positionV>
            <wp:extent cx="52705" cy="52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520"/>
        <w:spacing w:after="0" w:line="275" w:lineRule="auto"/>
        <w:rPr>
          <w:sz w:val="20"/>
          <w:szCs w:val="20"/>
          <w:color w:val="auto"/>
        </w:rPr>
      </w:pPr>
      <w:r>
        <w:rPr>
          <w:rFonts w:ascii="Times New Roman" w:cs="Times New Roman" w:eastAsia="Times New Roman" w:hAnsi="Times New Roman"/>
          <w:sz w:val="14"/>
          <w:szCs w:val="14"/>
          <w:color w:val="auto"/>
        </w:rPr>
        <w:t>The Compensation Committee annually reviews fixed versus variable pay mix, incentive plan metrics, and payout formulas as well as governance and compliance mechanisms such as approval authorities. The review completed in December 2023 found that no compensation programs, policies or practices were likely to have a material adverse impact on Euronet.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52705" cy="52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and Transfer of Awards</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All stock option, restricted stock unit and performance-based restricted stock awards are granted under plans that specifically prohibit the sale, assignment and transfer of awards with limited exceptions such as the death of the award recipient. In addition, the Compensation Committee may allow an award holder to assign or transfer an award.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Recoupment/Clawback Policy</w:t>
      </w:r>
    </w:p>
    <w:p>
      <w:pPr>
        <w:spacing w:after="0" w:line="176" w:lineRule="exact"/>
        <w:rPr>
          <w:sz w:val="20"/>
          <w:szCs w:val="20"/>
          <w:color w:val="auto"/>
        </w:rPr>
      </w:pPr>
    </w:p>
    <w:p>
      <w:pPr>
        <w:jc w:val="both"/>
        <w:ind w:firstLine="331"/>
        <w:spacing w:after="0" w:line="262" w:lineRule="auto"/>
        <w:rPr>
          <w:sz w:val="20"/>
          <w:szCs w:val="20"/>
          <w:color w:val="auto"/>
        </w:rPr>
      </w:pPr>
      <w:r>
        <w:rPr>
          <w:rFonts w:ascii="Times New Roman" w:cs="Times New Roman" w:eastAsia="Times New Roman" w:hAnsi="Times New Roman"/>
          <w:sz w:val="14"/>
          <w:szCs w:val="14"/>
          <w:color w:val="auto"/>
        </w:rPr>
        <w:t>In 2023, our Compensation Committee adopted our stand-alone clawback policy to comply with Nasdaq and SEC rules and to otherwise align with the prevailing market practice with respect to clawback policies. Under the policy, if Euronet is required to prepare an accounting restatement due to material noncompliance with any financial reporting requirement under the U.S. federal securities laws, the Compensation Committee shall, subject to limited exceptions, seek to recover “excess incentive-based compensation” from each individual who is a Section 16 officer or was a Section 16 officer during the performance period for such incentive-based compensation. For this purpose, excess incentive-based compensation generally is the amount of incentive-based compensation that is based on a financial performance measure that is in excess of the amount that otherwise would have been received had such incentive-based compensation been determined based on restated amounts in the accounting restatement. The clawback policy applies to incentive-based compensation for which the financial performance metric was attained during the three-year period preceding the date of the accounting restatement.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72390</wp:posOffset>
            </wp:positionV>
            <wp:extent cx="718502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Tax Treatment</w:t>
      </w:r>
    </w:p>
    <w:p>
      <w:pPr>
        <w:spacing w:after="0" w:line="187" w:lineRule="exact"/>
        <w:rPr>
          <w:sz w:val="20"/>
          <w:szCs w:val="20"/>
          <w:color w:val="auto"/>
        </w:rPr>
      </w:pPr>
    </w:p>
    <w:p>
      <w:pPr>
        <w:jc w:val="both"/>
        <w:ind w:firstLine="331"/>
        <w:spacing w:after="0" w:line="261" w:lineRule="auto"/>
        <w:rPr>
          <w:sz w:val="20"/>
          <w:szCs w:val="20"/>
          <w:color w:val="auto"/>
        </w:rPr>
      </w:pPr>
      <w:r>
        <w:rPr>
          <w:rFonts w:ascii="Times New Roman" w:cs="Times New Roman" w:eastAsia="Times New Roman" w:hAnsi="Times New Roman"/>
          <w:sz w:val="14"/>
          <w:szCs w:val="14"/>
          <w:color w:val="auto"/>
        </w:rPr>
        <w:t>Section 162(m) of the Internal Revenue Code (“Section 162(m)”) generally provides that publicly held companies may not deduct compensation paid to certain of their top executive officers to the extent such compensation exceeds $1 million per officer in any year. The exemption from the deduction limit under Section 162(m) for “performance-based compensation” has been repealed, effective for taxable years beginning after December 31, 2017, such that compensation paid to our “covered employees” in excess of $1 million will not be deductible unless it qualifies for transition relief applicable to certain arrangements in place as of November 2, 2017. The Compensation Committee will continue to monitor the applicability of Section 162(m) of the Code to its ongoing compensation arrangements. Because of ambiguities and uncertainties as to the application and interpretation of Section 162(m) and the regulations issued thereunder, including the uncertain scope of the transition relief under the legislation repealing the “performance-based compensation” exemption from the deduction limit, no assurance can be given that any compensation that may have been (or if granted under a binding written contract in place as of November 2, 2017 may be) intended to satisfy the requirements for exemption from Section 162(m), in fact will be exempt. In determining the form and amount of compensation for our NEOs, the Compensation Committee may continue to consider all elements of the cost of such compensation, including the potential impact of Section 162(m). While the Compensation Committee considers the deductibility of awards as one factor in determining executive compensation, the Compensation Committee may also look at other factors in making its decisions and retains the flexibility to award compensation that it determines to be consistent with the goals of our executive compensation program even if the awards are not deductible by us for tax purposes.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Advisory Vote on Executive Compensation</w:t>
      </w:r>
    </w:p>
    <w:p>
      <w:pPr>
        <w:spacing w:after="0" w:line="187"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The Company conducts an advisory vote on executive compensation every year at its annual meeting. While the vote is not binding on the Company, the Board or the Compensation Committee, the Compensation Committee believes that an annual advisory vote on executive compensation offers stockholders the opportunity to express their views regarding the Company’s compensation program and the Compensation Committee’s decisions on executive compensation. The Board and the Compensation Committee value the opinions of stockholders and the Compensation Committee will consider stockholders’ concerns and evaluate whether any actions are necessary to address those concerns.</w:t>
      </w:r>
    </w:p>
    <w:p>
      <w:pPr>
        <w:spacing w:after="0" w:line="137"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At last year’s annual meeting, over 86% of the votes cast on the advisory vote on executive compensation were in favor of the Company’s NEO compensation as disclosed in the proxy statement. The Board and Compensation Committee believe this affirms that our stockholders generally support the Company's approach to executive compensation. Accordingly, the Compensation Committee has taken no specific actions to modify our executive compensation program as a direct result of these non-binding, advisory votes but, rather, has continued to oversee the program in accordance with its best judgment and stated governing principles.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72390</wp:posOffset>
            </wp:positionV>
            <wp:extent cx="718502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006EBF"/>
        </w:rPr>
        <w:t>COMPENSATION COMMITTEE REPORT</w:t>
      </w:r>
    </w:p>
    <w:p>
      <w:pPr>
        <w:spacing w:after="0" w:line="200" w:lineRule="exact"/>
        <w:rPr>
          <w:sz w:val="20"/>
          <w:szCs w:val="20"/>
          <w:color w:val="auto"/>
        </w:rPr>
      </w:pPr>
    </w:p>
    <w:p>
      <w:pPr>
        <w:spacing w:after="0" w:line="219" w:lineRule="exact"/>
        <w:rPr>
          <w:sz w:val="20"/>
          <w:szCs w:val="20"/>
          <w:color w:val="auto"/>
        </w:rPr>
      </w:pPr>
    </w:p>
    <w:p>
      <w:pPr>
        <w:ind w:firstLine="508"/>
        <w:spacing w:after="0" w:line="298" w:lineRule="auto"/>
        <w:rPr>
          <w:sz w:val="20"/>
          <w:szCs w:val="20"/>
          <w:color w:val="auto"/>
        </w:rPr>
      </w:pPr>
      <w:r>
        <w:rPr>
          <w:rFonts w:ascii="Times New Roman" w:cs="Times New Roman" w:eastAsia="Times New Roman" w:hAnsi="Times New Roman"/>
          <w:sz w:val="14"/>
          <w:szCs w:val="14"/>
          <w:color w:val="auto"/>
        </w:rPr>
        <w:t>The Compensation Committee has reviewed the Compensation Discussion and Analysis presented above with management, and, based on that review, has recommended to the Board that the Compensation Discussion and Analysis be included in this proxy statement.</w:t>
      </w:r>
    </w:p>
    <w:p>
      <w:pPr>
        <w:spacing w:after="0" w:line="7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Compensation Committee</w:t>
      </w:r>
    </w:p>
    <w:p>
      <w:pPr>
        <w:spacing w:after="0" w:line="14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Andrew B. Schmitt, Chair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Thomas A. McDonnell</w:t>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M. Jeannine Strandjord</w:t>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Dr. Andrzej Olechowski</w:t>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Paul S. Althasen</w:t>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Michael N. Frumkin</w:t>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Ligia Torres Fentanes</w:t>
      </w:r>
    </w:p>
    <w:p>
      <w:pPr>
        <w:spacing w:after="0" w:line="169" w:lineRule="exact"/>
        <w:rPr>
          <w:sz w:val="20"/>
          <w:szCs w:val="20"/>
          <w:color w:val="auto"/>
        </w:rPr>
      </w:pPr>
    </w:p>
    <w:p>
      <w:pPr>
        <w:ind w:right="40" w:firstLine="177"/>
        <w:spacing w:after="0" w:line="298" w:lineRule="auto"/>
        <w:rPr>
          <w:sz w:val="20"/>
          <w:szCs w:val="20"/>
          <w:color w:val="auto"/>
        </w:rPr>
      </w:pPr>
      <w:r>
        <w:rPr>
          <w:rFonts w:ascii="Times New Roman" w:cs="Times New Roman" w:eastAsia="Times New Roman" w:hAnsi="Times New Roman"/>
          <w:sz w:val="14"/>
          <w:szCs w:val="14"/>
          <w:color w:val="auto"/>
        </w:rPr>
        <w:t>The Compensation Committee report and the “Compensation Discussion and Analysis” are not deemed “soliciting material” and is not deemed filed with the SEC or subject to Regulation 14A or the liabilities under Section 18 of the Exchange Act.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47" w:name="page48"/>
    <w:bookmarkEnd w:id="47"/>
    <w:p>
      <w:pPr>
        <w:jc w:val="center"/>
        <w:ind w:right="40"/>
        <w:spacing w:after="0"/>
        <w:rPr>
          <w:sz w:val="20"/>
          <w:szCs w:val="20"/>
          <w:color w:val="auto"/>
        </w:rPr>
      </w:pPr>
      <w:r>
        <w:rPr>
          <w:rFonts w:ascii="Times New Roman" w:cs="Times New Roman" w:eastAsia="Times New Roman" w:hAnsi="Times New Roman"/>
          <w:sz w:val="17"/>
          <w:szCs w:val="17"/>
          <w:b w:val="1"/>
          <w:bCs w:val="1"/>
          <w:color w:val="006EBF"/>
        </w:rPr>
        <w:t>COMPENSATION TABLES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154" w:lineRule="exact"/>
        <w:rPr>
          <w:sz w:val="20"/>
          <w:szCs w:val="20"/>
          <w:color w:val="auto"/>
        </w:rPr>
      </w:pPr>
    </w:p>
    <w:p>
      <w:pPr>
        <w:ind w:right="40" w:firstLine="331"/>
        <w:spacing w:after="0" w:line="298" w:lineRule="auto"/>
        <w:rPr>
          <w:sz w:val="20"/>
          <w:szCs w:val="20"/>
          <w:color w:val="auto"/>
        </w:rPr>
      </w:pPr>
      <w:r>
        <w:rPr>
          <w:rFonts w:ascii="Times New Roman" w:cs="Times New Roman" w:eastAsia="Times New Roman" w:hAnsi="Times New Roman"/>
          <w:sz w:val="14"/>
          <w:szCs w:val="14"/>
          <w:color w:val="auto"/>
        </w:rPr>
        <w:t>The following table sets forth certain information regarding the compensation awarded or paid to our Chief Executive Officer, our Chief Financial Officer and the three other most highly compensated of our executive officers (the “Named Executive Officers”) for the year ended December 31, 2023 for the periods indicated: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Option</w:t>
            </w:r>
          </w:p>
        </w:tc>
        <w:tc>
          <w:tcPr>
            <w:tcW w:w="14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Non-Equity</w:t>
            </w:r>
          </w:p>
        </w:tc>
        <w:tc>
          <w:tcPr>
            <w:tcW w:w="140" w:type="dxa"/>
            <w:vAlign w:val="bottom"/>
          </w:tcPr>
          <w:p>
            <w:pPr>
              <w:spacing w:after="0"/>
              <w:rPr>
                <w:sz w:val="12"/>
                <w:szCs w:val="12"/>
                <w:color w:val="auto"/>
              </w:rPr>
            </w:pP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2"/>
                <w:szCs w:val="12"/>
                <w:b w:val="1"/>
                <w:bCs w:val="1"/>
                <w:color w:val="auto"/>
                <w:w w:val="92"/>
              </w:rPr>
              <w:t>Incentive</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5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Year</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Bonus</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Awards(1)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6"/>
              </w:rPr>
              <w:t>Awards(2)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7"/>
              </w:rPr>
              <w:t>Compensation</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Compensation</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Michael J. Brown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850,000</w:t>
            </w:r>
          </w:p>
        </w:tc>
        <w:tc>
          <w:tcPr>
            <w:tcW w:w="820" w:type="dxa"/>
            <w:vAlign w:val="bottom"/>
            <w:gridSpan w:val="3"/>
            <w:shd w:val="clear" w:color="auto" w:fill="CCEEFF"/>
          </w:tcPr>
          <w:p>
            <w:pPr>
              <w:ind w:left="420"/>
              <w:spacing w:after="0" w:line="207"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5,202,163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5,202,097</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2,550,000</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12,008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(4)</w:t>
            </w:r>
          </w:p>
        </w:tc>
        <w:tc>
          <w:tcPr>
            <w:tcW w:w="2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13,816,268</w:t>
            </w: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Chairman, Chief Executive Officer and President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850,000</w:t>
            </w:r>
          </w:p>
        </w:tc>
        <w:tc>
          <w:tcPr>
            <w:tcW w:w="820" w:type="dxa"/>
            <w:vAlign w:val="bottom"/>
            <w:gridSpan w:val="3"/>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5,202,135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5,202,115</w:t>
            </w:r>
          </w:p>
        </w:tc>
        <w:tc>
          <w:tcPr>
            <w:tcW w:w="14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2,550,000</w:t>
            </w:r>
          </w:p>
        </w:tc>
        <w:tc>
          <w:tcPr>
            <w:tcW w:w="14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13,101</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13,817,351</w:t>
            </w:r>
          </w:p>
        </w:tc>
        <w:tc>
          <w:tcPr>
            <w:tcW w:w="0" w:type="dxa"/>
            <w:vAlign w:val="bottom"/>
          </w:tcPr>
          <w:p>
            <w:pPr>
              <w:spacing w:after="0"/>
              <w:rPr>
                <w:sz w:val="1"/>
                <w:szCs w:val="1"/>
                <w:color w:val="auto"/>
              </w:rPr>
            </w:pPr>
          </w:p>
        </w:tc>
      </w:tr>
      <w:tr>
        <w:trPr>
          <w:trHeight w:val="74"/>
        </w:trPr>
        <w:tc>
          <w:tcPr>
            <w:tcW w:w="250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850,000</w:t>
            </w:r>
          </w:p>
        </w:tc>
        <w:tc>
          <w:tcPr>
            <w:tcW w:w="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4,567,864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4,567,863</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1,683,000</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12,145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11,680,872</w:t>
            </w:r>
          </w:p>
        </w:tc>
        <w:tc>
          <w:tcPr>
            <w:tcW w:w="0" w:type="dxa"/>
            <w:vAlign w:val="bottom"/>
          </w:tcPr>
          <w:p>
            <w:pPr>
              <w:spacing w:after="0"/>
              <w:rPr>
                <w:sz w:val="1"/>
                <w:szCs w:val="1"/>
                <w:color w:val="auto"/>
              </w:rPr>
            </w:pPr>
          </w:p>
        </w:tc>
      </w:tr>
      <w:tr>
        <w:trPr>
          <w:trHeight w:val="228"/>
        </w:trPr>
        <w:tc>
          <w:tcPr>
            <w:tcW w:w="25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Rick L. Weller</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500,000</w:t>
            </w:r>
          </w:p>
        </w:tc>
        <w:tc>
          <w:tcPr>
            <w:tcW w:w="820" w:type="dxa"/>
            <w:vAlign w:val="bottom"/>
            <w:gridSpan w:val="3"/>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1,582,968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1,582,934</w:t>
            </w: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1,250,000</w:t>
            </w: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12,008</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4,927,910</w:t>
            </w:r>
          </w:p>
        </w:tc>
        <w:tc>
          <w:tcPr>
            <w:tcW w:w="0" w:type="dxa"/>
            <w:vAlign w:val="bottom"/>
          </w:tcPr>
          <w:p>
            <w:pPr>
              <w:spacing w:after="0"/>
              <w:rPr>
                <w:sz w:val="1"/>
                <w:szCs w:val="1"/>
                <w:color w:val="auto"/>
              </w:rPr>
            </w:pPr>
          </w:p>
        </w:tc>
      </w:tr>
      <w:tr>
        <w:trPr>
          <w:trHeight w:val="121"/>
        </w:trPr>
        <w:tc>
          <w:tcPr>
            <w:tcW w:w="2500" w:type="dxa"/>
            <w:vAlign w:val="bottom"/>
          </w:tcPr>
          <w:p>
            <w:pPr>
              <w:ind w:left="120"/>
              <w:spacing w:after="0" w:line="122" w:lineRule="exact"/>
              <w:rPr>
                <w:sz w:val="20"/>
                <w:szCs w:val="20"/>
                <w:color w:val="auto"/>
              </w:rPr>
            </w:pPr>
            <w:r>
              <w:rPr>
                <w:rFonts w:ascii="Times New Roman" w:cs="Times New Roman" w:eastAsia="Times New Roman" w:hAnsi="Times New Roman"/>
                <w:sz w:val="12"/>
                <w:szCs w:val="12"/>
                <w:color w:val="auto"/>
              </w:rPr>
              <w:t>Executive Vice President and Chief Financial</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500,000</w:t>
            </w:r>
          </w:p>
        </w:tc>
        <w:tc>
          <w:tcPr>
            <w:tcW w:w="8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1,582,979</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1,582,944</w:t>
            </w:r>
          </w:p>
        </w:tc>
        <w:tc>
          <w:tcPr>
            <w:tcW w:w="140" w:type="dxa"/>
            <w:vAlign w:val="bottom"/>
          </w:tcPr>
          <w:p>
            <w:pPr>
              <w:spacing w:after="0"/>
              <w:rPr>
                <w:sz w:val="10"/>
                <w:szCs w:val="10"/>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1,250,000</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17,130</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4,933,053</w:t>
            </w:r>
          </w:p>
        </w:tc>
        <w:tc>
          <w:tcPr>
            <w:tcW w:w="0" w:type="dxa"/>
            <w:vAlign w:val="bottom"/>
          </w:tcPr>
          <w:p>
            <w:pPr>
              <w:spacing w:after="0"/>
              <w:rPr>
                <w:sz w:val="1"/>
                <w:szCs w:val="1"/>
                <w:color w:val="auto"/>
              </w:rPr>
            </w:pPr>
          </w:p>
        </w:tc>
      </w:tr>
      <w:tr>
        <w:trPr>
          <w:trHeight w:val="105"/>
        </w:trPr>
        <w:tc>
          <w:tcPr>
            <w:tcW w:w="25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Officer</w:t>
            </w: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5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500,000</w:t>
            </w:r>
          </w:p>
        </w:tc>
        <w:tc>
          <w:tcPr>
            <w:tcW w:w="820" w:type="dxa"/>
            <w:vAlign w:val="bottom"/>
            <w:gridSpan w:val="3"/>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1,386,576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1,386,629</w:t>
            </w:r>
          </w:p>
        </w:tc>
        <w:tc>
          <w:tcPr>
            <w:tcW w:w="1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825,000</w:t>
            </w:r>
          </w:p>
        </w:tc>
        <w:tc>
          <w:tcPr>
            <w:tcW w:w="14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15,634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4,123,399</w:t>
            </w: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Nikos Fountas (5)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426,247</w:t>
            </w:r>
          </w:p>
        </w:tc>
        <w:tc>
          <w:tcPr>
            <w:tcW w:w="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1,483,517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1,483,503</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874,800</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146,053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4,414,120</w:t>
            </w:r>
          </w:p>
        </w:tc>
        <w:tc>
          <w:tcPr>
            <w:tcW w:w="0" w:type="dxa"/>
            <w:vAlign w:val="bottom"/>
          </w:tcPr>
          <w:p>
            <w:pPr>
              <w:spacing w:after="0"/>
              <w:rPr>
                <w:sz w:val="1"/>
                <w:szCs w:val="1"/>
                <w:color w:val="auto"/>
              </w:rPr>
            </w:pPr>
          </w:p>
        </w:tc>
      </w:tr>
      <w:tr>
        <w:trPr>
          <w:trHeight w:val="123"/>
        </w:trPr>
        <w:tc>
          <w:tcPr>
            <w:tcW w:w="2500" w:type="dxa"/>
            <w:vAlign w:val="bottom"/>
            <w:shd w:val="clear" w:color="auto" w:fill="CCEEFF"/>
          </w:tcPr>
          <w:p>
            <w:pPr>
              <w:ind w:left="120"/>
              <w:spacing w:after="0" w:line="123" w:lineRule="exact"/>
              <w:rPr>
                <w:sz w:val="20"/>
                <w:szCs w:val="20"/>
                <w:color w:val="auto"/>
              </w:rPr>
            </w:pPr>
            <w:r>
              <w:rPr>
                <w:rFonts w:ascii="Times New Roman" w:cs="Times New Roman" w:eastAsia="Times New Roman" w:hAnsi="Times New Roman"/>
                <w:sz w:val="12"/>
                <w:szCs w:val="12"/>
                <w:color w:val="auto"/>
              </w:rPr>
              <w:t>Executive Vice President and Chief Executive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426,655</w:t>
            </w:r>
          </w:p>
        </w:tc>
        <w:tc>
          <w:tcPr>
            <w:tcW w:w="820" w:type="dxa"/>
            <w:vAlign w:val="bottom"/>
            <w:gridSpan w:val="3"/>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1,483,513</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1,483,487</w:t>
            </w:r>
          </w:p>
        </w:tc>
        <w:tc>
          <w:tcPr>
            <w:tcW w:w="1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866,700</w:t>
            </w:r>
          </w:p>
        </w:tc>
        <w:tc>
          <w:tcPr>
            <w:tcW w:w="14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151,561</w:t>
            </w: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4,411,916</w:t>
            </w:r>
          </w:p>
        </w:tc>
        <w:tc>
          <w:tcPr>
            <w:tcW w:w="0" w:type="dxa"/>
            <w:vAlign w:val="bottom"/>
          </w:tcPr>
          <w:p>
            <w:pPr>
              <w:spacing w:after="0"/>
              <w:rPr>
                <w:sz w:val="1"/>
                <w:szCs w:val="1"/>
                <w:color w:val="auto"/>
              </w:rPr>
            </w:pPr>
          </w:p>
        </w:tc>
      </w:tr>
      <w:tr>
        <w:trPr>
          <w:trHeight w:val="119"/>
        </w:trPr>
        <w:tc>
          <w:tcPr>
            <w:tcW w:w="2500" w:type="dxa"/>
            <w:vAlign w:val="bottom"/>
            <w:shd w:val="clear" w:color="auto" w:fill="CCEEFF"/>
          </w:tcPr>
          <w:p>
            <w:pPr>
              <w:ind w:left="120"/>
              <w:spacing w:after="0" w:line="119" w:lineRule="exact"/>
              <w:rPr>
                <w:sz w:val="20"/>
                <w:szCs w:val="20"/>
                <w:color w:val="auto"/>
              </w:rPr>
            </w:pPr>
            <w:r>
              <w:rPr>
                <w:rFonts w:ascii="Times New Roman" w:cs="Times New Roman" w:eastAsia="Times New Roman" w:hAnsi="Times New Roman"/>
                <w:sz w:val="12"/>
                <w:szCs w:val="12"/>
                <w:color w:val="auto"/>
              </w:rPr>
              <w:t>Officer, EFT Europe, Middle East and Africa</w:t>
            </w:r>
          </w:p>
        </w:tc>
        <w:tc>
          <w:tcPr>
            <w:tcW w:w="5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20" w:type="dxa"/>
            <w:vAlign w:val="bottom"/>
            <w:gridSpan w:val="3"/>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Division</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479,115</w:t>
            </w:r>
          </w:p>
        </w:tc>
        <w:tc>
          <w:tcPr>
            <w:tcW w:w="820" w:type="dxa"/>
            <w:vAlign w:val="bottom"/>
            <w:gridSpan w:val="3"/>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1,339,215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1,339,268</w:t>
            </w: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606,343</w:t>
            </w: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255,882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4,019,823</w:t>
            </w:r>
          </w:p>
        </w:tc>
        <w:tc>
          <w:tcPr>
            <w:tcW w:w="0" w:type="dxa"/>
            <w:vAlign w:val="bottom"/>
          </w:tcPr>
          <w:p>
            <w:pPr>
              <w:spacing w:after="0"/>
              <w:rPr>
                <w:sz w:val="1"/>
                <w:szCs w:val="1"/>
                <w:color w:val="auto"/>
              </w:rPr>
            </w:pPr>
          </w:p>
        </w:tc>
      </w:tr>
      <w:tr>
        <w:trPr>
          <w:trHeight w:val="63"/>
        </w:trPr>
        <w:tc>
          <w:tcPr>
            <w:tcW w:w="250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320"/>
          </w:cols>
          <w:pgMar w:left="300" w:top="644" w:right="279" w:bottom="1440" w:gutter="0" w:footer="0" w:header="0"/>
        </w:sectPr>
      </w:pPr>
    </w:p>
    <w:p>
      <w:pPr>
        <w:ind w:left="80"/>
        <w:spacing w:after="0"/>
        <w:rPr>
          <w:sz w:val="20"/>
          <w:szCs w:val="20"/>
          <w:color w:val="auto"/>
        </w:rPr>
      </w:pPr>
      <w:r>
        <w:rPr>
          <w:rFonts w:ascii="Times New Roman" w:cs="Times New Roman" w:eastAsia="Times New Roman" w:hAnsi="Times New Roman"/>
          <w:sz w:val="12"/>
          <w:szCs w:val="12"/>
          <w:b w:val="1"/>
          <w:bCs w:val="1"/>
          <w:color w:val="auto"/>
        </w:rPr>
        <w:t>Kevin J. Caponecchi</w:t>
      </w:r>
    </w:p>
    <w:p>
      <w:pPr>
        <w:spacing w:after="0" w:line="37" w:lineRule="exact"/>
        <w:rPr>
          <w:sz w:val="20"/>
          <w:szCs w:val="20"/>
          <w:color w:val="auto"/>
        </w:rPr>
      </w:pPr>
    </w:p>
    <w:p>
      <w:pPr>
        <w:jc w:val="both"/>
        <w:ind w:left="160"/>
        <w:spacing w:after="0" w:line="223" w:lineRule="auto"/>
        <w:rPr>
          <w:sz w:val="20"/>
          <w:szCs w:val="20"/>
          <w:color w:val="auto"/>
        </w:rPr>
      </w:pPr>
      <w:r>
        <w:rPr>
          <w:rFonts w:ascii="Times New Roman" w:cs="Times New Roman" w:eastAsia="Times New Roman" w:hAnsi="Times New Roman"/>
          <w:sz w:val="12"/>
          <w:szCs w:val="12"/>
          <w:color w:val="auto"/>
        </w:rPr>
        <w:t>Executive Vice President and Chief Executive Officer, epay, Software and EFT Asia Pacific Division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jc w:val="right"/>
              <w:ind w:right="382"/>
              <w:spacing w:after="0"/>
              <w:rPr>
                <w:sz w:val="20"/>
                <w:szCs w:val="20"/>
                <w:color w:val="auto"/>
              </w:rPr>
            </w:pPr>
            <w:r>
              <w:rPr>
                <w:rFonts w:ascii="Times New Roman" w:cs="Times New Roman" w:eastAsia="Times New Roman" w:hAnsi="Times New Roman"/>
                <w:sz w:val="12"/>
                <w:szCs w:val="12"/>
                <w:color w:val="auto"/>
                <w:w w:val="91"/>
              </w:rPr>
              <w:t>2023</w:t>
            </w:r>
          </w:p>
        </w:tc>
        <w:tc>
          <w:tcPr>
            <w:tcW w:w="108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rPr>
              <w:t>450,000</w:t>
            </w:r>
          </w:p>
        </w:tc>
        <w:tc>
          <w:tcPr>
            <w:tcW w:w="7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ind w:right="342"/>
              <w:spacing w:after="0"/>
              <w:rPr>
                <w:sz w:val="20"/>
                <w:szCs w:val="20"/>
                <w:color w:val="auto"/>
              </w:rPr>
            </w:pPr>
            <w:r>
              <w:rPr>
                <w:rFonts w:ascii="Times New Roman" w:cs="Times New Roman" w:eastAsia="Times New Roman" w:hAnsi="Times New Roman"/>
                <w:sz w:val="12"/>
                <w:szCs w:val="12"/>
                <w:color w:val="auto"/>
              </w:rPr>
              <w:t>1,483,517</w:t>
            </w:r>
          </w:p>
        </w:tc>
        <w:tc>
          <w:tcPr>
            <w:tcW w:w="1300" w:type="dxa"/>
            <w:vAlign w:val="bottom"/>
          </w:tcPr>
          <w:p>
            <w:pPr>
              <w:jc w:val="right"/>
              <w:ind w:right="402"/>
              <w:spacing w:after="0"/>
              <w:rPr>
                <w:sz w:val="20"/>
                <w:szCs w:val="20"/>
                <w:color w:val="auto"/>
              </w:rPr>
            </w:pPr>
            <w:r>
              <w:rPr>
                <w:rFonts w:ascii="Times New Roman" w:cs="Times New Roman" w:eastAsia="Times New Roman" w:hAnsi="Times New Roman"/>
                <w:sz w:val="12"/>
                <w:szCs w:val="12"/>
                <w:color w:val="auto"/>
              </w:rPr>
              <w:t>1,483,503</w:t>
            </w:r>
          </w:p>
        </w:tc>
        <w:tc>
          <w:tcPr>
            <w:tcW w:w="1280" w:type="dxa"/>
            <w:vAlign w:val="bottom"/>
          </w:tcPr>
          <w:p>
            <w:pPr>
              <w:jc w:val="right"/>
              <w:ind w:right="402"/>
              <w:spacing w:after="0"/>
              <w:rPr>
                <w:sz w:val="20"/>
                <w:szCs w:val="20"/>
                <w:color w:val="auto"/>
              </w:rPr>
            </w:pPr>
            <w:r>
              <w:rPr>
                <w:rFonts w:ascii="Times New Roman" w:cs="Times New Roman" w:eastAsia="Times New Roman" w:hAnsi="Times New Roman"/>
                <w:sz w:val="12"/>
                <w:szCs w:val="12"/>
                <w:color w:val="auto"/>
              </w:rPr>
              <w:t>900,000</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11,563</w:t>
            </w:r>
          </w:p>
        </w:tc>
        <w:tc>
          <w:tcPr>
            <w:tcW w:w="50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w w:val="99"/>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4,328,583</w:t>
            </w:r>
          </w:p>
        </w:tc>
      </w:tr>
      <w:tr>
        <w:trPr>
          <w:trHeight w:val="227"/>
        </w:trPr>
        <w:tc>
          <w:tcPr>
            <w:tcW w:w="680" w:type="dxa"/>
            <w:vAlign w:val="bottom"/>
          </w:tcPr>
          <w:p>
            <w:pPr>
              <w:jc w:val="right"/>
              <w:ind w:right="382"/>
              <w:spacing w:after="0"/>
              <w:rPr>
                <w:sz w:val="20"/>
                <w:szCs w:val="20"/>
                <w:color w:val="auto"/>
              </w:rPr>
            </w:pPr>
            <w:r>
              <w:rPr>
                <w:rFonts w:ascii="Times New Roman" w:cs="Times New Roman" w:eastAsia="Times New Roman" w:hAnsi="Times New Roman"/>
                <w:sz w:val="12"/>
                <w:szCs w:val="12"/>
                <w:color w:val="auto"/>
                <w:w w:val="91"/>
              </w:rPr>
              <w:t>2022</w:t>
            </w:r>
          </w:p>
        </w:tc>
        <w:tc>
          <w:tcPr>
            <w:tcW w:w="108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rPr>
              <w:t>450,000</w:t>
            </w:r>
          </w:p>
        </w:tc>
        <w:tc>
          <w:tcPr>
            <w:tcW w:w="7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ind w:right="342"/>
              <w:spacing w:after="0"/>
              <w:rPr>
                <w:sz w:val="20"/>
                <w:szCs w:val="20"/>
                <w:color w:val="auto"/>
              </w:rPr>
            </w:pPr>
            <w:r>
              <w:rPr>
                <w:rFonts w:ascii="Times New Roman" w:cs="Times New Roman" w:eastAsia="Times New Roman" w:hAnsi="Times New Roman"/>
                <w:sz w:val="12"/>
                <w:szCs w:val="12"/>
                <w:color w:val="auto"/>
              </w:rPr>
              <w:t>1,483,513</w:t>
            </w:r>
          </w:p>
        </w:tc>
        <w:tc>
          <w:tcPr>
            <w:tcW w:w="1300" w:type="dxa"/>
            <w:vAlign w:val="bottom"/>
          </w:tcPr>
          <w:p>
            <w:pPr>
              <w:jc w:val="right"/>
              <w:ind w:right="402"/>
              <w:spacing w:after="0"/>
              <w:rPr>
                <w:sz w:val="20"/>
                <w:szCs w:val="20"/>
                <w:color w:val="auto"/>
              </w:rPr>
            </w:pPr>
            <w:r>
              <w:rPr>
                <w:rFonts w:ascii="Times New Roman" w:cs="Times New Roman" w:eastAsia="Times New Roman" w:hAnsi="Times New Roman"/>
                <w:sz w:val="12"/>
                <w:szCs w:val="12"/>
                <w:color w:val="auto"/>
              </w:rPr>
              <w:t>1,483,487</w:t>
            </w:r>
          </w:p>
        </w:tc>
        <w:tc>
          <w:tcPr>
            <w:tcW w:w="1280" w:type="dxa"/>
            <w:vAlign w:val="bottom"/>
          </w:tcPr>
          <w:p>
            <w:pPr>
              <w:jc w:val="right"/>
              <w:ind w:right="402"/>
              <w:spacing w:after="0"/>
              <w:rPr>
                <w:sz w:val="20"/>
                <w:szCs w:val="20"/>
                <w:color w:val="auto"/>
              </w:rPr>
            </w:pPr>
            <w:r>
              <w:rPr>
                <w:rFonts w:ascii="Times New Roman" w:cs="Times New Roman" w:eastAsia="Times New Roman" w:hAnsi="Times New Roman"/>
                <w:sz w:val="12"/>
                <w:szCs w:val="12"/>
                <w:color w:val="auto"/>
              </w:rPr>
              <w:t>900,000</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18,065</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4,335,065</w:t>
            </w:r>
          </w:p>
        </w:tc>
      </w:tr>
      <w:tr>
        <w:trPr>
          <w:trHeight w:val="223"/>
        </w:trPr>
        <w:tc>
          <w:tcPr>
            <w:tcW w:w="680" w:type="dxa"/>
            <w:vAlign w:val="bottom"/>
          </w:tcPr>
          <w:p>
            <w:pPr>
              <w:jc w:val="right"/>
              <w:ind w:right="382"/>
              <w:spacing w:after="0"/>
              <w:rPr>
                <w:sz w:val="20"/>
                <w:szCs w:val="20"/>
                <w:color w:val="auto"/>
              </w:rPr>
            </w:pPr>
            <w:r>
              <w:rPr>
                <w:rFonts w:ascii="Times New Roman" w:cs="Times New Roman" w:eastAsia="Times New Roman" w:hAnsi="Times New Roman"/>
                <w:sz w:val="12"/>
                <w:szCs w:val="12"/>
                <w:color w:val="auto"/>
                <w:w w:val="91"/>
              </w:rPr>
              <w:t>2021</w:t>
            </w:r>
          </w:p>
        </w:tc>
        <w:tc>
          <w:tcPr>
            <w:tcW w:w="108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rPr>
              <w:t>450,000</w:t>
            </w:r>
          </w:p>
        </w:tc>
        <w:tc>
          <w:tcPr>
            <w:tcW w:w="7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ind w:right="342"/>
              <w:spacing w:after="0"/>
              <w:rPr>
                <w:sz w:val="20"/>
                <w:szCs w:val="20"/>
                <w:color w:val="auto"/>
              </w:rPr>
            </w:pPr>
            <w:r>
              <w:rPr>
                <w:rFonts w:ascii="Times New Roman" w:cs="Times New Roman" w:eastAsia="Times New Roman" w:hAnsi="Times New Roman"/>
                <w:sz w:val="12"/>
                <w:szCs w:val="12"/>
                <w:color w:val="auto"/>
              </w:rPr>
              <w:t>1,339,215</w:t>
            </w:r>
          </w:p>
        </w:tc>
        <w:tc>
          <w:tcPr>
            <w:tcW w:w="1300" w:type="dxa"/>
            <w:vAlign w:val="bottom"/>
          </w:tcPr>
          <w:p>
            <w:pPr>
              <w:jc w:val="right"/>
              <w:ind w:right="402"/>
              <w:spacing w:after="0"/>
              <w:rPr>
                <w:sz w:val="20"/>
                <w:szCs w:val="20"/>
                <w:color w:val="auto"/>
              </w:rPr>
            </w:pPr>
            <w:r>
              <w:rPr>
                <w:rFonts w:ascii="Times New Roman" w:cs="Times New Roman" w:eastAsia="Times New Roman" w:hAnsi="Times New Roman"/>
                <w:sz w:val="12"/>
                <w:szCs w:val="12"/>
                <w:color w:val="auto"/>
              </w:rPr>
              <w:t>1,339,268</w:t>
            </w:r>
          </w:p>
        </w:tc>
        <w:tc>
          <w:tcPr>
            <w:tcW w:w="1280" w:type="dxa"/>
            <w:vAlign w:val="bottom"/>
          </w:tcPr>
          <w:p>
            <w:pPr>
              <w:jc w:val="right"/>
              <w:ind w:right="402"/>
              <w:spacing w:after="0"/>
              <w:rPr>
                <w:sz w:val="20"/>
                <w:szCs w:val="20"/>
                <w:color w:val="auto"/>
              </w:rPr>
            </w:pPr>
            <w:r>
              <w:rPr>
                <w:rFonts w:ascii="Times New Roman" w:cs="Times New Roman" w:eastAsia="Times New Roman" w:hAnsi="Times New Roman"/>
                <w:sz w:val="12"/>
                <w:szCs w:val="12"/>
                <w:color w:val="auto"/>
              </w:rPr>
              <w:t>594,000</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16,508</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3,738,991</w:t>
            </w:r>
          </w:p>
        </w:tc>
      </w:tr>
    </w:tbl>
    <w:p>
      <w:pPr>
        <w:spacing w:after="0" w:line="20" w:lineRule="exact"/>
        <w:rPr>
          <w:sz w:val="20"/>
          <w:szCs w:val="20"/>
          <w:color w:val="auto"/>
        </w:rPr>
      </w:pPr>
    </w:p>
    <w:p>
      <w:pPr>
        <w:sectPr>
          <w:pgSz w:w="11900" w:h="16838" w:orient="portrait"/>
          <w:cols w:equalWidth="0" w:num="2">
            <w:col w:w="2300" w:space="500"/>
            <w:col w:w="8520"/>
          </w:cols>
          <w:pgMar w:left="300" w:top="644" w:right="279" w:bottom="1440" w:gutter="0" w:footer="0" w:header="0"/>
          <w:type w:val="continuous"/>
        </w:sectPr>
      </w:pPr>
    </w:p>
    <w:tbl>
      <w:tblPr>
        <w:tblLayout w:type="fixed"/>
        <w:tblInd w:w="40" w:type="dxa"/>
        <w:tblCellMar>
          <w:top w:w="0" w:type="dxa"/>
          <w:left w:w="0" w:type="dxa"/>
          <w:bottom w:w="0" w:type="dxa"/>
          <w:right w:w="0" w:type="dxa"/>
        </w:tblCellMar>
      </w:tblPr>
      <w:tr>
        <w:trPr>
          <w:trHeight w:val="209"/>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Juan C. Bianchi</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14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2"/>
                <w:szCs w:val="12"/>
                <w:color w:val="auto"/>
              </w:rPr>
              <w:t>450,000</w:t>
            </w: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2"/>
                <w:szCs w:val="12"/>
                <w:color w:val="auto"/>
              </w:rPr>
              <w:t>1,483,517</w:t>
            </w:r>
          </w:p>
        </w:tc>
        <w:tc>
          <w:tcPr>
            <w:tcW w:w="130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2"/>
                <w:szCs w:val="12"/>
                <w:color w:val="auto"/>
              </w:rPr>
              <w:t>1,483,503</w:t>
            </w:r>
          </w:p>
        </w:tc>
        <w:tc>
          <w:tcPr>
            <w:tcW w:w="12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2"/>
                <w:szCs w:val="12"/>
                <w:color w:val="auto"/>
              </w:rPr>
              <w:t>900,000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49,984</w:t>
            </w:r>
          </w:p>
        </w:tc>
        <w:tc>
          <w:tcPr>
            <w:tcW w:w="5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w w:val="99"/>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4,367,004</w:t>
            </w:r>
          </w:p>
        </w:tc>
        <w:tc>
          <w:tcPr>
            <w:tcW w:w="0" w:type="dxa"/>
            <w:vAlign w:val="bottom"/>
          </w:tcPr>
          <w:p>
            <w:pPr>
              <w:spacing w:after="0"/>
              <w:rPr>
                <w:sz w:val="1"/>
                <w:szCs w:val="1"/>
                <w:color w:val="auto"/>
              </w:rPr>
            </w:pPr>
          </w:p>
        </w:tc>
      </w:tr>
      <w:tr>
        <w:trPr>
          <w:trHeight w:val="123"/>
        </w:trPr>
        <w:tc>
          <w:tcPr>
            <w:tcW w:w="2500" w:type="dxa"/>
            <w:vAlign w:val="bottom"/>
            <w:shd w:val="clear" w:color="auto" w:fill="CCEEFF"/>
          </w:tcPr>
          <w:p>
            <w:pPr>
              <w:ind w:left="120"/>
              <w:spacing w:after="0" w:line="123" w:lineRule="exact"/>
              <w:rPr>
                <w:sz w:val="20"/>
                <w:szCs w:val="20"/>
                <w:color w:val="auto"/>
              </w:rPr>
            </w:pPr>
            <w:r>
              <w:rPr>
                <w:rFonts w:ascii="Times New Roman" w:cs="Times New Roman" w:eastAsia="Times New Roman" w:hAnsi="Times New Roman"/>
                <w:sz w:val="12"/>
                <w:szCs w:val="12"/>
                <w:color w:val="auto"/>
              </w:rPr>
              <w:t>Executive Vice President and Chief Executive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1480" w:type="dxa"/>
            <w:vAlign w:val="bottom"/>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12"/>
                <w:szCs w:val="12"/>
                <w:color w:val="auto"/>
              </w:rPr>
              <w:t>450,000</w:t>
            </w:r>
          </w:p>
        </w:tc>
        <w:tc>
          <w:tcPr>
            <w:tcW w:w="7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vMerge w:val="restart"/>
            <w:shd w:val="clear" w:color="auto" w:fill="CCEEFF"/>
          </w:tcPr>
          <w:p>
            <w:pPr>
              <w:jc w:val="right"/>
              <w:ind w:right="342"/>
              <w:spacing w:after="0"/>
              <w:rPr>
                <w:sz w:val="20"/>
                <w:szCs w:val="20"/>
                <w:color w:val="auto"/>
              </w:rPr>
            </w:pPr>
            <w:r>
              <w:rPr>
                <w:rFonts w:ascii="Times New Roman" w:cs="Times New Roman" w:eastAsia="Times New Roman" w:hAnsi="Times New Roman"/>
                <w:sz w:val="12"/>
                <w:szCs w:val="12"/>
                <w:color w:val="auto"/>
              </w:rPr>
              <w:t>1,483,513</w:t>
            </w:r>
          </w:p>
        </w:tc>
        <w:tc>
          <w:tcPr>
            <w:tcW w:w="1300" w:type="dxa"/>
            <w:vAlign w:val="bottom"/>
            <w:vMerge w:val="restart"/>
            <w:shd w:val="clear" w:color="auto" w:fill="CCEEFF"/>
          </w:tcPr>
          <w:p>
            <w:pPr>
              <w:jc w:val="right"/>
              <w:ind w:right="402"/>
              <w:spacing w:after="0"/>
              <w:rPr>
                <w:sz w:val="20"/>
                <w:szCs w:val="20"/>
                <w:color w:val="auto"/>
              </w:rPr>
            </w:pPr>
            <w:r>
              <w:rPr>
                <w:rFonts w:ascii="Times New Roman" w:cs="Times New Roman" w:eastAsia="Times New Roman" w:hAnsi="Times New Roman"/>
                <w:sz w:val="12"/>
                <w:szCs w:val="12"/>
                <w:color w:val="auto"/>
              </w:rPr>
              <w:t>1,483,487</w:t>
            </w:r>
          </w:p>
        </w:tc>
        <w:tc>
          <w:tcPr>
            <w:tcW w:w="1280" w:type="dxa"/>
            <w:vAlign w:val="bottom"/>
            <w:vMerge w:val="restart"/>
            <w:shd w:val="clear" w:color="auto" w:fill="CCEEFF"/>
          </w:tcPr>
          <w:p>
            <w:pPr>
              <w:jc w:val="right"/>
              <w:ind w:right="402"/>
              <w:spacing w:after="0"/>
              <w:rPr>
                <w:sz w:val="20"/>
                <w:szCs w:val="20"/>
                <w:color w:val="auto"/>
              </w:rPr>
            </w:pPr>
            <w:r>
              <w:rPr>
                <w:rFonts w:ascii="Times New Roman" w:cs="Times New Roman" w:eastAsia="Times New Roman" w:hAnsi="Times New Roman"/>
                <w:sz w:val="12"/>
                <w:szCs w:val="12"/>
                <w:color w:val="auto"/>
              </w:rPr>
              <w:t>900,000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48,300</w:t>
            </w:r>
          </w:p>
        </w:tc>
        <w:tc>
          <w:tcPr>
            <w:tcW w:w="5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4,365,300</w:t>
            </w:r>
          </w:p>
        </w:tc>
        <w:tc>
          <w:tcPr>
            <w:tcW w:w="0" w:type="dxa"/>
            <w:vAlign w:val="bottom"/>
          </w:tcPr>
          <w:p>
            <w:pPr>
              <w:spacing w:after="0"/>
              <w:rPr>
                <w:sz w:val="1"/>
                <w:szCs w:val="1"/>
                <w:color w:val="auto"/>
              </w:rPr>
            </w:pPr>
          </w:p>
        </w:tc>
      </w:tr>
      <w:tr>
        <w:trPr>
          <w:trHeight w:val="104"/>
        </w:trPr>
        <w:tc>
          <w:tcPr>
            <w:tcW w:w="25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Officer, Money Transfer Segment</w:t>
            </w:r>
          </w:p>
        </w:tc>
        <w:tc>
          <w:tcPr>
            <w:tcW w:w="540" w:type="dxa"/>
            <w:vAlign w:val="bottom"/>
            <w:vMerge w:val="continue"/>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500" w:type="dxa"/>
            <w:vAlign w:val="bottom"/>
            <w:vMerge w:val="continue"/>
            <w:shd w:val="clear" w:color="auto" w:fill="CCEEFF"/>
          </w:tcPr>
          <w:p>
            <w:pPr>
              <w:spacing w:after="0"/>
              <w:rPr>
                <w:sz w:val="3"/>
                <w:szCs w:val="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1480" w:type="dxa"/>
            <w:vAlign w:val="bottom"/>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12"/>
                <w:szCs w:val="12"/>
                <w:color w:val="auto"/>
              </w:rPr>
              <w:t>450,000</w:t>
            </w:r>
          </w:p>
        </w:tc>
        <w:tc>
          <w:tcPr>
            <w:tcW w:w="7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vMerge w:val="restart"/>
            <w:shd w:val="clear" w:color="auto" w:fill="CCEEFF"/>
          </w:tcPr>
          <w:p>
            <w:pPr>
              <w:jc w:val="right"/>
              <w:ind w:right="342"/>
              <w:spacing w:after="0"/>
              <w:rPr>
                <w:sz w:val="20"/>
                <w:szCs w:val="20"/>
                <w:color w:val="auto"/>
              </w:rPr>
            </w:pPr>
            <w:r>
              <w:rPr>
                <w:rFonts w:ascii="Times New Roman" w:cs="Times New Roman" w:eastAsia="Times New Roman" w:hAnsi="Times New Roman"/>
                <w:sz w:val="12"/>
                <w:szCs w:val="12"/>
                <w:color w:val="auto"/>
              </w:rPr>
              <w:t>1,339,215</w:t>
            </w:r>
          </w:p>
        </w:tc>
        <w:tc>
          <w:tcPr>
            <w:tcW w:w="1300" w:type="dxa"/>
            <w:vAlign w:val="bottom"/>
            <w:vMerge w:val="restart"/>
            <w:shd w:val="clear" w:color="auto" w:fill="CCEEFF"/>
          </w:tcPr>
          <w:p>
            <w:pPr>
              <w:jc w:val="right"/>
              <w:ind w:right="402"/>
              <w:spacing w:after="0"/>
              <w:rPr>
                <w:sz w:val="20"/>
                <w:szCs w:val="20"/>
                <w:color w:val="auto"/>
              </w:rPr>
            </w:pPr>
            <w:r>
              <w:rPr>
                <w:rFonts w:ascii="Times New Roman" w:cs="Times New Roman" w:eastAsia="Times New Roman" w:hAnsi="Times New Roman"/>
                <w:sz w:val="12"/>
                <w:szCs w:val="12"/>
                <w:color w:val="auto"/>
              </w:rPr>
              <w:t>1,339,268</w:t>
            </w:r>
          </w:p>
        </w:tc>
        <w:tc>
          <w:tcPr>
            <w:tcW w:w="1280" w:type="dxa"/>
            <w:vAlign w:val="bottom"/>
            <w:vMerge w:val="restart"/>
            <w:shd w:val="clear" w:color="auto" w:fill="CCEEFF"/>
          </w:tcPr>
          <w:p>
            <w:pPr>
              <w:jc w:val="right"/>
              <w:ind w:right="402"/>
              <w:spacing w:after="0"/>
              <w:rPr>
                <w:sz w:val="20"/>
                <w:szCs w:val="20"/>
                <w:color w:val="auto"/>
              </w:rPr>
            </w:pPr>
            <w:r>
              <w:rPr>
                <w:rFonts w:ascii="Times New Roman" w:cs="Times New Roman" w:eastAsia="Times New Roman" w:hAnsi="Times New Roman"/>
                <w:sz w:val="12"/>
                <w:szCs w:val="12"/>
                <w:color w:val="auto"/>
              </w:rPr>
              <w:t>594,000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46,348</w:t>
            </w:r>
          </w:p>
        </w:tc>
        <w:tc>
          <w:tcPr>
            <w:tcW w:w="500" w:type="dxa"/>
            <w:vAlign w:val="bottom"/>
            <w:shd w:val="clear" w:color="auto" w:fill="CCEEFF"/>
          </w:tcPr>
          <w:p>
            <w:pPr>
              <w:spacing w:after="0"/>
              <w:rPr>
                <w:sz w:val="3"/>
                <w:szCs w:val="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3,768,831</w:t>
            </w:r>
          </w:p>
        </w:tc>
        <w:tc>
          <w:tcPr>
            <w:tcW w:w="0" w:type="dxa"/>
            <w:vAlign w:val="bottom"/>
          </w:tcPr>
          <w:p>
            <w:pPr>
              <w:spacing w:after="0"/>
              <w:rPr>
                <w:sz w:val="1"/>
                <w:szCs w:val="1"/>
                <w:color w:val="auto"/>
              </w:rPr>
            </w:pPr>
          </w:p>
        </w:tc>
      </w:tr>
      <w:tr>
        <w:trPr>
          <w:trHeight w:val="182"/>
        </w:trPr>
        <w:tc>
          <w:tcPr>
            <w:tcW w:w="25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48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320"/>
          </w:cols>
          <w:pgMar w:left="300" w:top="644" w:right="279" w:bottom="1440" w:gutter="0" w:footer="0" w:header="0"/>
          <w:type w:val="continuous"/>
        </w:sectPr>
      </w:pPr>
    </w:p>
    <w:bookmarkStart w:id="48" w:name="page49"/>
    <w:bookmarkEnd w:id="48"/>
    <w:p>
      <w:pPr>
        <w:jc w:val="both"/>
        <w:ind w:left="440" w:right="40" w:hanging="142"/>
        <w:spacing w:after="0" w:line="263" w:lineRule="auto"/>
        <w:tabs>
          <w:tab w:leader="none" w:pos="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for restricted stock is computed in accordance with the provisions of Financial Accounting Standards Board (“FASB”) Accounting Standards Codification (“ASC”) Topic 718, Compensation — Stock Compensation. Assumptions used in calculating the aggregate grant date fair value in accordance with ASC Topic 718 are set out in Note 16 to our audited consolidated financial statements contained in the Form 10-K for the fiscal year ended December 31, 2023. Restricted stock awards for each fiscal year include awards subject to performance conditions that were valued based on the assumption the highest level of the performance targets would be achieved.</w:t>
      </w:r>
    </w:p>
    <w:p>
      <w:pPr>
        <w:spacing w:after="0" w:line="1" w:lineRule="exact"/>
        <w:rPr>
          <w:rFonts w:ascii="Times New Roman" w:cs="Times New Roman" w:eastAsia="Times New Roman" w:hAnsi="Times New Roman"/>
          <w:sz w:val="14"/>
          <w:szCs w:val="14"/>
          <w:color w:val="auto"/>
        </w:rPr>
      </w:pPr>
    </w:p>
    <w:p>
      <w:pPr>
        <w:jc w:val="both"/>
        <w:ind w:left="440" w:right="40" w:hanging="142"/>
        <w:spacing w:after="0" w:line="263" w:lineRule="auto"/>
        <w:tabs>
          <w:tab w:leader="none" w:pos="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for stock options is computed in accordance with the provisions of ASC Topic 718. Amounts represent the grant date fair value determined using the Black-Scholes-Merton model or a Monte Carlo simulation. The grant date fair values are only theoretical values and may not accurately determine present value. The actual value, if any, to be realized from an option will depend on the excess of the market value of the Common Stock over the exercise price on the date the option is exercised. Assumptions used in calculating the aggregate grant date fair value in accordance with ASC Topic 718 are set out in Note 16 to our audited consolidated financial statements contained in the Form 10-K for the fiscal year ended December 31, 2023.</w:t>
      </w:r>
    </w:p>
    <w:p>
      <w:pPr>
        <w:spacing w:after="0" w:line="158" w:lineRule="exact"/>
        <w:rPr>
          <w:rFonts w:ascii="Times New Roman" w:cs="Times New Roman" w:eastAsia="Times New Roman" w:hAnsi="Times New Roman"/>
          <w:sz w:val="14"/>
          <w:szCs w:val="14"/>
          <w:color w:val="auto"/>
        </w:rPr>
      </w:pPr>
    </w:p>
    <w:p>
      <w:pPr>
        <w:ind w:left="440" w:hanging="142"/>
        <w:spacing w:after="0"/>
        <w:tabs>
          <w:tab w:leader="none" w:pos="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sets forth the incremental costs to the Company of each perquisite or other benefits that are required to be quantified by SEC rules: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5"/>
              </w:rPr>
              <w:t>Euronet</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Company-</w:t>
            </w: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7"/>
              </w:rPr>
              <w:t>401(K) Plan</w:t>
            </w:r>
          </w:p>
        </w:tc>
        <w:tc>
          <w:tcPr>
            <w:tcW w:w="120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4"/>
              </w:rPr>
              <w:t>Health and</w:t>
            </w: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Home</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Pension</w:t>
            </w: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360"/>
              <w:spacing w:after="0" w:line="119" w:lineRule="exact"/>
              <w:rPr>
                <w:sz w:val="20"/>
                <w:szCs w:val="20"/>
                <w:color w:val="auto"/>
              </w:rPr>
            </w:pPr>
            <w:r>
              <w:rPr>
                <w:rFonts w:ascii="Times New Roman" w:cs="Times New Roman" w:eastAsia="Times New Roman" w:hAnsi="Times New Roman"/>
                <w:sz w:val="12"/>
                <w:szCs w:val="12"/>
                <w:b w:val="1"/>
                <w:bCs w:val="1"/>
                <w:color w:val="auto"/>
                <w:w w:val="94"/>
              </w:rPr>
              <w:t>Paid</w:t>
            </w:r>
          </w:p>
        </w:tc>
        <w:tc>
          <w:tcPr>
            <w:tcW w:w="1240" w:type="dxa"/>
            <w:vAlign w:val="bottom"/>
            <w:gridSpan w:val="3"/>
          </w:tcPr>
          <w:p>
            <w:pPr>
              <w:jc w:val="center"/>
              <w:ind w:right="440"/>
              <w:spacing w:after="0" w:line="119" w:lineRule="exact"/>
              <w:rPr>
                <w:sz w:val="20"/>
                <w:szCs w:val="20"/>
                <w:color w:val="auto"/>
              </w:rPr>
            </w:pPr>
            <w:r>
              <w:rPr>
                <w:rFonts w:ascii="Times New Roman" w:cs="Times New Roman" w:eastAsia="Times New Roman" w:hAnsi="Times New Roman"/>
                <w:sz w:val="12"/>
                <w:szCs w:val="12"/>
                <w:b w:val="1"/>
                <w:bCs w:val="1"/>
                <w:color w:val="auto"/>
                <w:w w:val="97"/>
              </w:rPr>
              <w:t>Matching</w:t>
            </w:r>
          </w:p>
        </w:tc>
        <w:tc>
          <w:tcPr>
            <w:tcW w:w="1200" w:type="dxa"/>
            <w:vAlign w:val="bottom"/>
            <w:gridSpan w:val="3"/>
          </w:tcPr>
          <w:p>
            <w:pPr>
              <w:jc w:val="center"/>
              <w:ind w:right="480"/>
              <w:spacing w:after="0" w:line="119" w:lineRule="exact"/>
              <w:rPr>
                <w:sz w:val="20"/>
                <w:szCs w:val="20"/>
                <w:color w:val="auto"/>
              </w:rPr>
            </w:pPr>
            <w:r>
              <w:rPr>
                <w:rFonts w:ascii="Times New Roman" w:cs="Times New Roman" w:eastAsia="Times New Roman" w:hAnsi="Times New Roman"/>
                <w:sz w:val="12"/>
                <w:szCs w:val="12"/>
                <w:b w:val="1"/>
                <w:bCs w:val="1"/>
                <w:color w:val="auto"/>
                <w:w w:val="97"/>
              </w:rPr>
              <w:t>Group Life</w:t>
            </w: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Named Executive Officer</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2"/>
                <w:szCs w:val="12"/>
                <w:b w:val="1"/>
                <w:bCs w:val="1"/>
                <w:color w:val="auto"/>
                <w:w w:val="89"/>
              </w:rPr>
              <w:t>Vehicle</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w w:val="94"/>
              </w:rPr>
              <w:t>Contribution</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2"/>
                <w:szCs w:val="12"/>
                <w:b w:val="1"/>
                <w:bCs w:val="1"/>
                <w:color w:val="auto"/>
                <w:w w:val="97"/>
              </w:rPr>
              <w:t>Insurance</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2"/>
                <w:szCs w:val="12"/>
                <w:b w:val="1"/>
                <w:bCs w:val="1"/>
                <w:color w:val="auto"/>
                <w:w w:val="97"/>
              </w:rPr>
              <w:t>Rent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2"/>
                <w:szCs w:val="12"/>
                <w:b w:val="1"/>
                <w:bCs w:val="1"/>
                <w:color w:val="auto"/>
              </w:rPr>
              <w:t>Tuition</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w w:val="94"/>
              </w:rPr>
              <w:t>Contribution</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2"/>
                <w:szCs w:val="12"/>
                <w:b w:val="1"/>
                <w:bCs w:val="1"/>
                <w:color w:val="auto"/>
              </w:rPr>
              <w:t>Other (b)</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18"/>
        </w:trPr>
        <w:tc>
          <w:tcPr>
            <w:tcW w:w="2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Nikos Fountas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146,053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146,053</w:t>
            </w:r>
          </w:p>
        </w:tc>
        <w:tc>
          <w:tcPr>
            <w:tcW w:w="0" w:type="dxa"/>
            <w:vAlign w:val="bottom"/>
          </w:tcPr>
          <w:p>
            <w:pPr>
              <w:spacing w:after="0"/>
              <w:rPr>
                <w:sz w:val="1"/>
                <w:szCs w:val="1"/>
                <w:color w:val="auto"/>
              </w:rPr>
            </w:pPr>
          </w:p>
        </w:tc>
      </w:tr>
      <w:tr>
        <w:trPr>
          <w:trHeight w:val="217"/>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Juan C. Bianchi</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9,900</w:t>
            </w:r>
          </w:p>
        </w:tc>
        <w:tc>
          <w:tcPr>
            <w:tcW w:w="16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32,884(a)</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49,984</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40" w:firstLine="6"/>
        <w:spacing w:after="0" w:line="298" w:lineRule="auto"/>
        <w:tabs>
          <w:tab w:leader="none" w:pos="1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Bianchi is Executive Vice President - Chief Executive Officer, Money Transfer Segment, which is headquartered in California, and as such, he participates in a health insurance plan that is not generally available to all salaried employees.</w:t>
      </w:r>
    </w:p>
    <w:p>
      <w:pPr>
        <w:spacing w:after="0" w:line="118" w:lineRule="exact"/>
        <w:rPr>
          <w:rFonts w:ascii="Times New Roman" w:cs="Times New Roman" w:eastAsia="Times New Roman" w:hAnsi="Times New Roman"/>
          <w:sz w:val="14"/>
          <w:szCs w:val="14"/>
          <w:color w:val="auto"/>
        </w:rPr>
      </w:pPr>
    </w:p>
    <w:p>
      <w:pPr>
        <w:ind w:left="480" w:hanging="143"/>
        <w:spacing w:after="0"/>
        <w:tabs>
          <w:tab w:leader="none" w:pos="48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compensation for Messrs. Brown, Weller and Caponecchi is comprised of matching contributions under the Euronet 401(k) Plan and group life insurance premiums.</w:t>
      </w:r>
    </w:p>
    <w:p>
      <w:pPr>
        <w:spacing w:after="0" w:line="184" w:lineRule="exact"/>
        <w:rPr>
          <w:rFonts w:ascii="Times New Roman" w:cs="Times New Roman" w:eastAsia="Times New Roman" w:hAnsi="Times New Roman"/>
          <w:sz w:val="14"/>
          <w:szCs w:val="14"/>
          <w:color w:val="auto"/>
        </w:rPr>
      </w:pPr>
    </w:p>
    <w:p>
      <w:pPr>
        <w:jc w:val="both"/>
        <w:ind w:right="40" w:firstLine="337"/>
        <w:spacing w:after="0" w:line="277" w:lineRule="auto"/>
        <w:tabs>
          <w:tab w:leader="none" w:pos="486"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Fountas is paid in British pounds and the U.S. dollar amounts disclosed for salary, non-equity incentive compensation and other compensation were converted using the average foreign currency exchange rate of $1.243, $1.233 and $1.3755 per pound for the fiscal years ended December 31, 2023, 2022, and 2021, respectively. Restricted stock and option awards are valued in U.S. dollars; therefore, no foreign currency conversion occurs.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Grants of Plan-Based Awards for 2023</w:t>
      </w:r>
    </w:p>
    <w:p>
      <w:pPr>
        <w:spacing w:after="0" w:line="165" w:lineRule="exact"/>
        <w:rPr>
          <w:sz w:val="20"/>
          <w:szCs w:val="20"/>
          <w:color w:val="auto"/>
        </w:rPr>
      </w:pPr>
    </w:p>
    <w:p>
      <w:pPr>
        <w:ind w:right="40" w:firstLine="331"/>
        <w:spacing w:after="0" w:line="298" w:lineRule="auto"/>
        <w:rPr>
          <w:sz w:val="20"/>
          <w:szCs w:val="20"/>
          <w:color w:val="auto"/>
        </w:rPr>
      </w:pPr>
      <w:r>
        <w:rPr>
          <w:rFonts w:ascii="Times New Roman" w:cs="Times New Roman" w:eastAsia="Times New Roman" w:hAnsi="Times New Roman"/>
          <w:sz w:val="14"/>
          <w:szCs w:val="14"/>
          <w:color w:val="auto"/>
        </w:rPr>
        <w:t>The following table summarizes estimated possible payouts under non-equity incentive plan awards made to Named Executive Officers during the fiscal year ended December 31, 2023. See "Compensation Discussion and Analysis - Elements of Compensation - Annual Non-Equity Incentive Compensation" on page 37 for a description of the performance criteria for these awards.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Estimated Possible Payouts Under</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1"/>
        </w:trPr>
        <w:tc>
          <w:tcPr>
            <w:tcW w:w="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Non-Equity Incentive Plan Awards</w:t>
            </w: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227"/>
        </w:trPr>
        <w:tc>
          <w:tcPr>
            <w:tcW w:w="40" w:type="dxa"/>
            <w:vAlign w:val="bottom"/>
          </w:tcPr>
          <w:p>
            <w:pPr>
              <w:spacing w:after="0"/>
              <w:rPr>
                <w:sz w:val="19"/>
                <w:szCs w:val="19"/>
                <w:color w:val="auto"/>
              </w:rPr>
            </w:pPr>
          </w:p>
        </w:tc>
        <w:tc>
          <w:tcPr>
            <w:tcW w:w="3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25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Target ($)</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Maximum ($)</w:t>
            </w:r>
          </w:p>
        </w:tc>
      </w:tr>
      <w:tr>
        <w:trPr>
          <w:trHeight w:val="218"/>
        </w:trPr>
        <w:tc>
          <w:tcPr>
            <w:tcW w:w="40" w:type="dxa"/>
            <w:vAlign w:val="bottom"/>
          </w:tcPr>
          <w:p>
            <w:pPr>
              <w:spacing w:after="0"/>
              <w:rPr>
                <w:sz w:val="18"/>
                <w:szCs w:val="18"/>
                <w:color w:val="auto"/>
              </w:rPr>
            </w:pPr>
          </w:p>
        </w:tc>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Michael J. Brown</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637,500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1,275,000</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2,550,000</w:t>
            </w:r>
          </w:p>
        </w:tc>
      </w:tr>
      <w:tr>
        <w:trPr>
          <w:trHeight w:val="227"/>
        </w:trPr>
        <w:tc>
          <w:tcPr>
            <w:tcW w:w="40" w:type="dxa"/>
            <w:vAlign w:val="bottom"/>
          </w:tcPr>
          <w:p>
            <w:pPr>
              <w:spacing w:after="0"/>
              <w:rPr>
                <w:sz w:val="19"/>
                <w:szCs w:val="19"/>
                <w:color w:val="auto"/>
              </w:rPr>
            </w:pPr>
          </w:p>
        </w:tc>
        <w:tc>
          <w:tcPr>
            <w:tcW w:w="3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Rick L. Weller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625,000</w:t>
            </w:r>
          </w:p>
        </w:tc>
        <w:tc>
          <w:tcPr>
            <w:tcW w:w="3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1,250,000</w:t>
            </w:r>
          </w:p>
        </w:tc>
      </w:tr>
      <w:tr>
        <w:trPr>
          <w:trHeight w:val="227"/>
        </w:trPr>
        <w:tc>
          <w:tcPr>
            <w:tcW w:w="40" w:type="dxa"/>
            <w:vAlign w:val="bottom"/>
          </w:tcPr>
          <w:p>
            <w:pPr>
              <w:spacing w:after="0"/>
              <w:rPr>
                <w:sz w:val="19"/>
                <w:szCs w:val="19"/>
                <w:color w:val="auto"/>
              </w:rPr>
            </w:pPr>
          </w:p>
        </w:tc>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Nikos Fountas</w:t>
            </w:r>
          </w:p>
        </w:tc>
        <w:tc>
          <w:tcPr>
            <w:tcW w:w="2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218,700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437,400</w:t>
            </w: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874,800</w:t>
            </w:r>
          </w:p>
        </w:tc>
      </w:tr>
      <w:tr>
        <w:trPr>
          <w:trHeight w:val="227"/>
        </w:trPr>
        <w:tc>
          <w:tcPr>
            <w:tcW w:w="40" w:type="dxa"/>
            <w:vAlign w:val="bottom"/>
          </w:tcPr>
          <w:p>
            <w:pPr>
              <w:spacing w:after="0"/>
              <w:rPr>
                <w:sz w:val="19"/>
                <w:szCs w:val="19"/>
                <w:color w:val="auto"/>
              </w:rPr>
            </w:pPr>
          </w:p>
        </w:tc>
        <w:tc>
          <w:tcPr>
            <w:tcW w:w="3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Kevin J. Caponecchi</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450,000</w:t>
            </w:r>
          </w:p>
        </w:tc>
        <w:tc>
          <w:tcPr>
            <w:tcW w:w="3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900,000</w:t>
            </w:r>
          </w:p>
        </w:tc>
      </w:tr>
      <w:tr>
        <w:trPr>
          <w:trHeight w:val="227"/>
        </w:trPr>
        <w:tc>
          <w:tcPr>
            <w:tcW w:w="40" w:type="dxa"/>
            <w:vAlign w:val="bottom"/>
          </w:tcPr>
          <w:p>
            <w:pPr>
              <w:spacing w:after="0"/>
              <w:rPr>
                <w:sz w:val="19"/>
                <w:szCs w:val="19"/>
                <w:color w:val="auto"/>
              </w:rPr>
            </w:pPr>
          </w:p>
        </w:tc>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Juan C. Bianchi</w:t>
            </w:r>
          </w:p>
        </w:tc>
        <w:tc>
          <w:tcPr>
            <w:tcW w:w="2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450,000</w:t>
            </w: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900,000</w:t>
            </w:r>
          </w:p>
        </w:tc>
      </w:tr>
      <w:tr>
        <w:trPr>
          <w:trHeight w:val="368"/>
        </w:trPr>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9"/>
        </w:trPr>
        <w:tc>
          <w:tcPr>
            <w:tcW w:w="40" w:type="dxa"/>
            <w:vAlign w:val="bottom"/>
            <w:tcBorders>
              <w:bottom w:val="single" w:sz="8" w:color="auto"/>
            </w:tcBorders>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20"/>
          </w:cols>
          <w:pgMar w:left="300" w:top="438" w:right="279" w:bottom="1440" w:gutter="0" w:footer="0" w:header="0"/>
        </w:sectPr>
      </w:pPr>
    </w:p>
    <w:bookmarkStart w:id="49" w:name="page50"/>
    <w:bookmarkEnd w:id="49"/>
    <w:p>
      <w:pPr>
        <w:ind w:left="260"/>
        <w:spacing w:after="0"/>
        <w:rPr>
          <w:sz w:val="20"/>
          <w:szCs w:val="20"/>
          <w:color w:val="auto"/>
        </w:rPr>
      </w:pPr>
      <w:r>
        <w:rPr>
          <w:rFonts w:ascii="Times New Roman" w:cs="Times New Roman" w:eastAsia="Times New Roman" w:hAnsi="Times New Roman"/>
          <w:sz w:val="14"/>
          <w:szCs w:val="14"/>
          <w:color w:val="auto"/>
        </w:rPr>
        <w:t>The following table summarizes estimated future payouts under equity incentive plan awards made to Named Executive Officers during the fiscal year ended December 31, 2023.</w:t>
      </w:r>
    </w:p>
    <w:p>
      <w:pPr>
        <w:sectPr>
          <w:pgSz w:w="11900" w:h="16838" w:orient="portrait"/>
          <w:cols w:equalWidth="0" w:num="1">
            <w:col w:w="11240"/>
          </w:cols>
          <w:pgMar w:left="380" w:top="47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3"/>
          <w:szCs w:val="23"/>
          <w:b w:val="1"/>
          <w:bCs w:val="1"/>
          <w:color w:val="auto"/>
          <w:vertAlign w:val="superscript"/>
        </w:rPr>
        <w:t>Name</w:t>
      </w:r>
      <w:r>
        <w:rPr>
          <w:sz w:val="20"/>
          <w:szCs w:val="20"/>
          <w:color w:val="auto"/>
        </w:rPr>
        <w:tab/>
      </w:r>
      <w:r>
        <w:rPr>
          <w:rFonts w:ascii="Times New Roman" w:cs="Times New Roman" w:eastAsia="Times New Roman" w:hAnsi="Times New Roman"/>
          <w:sz w:val="12"/>
          <w:szCs w:val="12"/>
          <w:b w:val="1"/>
          <w:bCs w:val="1"/>
          <w:color w:val="auto"/>
        </w:rPr>
        <w:t>Grant 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Michael J.</w:t>
      </w:r>
    </w:p>
    <w:p>
      <w:pPr>
        <w:spacing w:after="0" w:line="215" w:lineRule="auto"/>
        <w:tabs>
          <w:tab w:leader="none" w:pos="2140" w:val="left"/>
        </w:tabs>
        <w:rPr>
          <w:sz w:val="20"/>
          <w:szCs w:val="20"/>
          <w:color w:val="auto"/>
        </w:rPr>
      </w:pPr>
      <w:r>
        <w:rPr>
          <w:rFonts w:ascii="Times New Roman" w:cs="Times New Roman" w:eastAsia="Times New Roman" w:hAnsi="Times New Roman"/>
          <w:sz w:val="22"/>
          <w:szCs w:val="22"/>
          <w:color w:val="auto"/>
          <w:vertAlign w:val="superscript"/>
        </w:rPr>
        <w:t>Brown</w:t>
      </w:r>
      <w:r>
        <w:rPr>
          <w:sz w:val="20"/>
          <w:szCs w:val="20"/>
          <w:color w:val="auto"/>
        </w:rPr>
        <w:tab/>
      </w:r>
      <w:r>
        <w:rPr>
          <w:rFonts w:ascii="Times New Roman" w:cs="Times New Roman" w:eastAsia="Times New Roman" w:hAnsi="Times New Roman"/>
          <w:sz w:val="11"/>
          <w:szCs w:val="11"/>
          <w:color w:val="auto"/>
        </w:rPr>
        <w:t xml:space="preserve">12/12/2023  </w:t>
      </w:r>
      <w:r>
        <w:rPr>
          <w:rFonts w:ascii="Times New Roman" w:cs="Times New Roman" w:eastAsia="Times New Roman" w:hAnsi="Times New Roman"/>
          <w:sz w:val="22"/>
          <w:szCs w:val="22"/>
          <w:color w:val="auto"/>
          <w:vertAlign w:val="superscript"/>
        </w:rPr>
        <w:t>(1)</w:t>
      </w:r>
    </w:p>
    <w:p>
      <w:pPr>
        <w:jc w:val="right"/>
        <w:spacing w:after="0" w:line="180" w:lineRule="auto"/>
        <w:rPr>
          <w:sz w:val="20"/>
          <w:szCs w:val="20"/>
          <w:color w:val="auto"/>
        </w:rPr>
      </w:pPr>
      <w:r>
        <w:rPr>
          <w:rFonts w:ascii="Times New Roman" w:cs="Times New Roman" w:eastAsia="Times New Roman" w:hAnsi="Times New Roman"/>
          <w:sz w:val="10"/>
          <w:szCs w:val="10"/>
          <w:color w:val="auto"/>
        </w:rPr>
        <w:t xml:space="preserve">12/12/2023  </w:t>
      </w:r>
      <w:r>
        <w:rPr>
          <w:rFonts w:ascii="Times New Roman" w:cs="Times New Roman" w:eastAsia="Times New Roman" w:hAnsi="Times New Roman"/>
          <w:sz w:val="20"/>
          <w:szCs w:val="20"/>
          <w:color w:val="auto"/>
          <w:vertAlign w:val="superscript"/>
        </w:rPr>
        <w:t>(2)</w:t>
      </w:r>
    </w:p>
    <w:p>
      <w:pPr>
        <w:spacing w:after="0" w:line="207" w:lineRule="auto"/>
        <w:rPr>
          <w:sz w:val="20"/>
          <w:szCs w:val="20"/>
          <w:color w:val="auto"/>
        </w:rPr>
      </w:pPr>
      <w:r>
        <w:rPr>
          <w:rFonts w:ascii="Times New Roman" w:cs="Times New Roman" w:eastAsia="Times New Roman" w:hAnsi="Times New Roman"/>
          <w:sz w:val="12"/>
          <w:szCs w:val="12"/>
          <w:color w:val="auto"/>
        </w:rPr>
        <w:t>Rick L.</w:t>
      </w:r>
    </w:p>
    <w:p>
      <w:pPr>
        <w:spacing w:after="0" w:line="215" w:lineRule="auto"/>
        <w:tabs>
          <w:tab w:leader="none" w:pos="2140" w:val="left"/>
        </w:tabs>
        <w:rPr>
          <w:sz w:val="20"/>
          <w:szCs w:val="20"/>
          <w:color w:val="auto"/>
        </w:rPr>
      </w:pPr>
      <w:r>
        <w:rPr>
          <w:rFonts w:ascii="Times New Roman" w:cs="Times New Roman" w:eastAsia="Times New Roman" w:hAnsi="Times New Roman"/>
          <w:sz w:val="22"/>
          <w:szCs w:val="22"/>
          <w:color w:val="auto"/>
          <w:vertAlign w:val="superscript"/>
        </w:rPr>
        <w:t>Weller</w:t>
      </w:r>
      <w:r>
        <w:rPr>
          <w:sz w:val="20"/>
          <w:szCs w:val="20"/>
          <w:color w:val="auto"/>
        </w:rPr>
        <w:tab/>
      </w:r>
      <w:r>
        <w:rPr>
          <w:rFonts w:ascii="Times New Roman" w:cs="Times New Roman" w:eastAsia="Times New Roman" w:hAnsi="Times New Roman"/>
          <w:sz w:val="11"/>
          <w:szCs w:val="11"/>
          <w:color w:val="auto"/>
        </w:rPr>
        <w:t xml:space="preserve">12/12/2023  </w:t>
      </w:r>
      <w:r>
        <w:rPr>
          <w:rFonts w:ascii="Times New Roman" w:cs="Times New Roman" w:eastAsia="Times New Roman" w:hAnsi="Times New Roman"/>
          <w:sz w:val="22"/>
          <w:szCs w:val="22"/>
          <w:color w:val="auto"/>
          <w:vertAlign w:val="superscript"/>
        </w:rPr>
        <w:t>(1)</w:t>
      </w:r>
    </w:p>
    <w:p>
      <w:pPr>
        <w:jc w:val="right"/>
        <w:spacing w:after="0" w:line="180" w:lineRule="auto"/>
        <w:rPr>
          <w:sz w:val="20"/>
          <w:szCs w:val="20"/>
          <w:color w:val="auto"/>
        </w:rPr>
      </w:pPr>
      <w:r>
        <w:rPr>
          <w:rFonts w:ascii="Times New Roman" w:cs="Times New Roman" w:eastAsia="Times New Roman" w:hAnsi="Times New Roman"/>
          <w:sz w:val="10"/>
          <w:szCs w:val="10"/>
          <w:color w:val="auto"/>
        </w:rPr>
        <w:t xml:space="preserve">12/12/2023  </w:t>
      </w:r>
      <w:r>
        <w:rPr>
          <w:rFonts w:ascii="Times New Roman" w:cs="Times New Roman" w:eastAsia="Times New Roman" w:hAnsi="Times New Roman"/>
          <w:sz w:val="20"/>
          <w:szCs w:val="20"/>
          <w:color w:val="auto"/>
          <w:vertAlign w:val="superscript"/>
        </w:rPr>
        <w:t>(2)</w:t>
      </w:r>
    </w:p>
    <w:p>
      <w:pPr>
        <w:spacing w:after="0" w:line="207" w:lineRule="auto"/>
        <w:rPr>
          <w:sz w:val="20"/>
          <w:szCs w:val="20"/>
          <w:color w:val="auto"/>
        </w:rPr>
      </w:pPr>
      <w:r>
        <w:rPr>
          <w:rFonts w:ascii="Times New Roman" w:cs="Times New Roman" w:eastAsia="Times New Roman" w:hAnsi="Times New Roman"/>
          <w:sz w:val="12"/>
          <w:szCs w:val="12"/>
          <w:color w:val="auto"/>
        </w:rPr>
        <w:t>Nikos</w:t>
      </w:r>
    </w:p>
    <w:p>
      <w:pPr>
        <w:spacing w:after="0" w:line="184" w:lineRule="auto"/>
        <w:tabs>
          <w:tab w:leader="none" w:pos="2140" w:val="left"/>
        </w:tabs>
        <w:rPr>
          <w:sz w:val="20"/>
          <w:szCs w:val="20"/>
          <w:color w:val="auto"/>
        </w:rPr>
      </w:pPr>
      <w:r>
        <w:rPr>
          <w:rFonts w:ascii="Times New Roman" w:cs="Times New Roman" w:eastAsia="Times New Roman" w:hAnsi="Times New Roman"/>
          <w:sz w:val="10"/>
          <w:szCs w:val="10"/>
          <w:color w:val="auto"/>
        </w:rPr>
        <w:t>Fountas</w:t>
      </w:r>
      <w:r>
        <w:rPr>
          <w:sz w:val="20"/>
          <w:szCs w:val="20"/>
          <w:color w:val="auto"/>
        </w:rPr>
        <w:tab/>
      </w:r>
      <w:r>
        <w:rPr>
          <w:rFonts w:ascii="Times New Roman" w:cs="Times New Roman" w:eastAsia="Times New Roman" w:hAnsi="Times New Roman"/>
          <w:sz w:val="18"/>
          <w:szCs w:val="18"/>
          <w:color w:val="auto"/>
          <w:vertAlign w:val="subscript"/>
        </w:rPr>
        <w:t>12/12/2023</w:t>
      </w:r>
      <w:r>
        <w:rPr>
          <w:rFonts w:ascii="Times New Roman" w:cs="Times New Roman" w:eastAsia="Times New Roman" w:hAnsi="Times New Roman"/>
          <w:sz w:val="10"/>
          <w:szCs w:val="10"/>
          <w:color w:val="auto"/>
        </w:rPr>
        <w:t xml:space="preserve">  (1)</w:t>
      </w:r>
    </w:p>
    <w:p>
      <w:pPr>
        <w:jc w:val="right"/>
        <w:spacing w:after="0" w:line="219" w:lineRule="auto"/>
        <w:rPr>
          <w:sz w:val="20"/>
          <w:szCs w:val="20"/>
          <w:color w:val="auto"/>
        </w:rPr>
      </w:pPr>
      <w:r>
        <w:rPr>
          <w:rFonts w:ascii="Times New Roman" w:cs="Times New Roman" w:eastAsia="Times New Roman" w:hAnsi="Times New Roman"/>
          <w:sz w:val="12"/>
          <w:szCs w:val="12"/>
          <w:color w:val="auto"/>
        </w:rPr>
        <w:t xml:space="preserve">12/12/2023  </w:t>
      </w:r>
      <w:r>
        <w:rPr>
          <w:rFonts w:ascii="Times New Roman" w:cs="Times New Roman" w:eastAsia="Times New Roman" w:hAnsi="Times New Roman"/>
          <w:sz w:val="23"/>
          <w:szCs w:val="23"/>
          <w:color w:val="auto"/>
          <w:vertAlign w:val="superscript"/>
        </w:rPr>
        <w:t>(2)</w:t>
      </w:r>
    </w:p>
    <w:p>
      <w:pPr>
        <w:spacing w:after="0" w:line="206" w:lineRule="auto"/>
        <w:rPr>
          <w:sz w:val="20"/>
          <w:szCs w:val="20"/>
          <w:color w:val="auto"/>
        </w:rPr>
      </w:pPr>
      <w:r>
        <w:rPr>
          <w:rFonts w:ascii="Times New Roman" w:cs="Times New Roman" w:eastAsia="Times New Roman" w:hAnsi="Times New Roman"/>
          <w:sz w:val="12"/>
          <w:szCs w:val="12"/>
          <w:color w:val="auto"/>
        </w:rPr>
        <w:t>Kevin J.</w:t>
      </w:r>
    </w:p>
    <w:p>
      <w:pPr>
        <w:spacing w:after="0" w:line="215" w:lineRule="auto"/>
        <w:rPr>
          <w:sz w:val="20"/>
          <w:szCs w:val="20"/>
          <w:color w:val="auto"/>
        </w:rPr>
      </w:pPr>
      <w:r>
        <w:rPr>
          <w:rFonts w:ascii="Times New Roman" w:cs="Times New Roman" w:eastAsia="Times New Roman" w:hAnsi="Times New Roman"/>
          <w:sz w:val="10"/>
          <w:szCs w:val="10"/>
          <w:color w:val="auto"/>
        </w:rPr>
        <w:t>Caponecchi</w:t>
      </w:r>
    </w:p>
    <w:p>
      <w:pPr>
        <w:jc w:val="right"/>
        <w:spacing w:after="0" w:line="191" w:lineRule="auto"/>
        <w:rPr>
          <w:sz w:val="20"/>
          <w:szCs w:val="20"/>
          <w:color w:val="auto"/>
        </w:rPr>
      </w:pPr>
      <w:r>
        <w:rPr>
          <w:rFonts w:ascii="Times New Roman" w:cs="Times New Roman" w:eastAsia="Times New Roman" w:hAnsi="Times New Roman"/>
          <w:sz w:val="12"/>
          <w:szCs w:val="12"/>
          <w:color w:val="auto"/>
        </w:rPr>
        <w:t xml:space="preserve">12/12/2023  </w:t>
      </w:r>
      <w:r>
        <w:rPr>
          <w:rFonts w:ascii="Times New Roman" w:cs="Times New Roman" w:eastAsia="Times New Roman" w:hAnsi="Times New Roman"/>
          <w:sz w:val="23"/>
          <w:szCs w:val="23"/>
          <w:color w:val="auto"/>
          <w:vertAlign w:val="superscript"/>
        </w:rPr>
        <w:t>(1)</w:t>
      </w:r>
    </w:p>
    <w:p>
      <w:pPr>
        <w:jc w:val="right"/>
        <w:spacing w:after="0" w:line="180" w:lineRule="auto"/>
        <w:rPr>
          <w:sz w:val="20"/>
          <w:szCs w:val="20"/>
          <w:color w:val="auto"/>
        </w:rPr>
      </w:pPr>
      <w:r>
        <w:rPr>
          <w:rFonts w:ascii="Times New Roman" w:cs="Times New Roman" w:eastAsia="Times New Roman" w:hAnsi="Times New Roman"/>
          <w:sz w:val="10"/>
          <w:szCs w:val="10"/>
          <w:color w:val="auto"/>
        </w:rPr>
        <w:t xml:space="preserve">12/12/2023  </w:t>
      </w:r>
      <w:r>
        <w:rPr>
          <w:rFonts w:ascii="Times New Roman" w:cs="Times New Roman" w:eastAsia="Times New Roman" w:hAnsi="Times New Roman"/>
          <w:sz w:val="20"/>
          <w:szCs w:val="20"/>
          <w:color w:val="auto"/>
          <w:vertAlign w:val="superscript"/>
        </w:rPr>
        <w:t>(2)</w:t>
      </w:r>
    </w:p>
    <w:p>
      <w:pPr>
        <w:spacing w:after="0" w:line="207" w:lineRule="auto"/>
        <w:rPr>
          <w:sz w:val="20"/>
          <w:szCs w:val="20"/>
          <w:color w:val="auto"/>
        </w:rPr>
      </w:pPr>
      <w:r>
        <w:rPr>
          <w:rFonts w:ascii="Times New Roman" w:cs="Times New Roman" w:eastAsia="Times New Roman" w:hAnsi="Times New Roman"/>
          <w:sz w:val="12"/>
          <w:szCs w:val="12"/>
          <w:color w:val="auto"/>
        </w:rPr>
        <w:t>Juan C.</w:t>
      </w:r>
    </w:p>
    <w:p>
      <w:pPr>
        <w:spacing w:after="0" w:line="215" w:lineRule="auto"/>
        <w:tabs>
          <w:tab w:leader="none" w:pos="2140" w:val="left"/>
        </w:tabs>
        <w:rPr>
          <w:sz w:val="20"/>
          <w:szCs w:val="20"/>
          <w:color w:val="auto"/>
        </w:rPr>
      </w:pPr>
      <w:r>
        <w:rPr>
          <w:rFonts w:ascii="Times New Roman" w:cs="Times New Roman" w:eastAsia="Times New Roman" w:hAnsi="Times New Roman"/>
          <w:sz w:val="22"/>
          <w:szCs w:val="22"/>
          <w:color w:val="auto"/>
          <w:vertAlign w:val="superscript"/>
        </w:rPr>
        <w:t>Bianchi</w:t>
      </w:r>
      <w:r>
        <w:rPr>
          <w:sz w:val="20"/>
          <w:szCs w:val="20"/>
          <w:color w:val="auto"/>
        </w:rPr>
        <w:tab/>
      </w:r>
      <w:r>
        <w:rPr>
          <w:rFonts w:ascii="Times New Roman" w:cs="Times New Roman" w:eastAsia="Times New Roman" w:hAnsi="Times New Roman"/>
          <w:sz w:val="11"/>
          <w:szCs w:val="11"/>
          <w:color w:val="auto"/>
        </w:rPr>
        <w:t xml:space="preserve">12/12/2023  </w:t>
      </w:r>
      <w:r>
        <w:rPr>
          <w:rFonts w:ascii="Times New Roman" w:cs="Times New Roman" w:eastAsia="Times New Roman" w:hAnsi="Times New Roman"/>
          <w:sz w:val="22"/>
          <w:szCs w:val="22"/>
          <w:color w:val="auto"/>
          <w:vertAlign w:val="superscript"/>
        </w:rPr>
        <w:t>(1)</w:t>
      </w:r>
    </w:p>
    <w:p>
      <w:pPr>
        <w:jc w:val="right"/>
        <w:spacing w:after="0"/>
        <w:rPr>
          <w:sz w:val="20"/>
          <w:szCs w:val="20"/>
          <w:color w:val="auto"/>
        </w:rPr>
      </w:pPr>
      <w:r>
        <w:rPr>
          <w:rFonts w:ascii="Times New Roman" w:cs="Times New Roman" w:eastAsia="Times New Roman" w:hAnsi="Times New Roman"/>
          <w:sz w:val="12"/>
          <w:szCs w:val="12"/>
          <w:color w:val="auto"/>
        </w:rPr>
        <w:t xml:space="preserve">12/12/2023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Estimated Future Payouts Under Equity</w:t>
      </w:r>
    </w:p>
    <w:p>
      <w:pPr>
        <w:jc w:val="center"/>
        <w:spacing w:after="0" w:line="237" w:lineRule="auto"/>
        <w:rPr>
          <w:sz w:val="20"/>
          <w:szCs w:val="20"/>
          <w:color w:val="auto"/>
        </w:rPr>
      </w:pPr>
      <w:r>
        <w:rPr>
          <w:rFonts w:ascii="Times New Roman" w:cs="Times New Roman" w:eastAsia="Times New Roman" w:hAnsi="Times New Roman"/>
          <w:sz w:val="12"/>
          <w:szCs w:val="12"/>
          <w:b w:val="1"/>
          <w:bCs w:val="1"/>
          <w:color w:val="auto"/>
        </w:rPr>
        <w:t>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31140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11400" cy="698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120" w:type="dxa"/>
            <w:vAlign w:val="bottom"/>
            <w:vMerge w:val="restart"/>
          </w:tcPr>
          <w:p>
            <w:pPr>
              <w:spacing w:after="0"/>
              <w:rPr>
                <w:sz w:val="12"/>
                <w:szCs w:val="1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Target or</w:t>
            </w:r>
          </w:p>
        </w:tc>
        <w:tc>
          <w:tcPr>
            <w:tcW w:w="1180" w:type="dxa"/>
            <w:vAlign w:val="bottom"/>
            <w:vMerge w:val="restart"/>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Maximum (#)</w:t>
            </w:r>
          </w:p>
        </w:tc>
        <w:tc>
          <w:tcPr>
            <w:tcW w:w="0" w:type="dxa"/>
            <w:vAlign w:val="bottom"/>
          </w:tcPr>
          <w:p>
            <w:pPr>
              <w:spacing w:after="0"/>
              <w:rPr>
                <w:sz w:val="1"/>
                <w:szCs w:val="1"/>
                <w:color w:val="auto"/>
              </w:rPr>
            </w:pPr>
          </w:p>
        </w:tc>
      </w:tr>
      <w:tr>
        <w:trPr>
          <w:trHeight w:val="138"/>
        </w:trPr>
        <w:tc>
          <w:tcPr>
            <w:tcW w:w="11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Estimate (#)</w:t>
            </w:r>
          </w:p>
        </w:tc>
        <w:tc>
          <w:tcPr>
            <w:tcW w:w="12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34,053</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45,404</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56,755</w:t>
            </w: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132,470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10,362</w:t>
            </w:r>
          </w:p>
        </w:tc>
        <w:tc>
          <w:tcPr>
            <w:tcW w:w="12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13,816</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17,270</w:t>
            </w: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40,309</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9,711</w:t>
            </w:r>
          </w:p>
        </w:tc>
        <w:tc>
          <w:tcPr>
            <w:tcW w:w="1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12,948</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16,185</w:t>
            </w: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37,777</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9,711</w:t>
            </w:r>
          </w:p>
        </w:tc>
        <w:tc>
          <w:tcPr>
            <w:tcW w:w="1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12,948</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16,185</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37,777</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9,711</w:t>
            </w:r>
          </w:p>
        </w:tc>
        <w:tc>
          <w:tcPr>
            <w:tcW w:w="1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12,948</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16,185</w:t>
            </w: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37,777</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-1049655</wp:posOffset>
            </wp:positionV>
            <wp:extent cx="7159625" cy="3289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328930"/>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-336550</wp:posOffset>
            </wp:positionV>
            <wp:extent cx="7159625" cy="3289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328930"/>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-1715135</wp:posOffset>
            </wp:positionV>
            <wp:extent cx="7159625" cy="3359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335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3"/>
              </w:rPr>
              <w:t>All Other</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2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94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3"/>
              </w:rPr>
              <w:t>Exercise or</w:t>
            </w:r>
          </w:p>
        </w:tc>
        <w:tc>
          <w:tcPr>
            <w:tcW w:w="140" w:type="dxa"/>
            <w:vAlign w:val="bottom"/>
          </w:tcPr>
          <w:p>
            <w:pPr>
              <w:spacing w:after="0"/>
              <w:rPr>
                <w:sz w:val="10"/>
                <w:szCs w:val="10"/>
                <w:color w:val="auto"/>
              </w:rPr>
            </w:pPr>
          </w:p>
        </w:tc>
        <w:tc>
          <w:tcPr>
            <w:tcW w:w="920" w:type="dxa"/>
            <w:vAlign w:val="bottom"/>
            <w:vMerge w:val="restart"/>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5"/>
              </w:rPr>
              <w:t>Grant Date</w:t>
            </w:r>
          </w:p>
        </w:tc>
        <w:tc>
          <w:tcPr>
            <w:tcW w:w="0" w:type="dxa"/>
            <w:vAlign w:val="bottom"/>
          </w:tcPr>
          <w:p>
            <w:pPr>
              <w:spacing w:after="0"/>
              <w:rPr>
                <w:sz w:val="1"/>
                <w:szCs w:val="1"/>
                <w:color w:val="auto"/>
              </w:rPr>
            </w:pPr>
          </w:p>
        </w:tc>
      </w:tr>
      <w:tr>
        <w:trPr>
          <w:trHeight w:val="119"/>
        </w:trPr>
        <w:tc>
          <w:tcPr>
            <w:tcW w:w="126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94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b w:val="1"/>
                <w:bCs w:val="1"/>
                <w:color w:val="auto"/>
                <w:w w:val="90"/>
              </w:rPr>
              <w:t>Awards:</w:t>
            </w:r>
          </w:p>
        </w:tc>
        <w:tc>
          <w:tcPr>
            <w:tcW w:w="8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6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94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8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b w:val="1"/>
                <w:bCs w:val="1"/>
                <w:color w:val="auto"/>
                <w:w w:val="96"/>
              </w:rPr>
              <w:t>Base Price</w:t>
            </w:r>
          </w:p>
        </w:tc>
        <w:tc>
          <w:tcPr>
            <w:tcW w:w="140" w:type="dxa"/>
            <w:vAlign w:val="bottom"/>
          </w:tcPr>
          <w:p>
            <w:pPr>
              <w:spacing w:after="0"/>
              <w:rPr>
                <w:sz w:val="10"/>
                <w:szCs w:val="10"/>
                <w:color w:val="auto"/>
              </w:rPr>
            </w:pPr>
          </w:p>
        </w:tc>
        <w:tc>
          <w:tcPr>
            <w:tcW w:w="920" w:type="dxa"/>
            <w:vAlign w:val="bottom"/>
          </w:tcPr>
          <w:p>
            <w:pPr>
              <w:jc w:val="center"/>
              <w:ind w:right="82"/>
              <w:spacing w:after="0" w:line="119" w:lineRule="exact"/>
              <w:rPr>
                <w:sz w:val="20"/>
                <w:szCs w:val="20"/>
                <w:color w:val="auto"/>
              </w:rPr>
            </w:pPr>
            <w:r>
              <w:rPr>
                <w:rFonts w:ascii="Times New Roman" w:cs="Times New Roman" w:eastAsia="Times New Roman" w:hAnsi="Times New Roman"/>
                <w:sz w:val="12"/>
                <w:szCs w:val="12"/>
                <w:b w:val="1"/>
                <w:bCs w:val="1"/>
                <w:color w:val="auto"/>
                <w:w w:val="90"/>
              </w:rPr>
              <w:t>Fair Value</w:t>
            </w:r>
          </w:p>
        </w:tc>
        <w:tc>
          <w:tcPr>
            <w:tcW w:w="0" w:type="dxa"/>
            <w:vAlign w:val="bottom"/>
          </w:tcPr>
          <w:p>
            <w:pPr>
              <w:spacing w:after="0"/>
              <w:rPr>
                <w:sz w:val="1"/>
                <w:szCs w:val="1"/>
                <w:color w:val="auto"/>
              </w:rPr>
            </w:pPr>
          </w:p>
        </w:tc>
      </w:tr>
      <w:tr>
        <w:trPr>
          <w:trHeight w:val="119"/>
        </w:trPr>
        <w:tc>
          <w:tcPr>
            <w:tcW w:w="126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b w:val="1"/>
                <w:bCs w:val="1"/>
                <w:color w:val="auto"/>
                <w:w w:val="96"/>
              </w:rPr>
              <w:t>Shares of</w:t>
            </w:r>
          </w:p>
        </w:tc>
        <w:tc>
          <w:tcPr>
            <w:tcW w:w="94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8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b w:val="1"/>
                <w:bCs w:val="1"/>
                <w:color w:val="auto"/>
                <w:w w:val="96"/>
              </w:rPr>
              <w:t>of Options</w:t>
            </w:r>
          </w:p>
        </w:tc>
        <w:tc>
          <w:tcPr>
            <w:tcW w:w="140" w:type="dxa"/>
            <w:vAlign w:val="bottom"/>
          </w:tcPr>
          <w:p>
            <w:pPr>
              <w:spacing w:after="0"/>
              <w:rPr>
                <w:sz w:val="10"/>
                <w:szCs w:val="10"/>
                <w:color w:val="auto"/>
              </w:rPr>
            </w:pPr>
          </w:p>
        </w:tc>
        <w:tc>
          <w:tcPr>
            <w:tcW w:w="920" w:type="dxa"/>
            <w:vAlign w:val="bottom"/>
          </w:tcPr>
          <w:p>
            <w:pPr>
              <w:jc w:val="center"/>
              <w:ind w:right="82"/>
              <w:spacing w:after="0" w:line="119" w:lineRule="exact"/>
              <w:rPr>
                <w:sz w:val="20"/>
                <w:szCs w:val="20"/>
                <w:color w:val="auto"/>
              </w:rPr>
            </w:pPr>
            <w:r>
              <w:rPr>
                <w:rFonts w:ascii="Times New Roman" w:cs="Times New Roman" w:eastAsia="Times New Roman" w:hAnsi="Times New Roman"/>
                <w:sz w:val="12"/>
                <w:szCs w:val="12"/>
                <w:b w:val="1"/>
                <w:bCs w:val="1"/>
                <w:color w:val="auto"/>
                <w:w w:val="96"/>
              </w:rPr>
              <w:t>of Stock and</w:t>
            </w:r>
          </w:p>
        </w:tc>
        <w:tc>
          <w:tcPr>
            <w:tcW w:w="0" w:type="dxa"/>
            <w:vAlign w:val="bottom"/>
          </w:tcPr>
          <w:p>
            <w:pPr>
              <w:spacing w:after="0"/>
              <w:rPr>
                <w:sz w:val="1"/>
                <w:szCs w:val="1"/>
                <w:color w:val="auto"/>
              </w:rPr>
            </w:pPr>
          </w:p>
        </w:tc>
      </w:tr>
      <w:tr>
        <w:trPr>
          <w:trHeight w:val="119"/>
        </w:trPr>
        <w:tc>
          <w:tcPr>
            <w:tcW w:w="126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b w:val="1"/>
                <w:bCs w:val="1"/>
                <w:color w:val="auto"/>
                <w:w w:val="97"/>
              </w:rPr>
              <w:t>Stock or</w:t>
            </w:r>
          </w:p>
        </w:tc>
        <w:tc>
          <w:tcPr>
            <w:tcW w:w="94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86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40" w:type="dxa"/>
            <w:vAlign w:val="bottom"/>
          </w:tcPr>
          <w:p>
            <w:pPr>
              <w:spacing w:after="0"/>
              <w:rPr>
                <w:sz w:val="10"/>
                <w:szCs w:val="10"/>
                <w:color w:val="auto"/>
              </w:rPr>
            </w:pPr>
          </w:p>
        </w:tc>
        <w:tc>
          <w:tcPr>
            <w:tcW w:w="920" w:type="dxa"/>
            <w:vAlign w:val="bottom"/>
          </w:tcPr>
          <w:p>
            <w:pPr>
              <w:jc w:val="center"/>
              <w:ind w:right="82"/>
              <w:spacing w:after="0" w:line="119"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0" w:type="dxa"/>
            <w:vAlign w:val="bottom"/>
          </w:tcPr>
          <w:p>
            <w:pPr>
              <w:spacing w:after="0"/>
              <w:rPr>
                <w:sz w:val="1"/>
                <w:szCs w:val="1"/>
                <w:color w:val="auto"/>
              </w:rPr>
            </w:pPr>
          </w:p>
        </w:tc>
      </w:tr>
      <w:tr>
        <w:trPr>
          <w:trHeight w:val="155"/>
        </w:trPr>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Units (#)</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Options (#)</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($/Sh)</w:t>
            </w:r>
          </w:p>
        </w:tc>
        <w:tc>
          <w:tcPr>
            <w:tcW w:w="140" w:type="dxa"/>
            <w:vAlign w:val="bottom"/>
          </w:tcPr>
          <w:p>
            <w:pPr>
              <w:spacing w:after="0"/>
              <w:rPr>
                <w:sz w:val="13"/>
                <w:szCs w:val="13"/>
                <w:color w:val="auto"/>
              </w:rPr>
            </w:pPr>
          </w:p>
        </w:tc>
        <w:tc>
          <w:tcPr>
            <w:tcW w:w="920" w:type="dxa"/>
            <w:vAlign w:val="bottom"/>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4"/>
              </w:rPr>
              <w:t>Awards ($)</w:t>
            </w:r>
          </w:p>
        </w:tc>
        <w:tc>
          <w:tcPr>
            <w:tcW w:w="0" w:type="dxa"/>
            <w:vAlign w:val="bottom"/>
          </w:tcPr>
          <w:p>
            <w:pPr>
              <w:spacing w:after="0"/>
              <w:rPr>
                <w:sz w:val="1"/>
                <w:szCs w:val="1"/>
                <w:color w:val="auto"/>
              </w:rPr>
            </w:pPr>
          </w:p>
        </w:tc>
      </w:tr>
      <w:tr>
        <w:trPr>
          <w:trHeight w:val="299"/>
        </w:trPr>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auto"/>
            </w:tcBorders>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5,202,163</w:t>
            </w: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5,202,097</w:t>
            </w:r>
          </w:p>
        </w:tc>
        <w:tc>
          <w:tcPr>
            <w:tcW w:w="0" w:type="dxa"/>
            <w:vAlign w:val="bottom"/>
          </w:tcPr>
          <w:p>
            <w:pPr>
              <w:spacing w:after="0"/>
              <w:rPr>
                <w:sz w:val="1"/>
                <w:szCs w:val="1"/>
                <w:color w:val="auto"/>
              </w:rPr>
            </w:pPr>
          </w:p>
        </w:tc>
      </w:tr>
      <w:tr>
        <w:trPr>
          <w:trHeight w:val="292"/>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1,582,968</w:t>
            </w: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1,582,934</w:t>
            </w:r>
          </w:p>
        </w:tc>
        <w:tc>
          <w:tcPr>
            <w:tcW w:w="0" w:type="dxa"/>
            <w:vAlign w:val="bottom"/>
          </w:tcPr>
          <w:p>
            <w:pPr>
              <w:spacing w:after="0"/>
              <w:rPr>
                <w:sz w:val="1"/>
                <w:szCs w:val="1"/>
                <w:color w:val="auto"/>
              </w:rPr>
            </w:pPr>
          </w:p>
        </w:tc>
      </w:tr>
      <w:tr>
        <w:trPr>
          <w:trHeight w:val="292"/>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1,483,517</w:t>
            </w: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1,483,503</w:t>
            </w: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1,483,517</w:t>
            </w: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1,483,503</w:t>
            </w:r>
          </w:p>
        </w:tc>
        <w:tc>
          <w:tcPr>
            <w:tcW w:w="0" w:type="dxa"/>
            <w:vAlign w:val="bottom"/>
          </w:tcPr>
          <w:p>
            <w:pPr>
              <w:spacing w:after="0"/>
              <w:rPr>
                <w:sz w:val="1"/>
                <w:szCs w:val="1"/>
                <w:color w:val="auto"/>
              </w:rPr>
            </w:pPr>
          </w:p>
        </w:tc>
      </w:tr>
      <w:tr>
        <w:trPr>
          <w:trHeight w:val="292"/>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1,483,517</w:t>
            </w: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1,483,503</w:t>
            </w: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3">
            <w:col w:w="2900" w:space="460"/>
            <w:col w:w="3640" w:space="120"/>
            <w:col w:w="4120"/>
          </w:cols>
          <w:pgMar w:left="380" w:top="471" w:right="279" w:bottom="1440" w:gutter="0" w:footer="0" w:header="0"/>
          <w:type w:val="continuous"/>
        </w:sectPr>
      </w:pPr>
    </w:p>
    <w:p>
      <w:pPr>
        <w:jc w:val="both"/>
        <w:ind w:left="360" w:right="40" w:hanging="142"/>
        <w:spacing w:after="0" w:line="257" w:lineRule="auto"/>
        <w:tabs>
          <w:tab w:leader="none" w:pos="3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 has two components: 1) 40% of the award will vest evenly over four years subject to the Company producing at least $100 million adjusted operating income each year of vesting upon the filing of the Company's annual Form 10-K for the years ending 2024, 2025, 2026 and 2027; and 2) up to 60% of the award will vest at the end of the third calendar year subject to the Company achieving compounded annualized growth rates ("CAGR") in adjusted constant currency earnings per share. One-third of the award will vest if the Company achieves a threshold 2% CAGR, two-thirds of the award will vest if the Company achieves a target 5% CAGR, and all of the award will vest if the Company achieves a maximum 7% CAGR vesting upon the filing of the Company's annual Form 10-K for the year ending 2026.</w:t>
      </w:r>
    </w:p>
    <w:p>
      <w:pPr>
        <w:spacing w:after="0" w:line="1" w:lineRule="exact"/>
        <w:rPr>
          <w:rFonts w:ascii="Times New Roman" w:cs="Times New Roman" w:eastAsia="Times New Roman" w:hAnsi="Times New Roman"/>
          <w:sz w:val="14"/>
          <w:szCs w:val="14"/>
          <w:color w:val="auto"/>
        </w:rPr>
      </w:pPr>
    </w:p>
    <w:p>
      <w:pPr>
        <w:ind w:left="360" w:hanging="142"/>
        <w:spacing w:after="0"/>
        <w:tabs>
          <w:tab w:leader="none" w:pos="3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vests evenly over four years upon the achievement of a 10% increase over the share price on the date of the grant for 30 consecutive days.</w:t>
      </w:r>
    </w:p>
    <w:p>
      <w:pPr>
        <w:spacing w:after="0" w:line="16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72390</wp:posOffset>
            </wp:positionV>
            <wp:extent cx="718502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40"/>
          </w:cols>
          <w:pgMar w:left="380" w:top="471" w:right="27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Year-End for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following table sets forth equity awards outstanding for the Named Executive Officers as of December 31,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267"/>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Restricted Stock Awards</w:t>
            </w: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jc w:val="center"/>
              <w:ind w:right="47"/>
              <w:spacing w:after="0" w:line="94" w:lineRule="exact"/>
              <w:rPr>
                <w:sz w:val="20"/>
                <w:szCs w:val="20"/>
                <w:color w:val="auto"/>
              </w:rPr>
            </w:pPr>
            <w:r>
              <w:rPr>
                <w:rFonts w:ascii="Times New Roman" w:cs="Times New Roman" w:eastAsia="Times New Roman" w:hAnsi="Times New Roman"/>
                <w:sz w:val="10"/>
                <w:szCs w:val="10"/>
                <w:b w:val="1"/>
                <w:bCs w:val="1"/>
                <w:color w:val="auto"/>
              </w:rPr>
              <w:t>Equity</w:t>
            </w: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rPr>
              <w:t>Incentive</w:t>
            </w:r>
          </w:p>
        </w:tc>
        <w:tc>
          <w:tcPr>
            <w:tcW w:w="420" w:type="dxa"/>
            <w:vAlign w:val="bottom"/>
          </w:tcPr>
          <w:p>
            <w:pPr>
              <w:spacing w:after="0"/>
              <w:rPr>
                <w:sz w:val="10"/>
                <w:szCs w:val="10"/>
                <w:color w:val="auto"/>
              </w:rPr>
            </w:pPr>
          </w:p>
        </w:tc>
        <w:tc>
          <w:tcPr>
            <w:tcW w:w="92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30"/>
        </w:trPr>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rPr>
              <w:t>Plan</w:t>
            </w:r>
          </w:p>
        </w:tc>
        <w:tc>
          <w:tcPr>
            <w:tcW w:w="42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Incentive</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8"/>
              </w:rPr>
              <w:t>Awards:</w:t>
            </w:r>
          </w:p>
        </w:tc>
        <w:tc>
          <w:tcPr>
            <w:tcW w:w="420" w:type="dxa"/>
            <w:vAlign w:val="bottom"/>
          </w:tcPr>
          <w:p>
            <w:pPr>
              <w:spacing w:after="0"/>
              <w:rPr>
                <w:sz w:val="10"/>
                <w:szCs w:val="10"/>
                <w:color w:val="auto"/>
              </w:rPr>
            </w:pP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rPr>
              <w:t>Plan</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2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Awards:</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Incentive</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5"/>
              </w:rPr>
              <w:t>of</w:t>
            </w:r>
          </w:p>
        </w:tc>
        <w:tc>
          <w:tcPr>
            <w:tcW w:w="42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Market or</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Plan</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w w:val="99"/>
              </w:rPr>
              <w:t>Market</w:t>
            </w:r>
          </w:p>
        </w:tc>
        <w:tc>
          <w:tcPr>
            <w:tcW w:w="84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9"/>
              </w:rPr>
              <w:t>Unearned</w:t>
            </w:r>
          </w:p>
        </w:tc>
        <w:tc>
          <w:tcPr>
            <w:tcW w:w="420" w:type="dxa"/>
            <w:vAlign w:val="bottom"/>
          </w:tcPr>
          <w:p>
            <w:pPr>
              <w:spacing w:after="0"/>
              <w:rPr>
                <w:sz w:val="10"/>
                <w:szCs w:val="10"/>
                <w:color w:val="auto"/>
              </w:rPr>
            </w:pPr>
          </w:p>
        </w:tc>
        <w:tc>
          <w:tcPr>
            <w:tcW w:w="92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Payout Value</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8"/>
              </w:rPr>
              <w:t>Awards:</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rPr>
              <w:t>Value of</w:t>
            </w:r>
          </w:p>
        </w:tc>
        <w:tc>
          <w:tcPr>
            <w:tcW w:w="84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20" w:type="dxa"/>
            <w:vAlign w:val="bottom"/>
          </w:tcPr>
          <w:p>
            <w:pPr>
              <w:spacing w:after="0"/>
              <w:rPr>
                <w:sz w:val="10"/>
                <w:szCs w:val="10"/>
                <w:color w:val="auto"/>
              </w:rPr>
            </w:pPr>
          </w:p>
        </w:tc>
        <w:tc>
          <w:tcPr>
            <w:tcW w:w="92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of Unearned</w:t>
            </w:r>
          </w:p>
        </w:tc>
        <w:tc>
          <w:tcPr>
            <w:tcW w:w="0" w:type="dxa"/>
            <w:vAlign w:val="bottom"/>
          </w:tcPr>
          <w:p>
            <w:pPr>
              <w:spacing w:after="0"/>
              <w:rPr>
                <w:sz w:val="1"/>
                <w:szCs w:val="1"/>
                <w:color w:val="auto"/>
              </w:rPr>
            </w:pPr>
          </w:p>
        </w:tc>
      </w:tr>
      <w:tr>
        <w:trPr>
          <w:trHeight w:val="130"/>
        </w:trPr>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900" w:type="dxa"/>
            <w:vAlign w:val="bottom"/>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320" w:type="dxa"/>
            <w:vAlign w:val="bottom"/>
          </w:tcPr>
          <w:p>
            <w:pPr>
              <w:spacing w:after="0"/>
              <w:rPr>
                <w:sz w:val="11"/>
                <w:szCs w:val="11"/>
                <w:color w:val="auto"/>
              </w:rPr>
            </w:pPr>
          </w:p>
        </w:tc>
        <w:tc>
          <w:tcPr>
            <w:tcW w:w="94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400" w:type="dxa"/>
            <w:vAlign w:val="bottom"/>
          </w:tcPr>
          <w:p>
            <w:pPr>
              <w:spacing w:after="0"/>
              <w:rPr>
                <w:sz w:val="11"/>
                <w:szCs w:val="11"/>
                <w:color w:val="auto"/>
              </w:rPr>
            </w:pPr>
          </w:p>
        </w:tc>
        <w:tc>
          <w:tcPr>
            <w:tcW w:w="860" w:type="dxa"/>
            <w:vAlign w:val="bottom"/>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w w:val="97"/>
              </w:rPr>
              <w:t>Shares or</w:t>
            </w:r>
          </w:p>
        </w:tc>
        <w:tc>
          <w:tcPr>
            <w:tcW w:w="84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rPr>
              <w:t>Units</w:t>
            </w:r>
          </w:p>
        </w:tc>
        <w:tc>
          <w:tcPr>
            <w:tcW w:w="420" w:type="dxa"/>
            <w:vAlign w:val="bottom"/>
          </w:tcPr>
          <w:p>
            <w:pPr>
              <w:spacing w:after="0"/>
              <w:rPr>
                <w:sz w:val="11"/>
                <w:szCs w:val="11"/>
                <w:color w:val="auto"/>
              </w:rPr>
            </w:pPr>
          </w:p>
        </w:tc>
        <w:tc>
          <w:tcPr>
            <w:tcW w:w="92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Shares, Units</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rPr>
              <w:t>Securities</w:t>
            </w:r>
          </w:p>
        </w:tc>
        <w:tc>
          <w:tcPr>
            <w:tcW w:w="900" w:type="dxa"/>
            <w:vAlign w:val="bottom"/>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rPr>
              <w:t>Securities</w:t>
            </w:r>
          </w:p>
        </w:tc>
        <w:tc>
          <w:tcPr>
            <w:tcW w:w="320" w:type="dxa"/>
            <w:vAlign w:val="bottom"/>
          </w:tcPr>
          <w:p>
            <w:pPr>
              <w:spacing w:after="0"/>
              <w:rPr>
                <w:sz w:val="10"/>
                <w:szCs w:val="10"/>
                <w:color w:val="auto"/>
              </w:rPr>
            </w:pPr>
          </w:p>
        </w:tc>
        <w:tc>
          <w:tcPr>
            <w:tcW w:w="94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rPr>
              <w:t>Shares or</w:t>
            </w:r>
          </w:p>
        </w:tc>
        <w:tc>
          <w:tcPr>
            <w:tcW w:w="400" w:type="dxa"/>
            <w:vAlign w:val="bottom"/>
          </w:tcPr>
          <w:p>
            <w:pPr>
              <w:spacing w:after="0"/>
              <w:rPr>
                <w:sz w:val="10"/>
                <w:szCs w:val="10"/>
                <w:color w:val="auto"/>
              </w:rPr>
            </w:pPr>
          </w:p>
        </w:tc>
        <w:tc>
          <w:tcPr>
            <w:tcW w:w="860" w:type="dxa"/>
            <w:vAlign w:val="bottom"/>
          </w:tcPr>
          <w:p>
            <w:pPr>
              <w:jc w:val="center"/>
              <w:ind w:right="105"/>
              <w:spacing w:after="0"/>
              <w:rPr>
                <w:sz w:val="20"/>
                <w:szCs w:val="20"/>
                <w:color w:val="auto"/>
              </w:rPr>
            </w:pPr>
            <w:r>
              <w:rPr>
                <w:rFonts w:ascii="Times New Roman" w:cs="Times New Roman" w:eastAsia="Times New Roman" w:hAnsi="Times New Roman"/>
                <w:sz w:val="10"/>
                <w:szCs w:val="10"/>
                <w:b w:val="1"/>
                <w:bCs w:val="1"/>
                <w:color w:val="auto"/>
              </w:rPr>
              <w:t>Units of</w:t>
            </w:r>
          </w:p>
        </w:tc>
        <w:tc>
          <w:tcPr>
            <w:tcW w:w="84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rPr>
              <w:t>or Other</w:t>
            </w:r>
          </w:p>
        </w:tc>
        <w:tc>
          <w:tcPr>
            <w:tcW w:w="420" w:type="dxa"/>
            <w:vAlign w:val="bottom"/>
          </w:tcPr>
          <w:p>
            <w:pPr>
              <w:spacing w:after="0"/>
              <w:rPr>
                <w:sz w:val="10"/>
                <w:szCs w:val="10"/>
                <w:color w:val="auto"/>
              </w:rPr>
            </w:pPr>
          </w:p>
        </w:tc>
        <w:tc>
          <w:tcPr>
            <w:tcW w:w="92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or</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rPr>
              <w:t>Underlying</w:t>
            </w:r>
          </w:p>
        </w:tc>
        <w:tc>
          <w:tcPr>
            <w:tcW w:w="900" w:type="dxa"/>
            <w:vAlign w:val="bottom"/>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99"/>
              </w:rPr>
              <w:t>Underlying</w:t>
            </w:r>
          </w:p>
        </w:tc>
        <w:tc>
          <w:tcPr>
            <w:tcW w:w="3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Underlying</w:t>
            </w:r>
          </w:p>
        </w:tc>
        <w:tc>
          <w:tcPr>
            <w:tcW w:w="280" w:type="dxa"/>
            <w:vAlign w:val="bottom"/>
          </w:tcPr>
          <w:p>
            <w:pPr>
              <w:spacing w:after="0"/>
              <w:rPr>
                <w:sz w:val="10"/>
                <w:szCs w:val="10"/>
                <w:color w:val="auto"/>
              </w:rPr>
            </w:pPr>
          </w:p>
        </w:tc>
        <w:tc>
          <w:tcPr>
            <w:tcW w:w="720" w:type="dxa"/>
            <w:vAlign w:val="bottom"/>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rPr>
              <w:t>Units of</w:t>
            </w:r>
          </w:p>
        </w:tc>
        <w:tc>
          <w:tcPr>
            <w:tcW w:w="400" w:type="dxa"/>
            <w:vAlign w:val="bottom"/>
          </w:tcPr>
          <w:p>
            <w:pPr>
              <w:spacing w:after="0"/>
              <w:rPr>
                <w:sz w:val="10"/>
                <w:szCs w:val="10"/>
                <w:color w:val="auto"/>
              </w:rPr>
            </w:pPr>
          </w:p>
        </w:tc>
        <w:tc>
          <w:tcPr>
            <w:tcW w:w="860" w:type="dxa"/>
            <w:vAlign w:val="bottom"/>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rPr>
              <w:t>Stock</w:t>
            </w:r>
          </w:p>
        </w:tc>
        <w:tc>
          <w:tcPr>
            <w:tcW w:w="840" w:type="dxa"/>
            <w:vAlign w:val="bottom"/>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rPr>
              <w:t>Rights</w:t>
            </w:r>
          </w:p>
        </w:tc>
        <w:tc>
          <w:tcPr>
            <w:tcW w:w="42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Other Rights</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9"/>
              </w:rPr>
              <w:t>Unexercised</w:t>
            </w:r>
          </w:p>
        </w:tc>
        <w:tc>
          <w:tcPr>
            <w:tcW w:w="900" w:type="dxa"/>
            <w:vAlign w:val="bottom"/>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99"/>
              </w:rPr>
              <w:t>Unexercised</w:t>
            </w:r>
          </w:p>
        </w:tc>
        <w:tc>
          <w:tcPr>
            <w:tcW w:w="320" w:type="dxa"/>
            <w:vAlign w:val="bottom"/>
          </w:tcPr>
          <w:p>
            <w:pPr>
              <w:spacing w:after="0"/>
              <w:rPr>
                <w:sz w:val="10"/>
                <w:szCs w:val="10"/>
                <w:color w:val="auto"/>
              </w:rPr>
            </w:pPr>
          </w:p>
        </w:tc>
        <w:tc>
          <w:tcPr>
            <w:tcW w:w="94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9"/>
              </w:rPr>
              <w:t>Unexercised</w:t>
            </w:r>
          </w:p>
        </w:tc>
        <w:tc>
          <w:tcPr>
            <w:tcW w:w="280" w:type="dxa"/>
            <w:vAlign w:val="bottom"/>
          </w:tcPr>
          <w:p>
            <w:pPr>
              <w:spacing w:after="0"/>
              <w:rPr>
                <w:sz w:val="10"/>
                <w:szCs w:val="10"/>
                <w:color w:val="auto"/>
              </w:rPr>
            </w:pPr>
          </w:p>
        </w:tc>
        <w:tc>
          <w:tcPr>
            <w:tcW w:w="720" w:type="dxa"/>
            <w:vAlign w:val="bottom"/>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9"/>
              </w:rPr>
              <w:t>Exercise</w:t>
            </w:r>
          </w:p>
        </w:tc>
        <w:tc>
          <w:tcPr>
            <w:tcW w:w="780" w:type="dxa"/>
            <w:vAlign w:val="bottom"/>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160" w:type="dxa"/>
            <w:vAlign w:val="bottom"/>
          </w:tcPr>
          <w:p>
            <w:pPr>
              <w:spacing w:after="0"/>
              <w:rPr>
                <w:sz w:val="10"/>
                <w:szCs w:val="10"/>
                <w:color w:val="auto"/>
              </w:rPr>
            </w:pPr>
          </w:p>
        </w:tc>
        <w:tc>
          <w:tcPr>
            <w:tcW w:w="900" w:type="dxa"/>
            <w:vAlign w:val="bottom"/>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w w:val="97"/>
              </w:rPr>
              <w:t>Stock That</w:t>
            </w:r>
          </w:p>
        </w:tc>
        <w:tc>
          <w:tcPr>
            <w:tcW w:w="400" w:type="dxa"/>
            <w:vAlign w:val="bottom"/>
          </w:tcPr>
          <w:p>
            <w:pPr>
              <w:spacing w:after="0"/>
              <w:rPr>
                <w:sz w:val="10"/>
                <w:szCs w:val="10"/>
                <w:color w:val="auto"/>
              </w:rPr>
            </w:pPr>
          </w:p>
        </w:tc>
        <w:tc>
          <w:tcPr>
            <w:tcW w:w="860" w:type="dxa"/>
            <w:vAlign w:val="bottom"/>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w w:val="97"/>
              </w:rPr>
              <w:t>That</w:t>
            </w:r>
          </w:p>
        </w:tc>
        <w:tc>
          <w:tcPr>
            <w:tcW w:w="84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rPr>
              <w:t>that</w:t>
            </w:r>
          </w:p>
        </w:tc>
        <w:tc>
          <w:tcPr>
            <w:tcW w:w="420" w:type="dxa"/>
            <w:vAlign w:val="bottom"/>
          </w:tcPr>
          <w:p>
            <w:pPr>
              <w:spacing w:after="0"/>
              <w:rPr>
                <w:sz w:val="10"/>
                <w:szCs w:val="10"/>
                <w:color w:val="auto"/>
              </w:rPr>
            </w:pP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7"/>
              </w:rPr>
              <w:t>That Have</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9"/>
              </w:rPr>
              <w:t>Options (#)</w:t>
            </w:r>
          </w:p>
        </w:tc>
        <w:tc>
          <w:tcPr>
            <w:tcW w:w="900" w:type="dxa"/>
            <w:vAlign w:val="bottom"/>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99"/>
              </w:rPr>
              <w:t>Options (#)</w:t>
            </w:r>
          </w:p>
        </w:tc>
        <w:tc>
          <w:tcPr>
            <w:tcW w:w="320" w:type="dxa"/>
            <w:vAlign w:val="bottom"/>
          </w:tcPr>
          <w:p>
            <w:pPr>
              <w:spacing w:after="0"/>
              <w:rPr>
                <w:sz w:val="10"/>
                <w:szCs w:val="10"/>
                <w:color w:val="auto"/>
              </w:rPr>
            </w:pPr>
          </w:p>
        </w:tc>
        <w:tc>
          <w:tcPr>
            <w:tcW w:w="94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Unearned</w:t>
            </w:r>
          </w:p>
        </w:tc>
        <w:tc>
          <w:tcPr>
            <w:tcW w:w="280" w:type="dxa"/>
            <w:vAlign w:val="bottom"/>
          </w:tcPr>
          <w:p>
            <w:pPr>
              <w:spacing w:after="0"/>
              <w:rPr>
                <w:sz w:val="10"/>
                <w:szCs w:val="10"/>
                <w:color w:val="auto"/>
              </w:rPr>
            </w:pPr>
          </w:p>
        </w:tc>
        <w:tc>
          <w:tcPr>
            <w:tcW w:w="720" w:type="dxa"/>
            <w:vAlign w:val="bottom"/>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w w:val="98"/>
              </w:rPr>
              <w:t>Price</w:t>
            </w:r>
          </w:p>
        </w:tc>
        <w:tc>
          <w:tcPr>
            <w:tcW w:w="780" w:type="dxa"/>
            <w:vAlign w:val="bottom"/>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9"/>
              </w:rPr>
              <w:t>Expiration</w:t>
            </w:r>
          </w:p>
        </w:tc>
        <w:tc>
          <w:tcPr>
            <w:tcW w:w="160" w:type="dxa"/>
            <w:vAlign w:val="bottom"/>
          </w:tcPr>
          <w:p>
            <w:pPr>
              <w:spacing w:after="0"/>
              <w:rPr>
                <w:sz w:val="10"/>
                <w:szCs w:val="10"/>
                <w:color w:val="auto"/>
              </w:rPr>
            </w:pPr>
          </w:p>
        </w:tc>
        <w:tc>
          <w:tcPr>
            <w:tcW w:w="900" w:type="dxa"/>
            <w:vAlign w:val="bottom"/>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rPr>
              <w:t>Have Not</w:t>
            </w:r>
          </w:p>
        </w:tc>
        <w:tc>
          <w:tcPr>
            <w:tcW w:w="400" w:type="dxa"/>
            <w:vAlign w:val="bottom"/>
          </w:tcPr>
          <w:p>
            <w:pPr>
              <w:spacing w:after="0"/>
              <w:rPr>
                <w:sz w:val="10"/>
                <w:szCs w:val="10"/>
                <w:color w:val="auto"/>
              </w:rPr>
            </w:pPr>
          </w:p>
        </w:tc>
        <w:tc>
          <w:tcPr>
            <w:tcW w:w="860" w:type="dxa"/>
            <w:vAlign w:val="bottom"/>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w w:val="99"/>
              </w:rPr>
              <w:t>Have Not</w:t>
            </w:r>
          </w:p>
        </w:tc>
        <w:tc>
          <w:tcPr>
            <w:tcW w:w="84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9"/>
              </w:rPr>
              <w:t>Have Not</w:t>
            </w:r>
          </w:p>
        </w:tc>
        <w:tc>
          <w:tcPr>
            <w:tcW w:w="42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Not</w:t>
            </w:r>
          </w:p>
        </w:tc>
        <w:tc>
          <w:tcPr>
            <w:tcW w:w="0" w:type="dxa"/>
            <w:vAlign w:val="bottom"/>
          </w:tcPr>
          <w:p>
            <w:pPr>
              <w:spacing w:after="0"/>
              <w:rPr>
                <w:sz w:val="1"/>
                <w:szCs w:val="1"/>
                <w:color w:val="auto"/>
              </w:rPr>
            </w:pPr>
          </w:p>
        </w:tc>
      </w:tr>
      <w:tr>
        <w:trPr>
          <w:trHeight w:val="145"/>
        </w:trPr>
        <w:tc>
          <w:tcPr>
            <w:tcW w:w="96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0"/>
                <w:szCs w:val="10"/>
                <w:b w:val="1"/>
                <w:bCs w:val="1"/>
                <w:color w:val="auto"/>
              </w:rPr>
              <w:t>Name</w:t>
            </w:r>
          </w:p>
        </w:tc>
        <w:tc>
          <w:tcPr>
            <w:tcW w:w="9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Grant Date</w:t>
            </w: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rPr>
              <w:t>Exercisable</w:t>
            </w:r>
          </w:p>
        </w:tc>
        <w:tc>
          <w:tcPr>
            <w:tcW w:w="9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99"/>
              </w:rPr>
              <w:t>Unexercisable</w:t>
            </w: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rPr>
              <w:t>Vested (#)</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0"/>
                <w:szCs w:val="10"/>
                <w:b w:val="1"/>
                <w:bCs w:val="1"/>
                <w:color w:val="auto"/>
                <w:w w:val="97"/>
              </w:rPr>
              <w:t>Vested ($)</w:t>
            </w:r>
          </w:p>
        </w:tc>
        <w:tc>
          <w:tcPr>
            <w:tcW w:w="84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7"/>
              </w:rPr>
              <w:t>Vested (#)</w:t>
            </w: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7"/>
              </w:rPr>
              <w:t>Vested ($)</w:t>
            </w:r>
          </w:p>
        </w:tc>
        <w:tc>
          <w:tcPr>
            <w:tcW w:w="0" w:type="dxa"/>
            <w:vAlign w:val="bottom"/>
          </w:tcPr>
          <w:p>
            <w:pPr>
              <w:spacing w:after="0"/>
              <w:rPr>
                <w:sz w:val="1"/>
                <w:szCs w:val="1"/>
                <w:color w:val="auto"/>
              </w:rPr>
            </w:pPr>
          </w:p>
        </w:tc>
      </w:tr>
      <w:tr>
        <w:trPr>
          <w:trHeight w:val="187"/>
        </w:trPr>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Michael J. Brown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12/10/2014</w:t>
            </w:r>
          </w:p>
        </w:tc>
        <w:tc>
          <w:tcPr>
            <w:tcW w:w="100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67,122</w:t>
            </w: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56.24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12/10/2024</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960" w:type="dxa"/>
            <w:vAlign w:val="bottom"/>
            <w:shd w:val="clear" w:color="auto" w:fill="CCEEFF"/>
          </w:tcPr>
          <w:p>
            <w:pPr>
              <w:spacing w:after="0"/>
              <w:rPr>
                <w:sz w:val="2"/>
                <w:szCs w:val="2"/>
                <w:color w:val="auto"/>
              </w:rPr>
            </w:pPr>
          </w:p>
        </w:tc>
        <w:tc>
          <w:tcPr>
            <w:tcW w:w="900" w:type="dxa"/>
            <w:vAlign w:val="bottom"/>
            <w:vMerge w:val="continue"/>
            <w:shd w:val="clear" w:color="auto" w:fill="CCEEFF"/>
          </w:tcPr>
          <w:p>
            <w:pPr>
              <w:spacing w:after="0"/>
              <w:rPr>
                <w:sz w:val="2"/>
                <w:szCs w:val="2"/>
                <w:color w:val="auto"/>
              </w:rPr>
            </w:pPr>
          </w:p>
        </w:tc>
        <w:tc>
          <w:tcPr>
            <w:tcW w:w="1000" w:type="dxa"/>
            <w:vAlign w:val="bottom"/>
            <w:vMerge w:val="continue"/>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vMerge w:val="continue"/>
            <w:shd w:val="clear" w:color="auto" w:fill="CCEEFF"/>
          </w:tcPr>
          <w:p>
            <w:pPr>
              <w:spacing w:after="0"/>
              <w:rPr>
                <w:sz w:val="2"/>
                <w:szCs w:val="2"/>
                <w:color w:val="auto"/>
              </w:rPr>
            </w:pPr>
          </w:p>
        </w:tc>
        <w:tc>
          <w:tcPr>
            <w:tcW w:w="780" w:type="dxa"/>
            <w:vAlign w:val="bottom"/>
            <w:vMerge w:val="continue"/>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12/10/2015</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61,277</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74.72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12/10/2025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9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12/13/2016</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59,277</w:t>
            </w: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73.72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12/13/2026</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12/12/2017</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52,464</w:t>
            </w: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91.99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12/12/2027</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12/12/2018</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40,371</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111.45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12/12/2028</w:t>
            </w:r>
          </w:p>
        </w:tc>
        <w:tc>
          <w:tcPr>
            <w:tcW w:w="10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2"/>
                <w:szCs w:val="12"/>
                <w:color w:val="auto"/>
              </w:rPr>
              <w:t>1,076</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w:t>
            </w:r>
          </w:p>
        </w:tc>
        <w:tc>
          <w:tcPr>
            <w:tcW w:w="8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2"/>
                <w:szCs w:val="12"/>
                <w:color w:val="auto"/>
              </w:rPr>
              <w:t>109,203</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12/10/2019</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61,664</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154.28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12/10/2029</w:t>
            </w:r>
          </w:p>
        </w:tc>
        <w:tc>
          <w:tcPr>
            <w:tcW w:w="10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2"/>
                <w:szCs w:val="12"/>
                <w:color w:val="auto"/>
              </w:rPr>
              <w:t>1,620</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(3)</w:t>
            </w:r>
          </w:p>
        </w:tc>
        <w:tc>
          <w:tcPr>
            <w:tcW w:w="8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2"/>
                <w:szCs w:val="12"/>
                <w:color w:val="auto"/>
              </w:rPr>
              <w:t>164,414</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9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12/8/2020</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50,000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(4)</w:t>
            </w: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2"/>
                <w:szCs w:val="12"/>
                <w:color w:val="auto"/>
              </w:rPr>
              <w:t>133.22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12/8/2030</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12/8/2020</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37,500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(5)</w:t>
            </w: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2"/>
                <w:szCs w:val="12"/>
                <w:color w:val="auto"/>
              </w:rPr>
              <w:t>133.22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12/8/2030</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12/7/2021</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56,673</w:t>
            </w: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rPr>
              <w:t>56,673</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9"/>
              </w:rPr>
              <w:t>(12)</w:t>
            </w:r>
          </w:p>
        </w:tc>
        <w:tc>
          <w:tcPr>
            <w:tcW w:w="7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2"/>
                <w:szCs w:val="12"/>
                <w:color w:val="auto"/>
              </w:rPr>
              <w:t>116.08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12/7/2031</w:t>
            </w:r>
          </w:p>
        </w:tc>
        <w:tc>
          <w:tcPr>
            <w:tcW w:w="10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2"/>
                <w:szCs w:val="12"/>
                <w:color w:val="auto"/>
              </w:rPr>
              <w:t>3,935</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(11)</w:t>
            </w:r>
          </w:p>
        </w:tc>
        <w:tc>
          <w:tcPr>
            <w:tcW w:w="8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2"/>
                <w:szCs w:val="12"/>
                <w:color w:val="auto"/>
              </w:rPr>
              <w:t>399,363</w:t>
            </w:r>
          </w:p>
        </w:tc>
        <w:tc>
          <w:tcPr>
            <w:tcW w:w="8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rPr>
              <w:t>31,481</w:t>
            </w:r>
          </w:p>
        </w:tc>
        <w:tc>
          <w:tcPr>
            <w:tcW w:w="4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3,195,007</w:t>
            </w:r>
          </w:p>
        </w:tc>
        <w:tc>
          <w:tcPr>
            <w:tcW w:w="0" w:type="dxa"/>
            <w:vAlign w:val="bottom"/>
          </w:tcPr>
          <w:p>
            <w:pPr>
              <w:spacing w:after="0"/>
              <w:rPr>
                <w:sz w:val="1"/>
                <w:szCs w:val="1"/>
                <w:color w:val="auto"/>
              </w:rPr>
            </w:pPr>
          </w:p>
        </w:tc>
      </w:tr>
      <w:tr>
        <w:trPr>
          <w:trHeight w:val="184"/>
        </w:trPr>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12/6/2022</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35,437</w:t>
            </w: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rPr>
              <w:t>106,310</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9"/>
              </w:rPr>
              <w:t>(14)</w:t>
            </w:r>
          </w:p>
        </w:tc>
        <w:tc>
          <w:tcPr>
            <w:tcW w:w="7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2"/>
                <w:szCs w:val="12"/>
                <w:color w:val="auto"/>
              </w:rPr>
              <w:t>90.26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12/6/2032</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2"/>
                <w:szCs w:val="12"/>
                <w:color w:val="auto"/>
              </w:rPr>
              <w:t>5,764</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(13)</w:t>
            </w:r>
          </w:p>
        </w:tc>
        <w:tc>
          <w:tcPr>
            <w:tcW w:w="8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2"/>
                <w:szCs w:val="12"/>
                <w:color w:val="auto"/>
              </w:rPr>
              <w:t>584,988</w:t>
            </w:r>
          </w:p>
        </w:tc>
        <w:tc>
          <w:tcPr>
            <w:tcW w:w="8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rPr>
              <w:t>51,871</w:t>
            </w:r>
          </w:p>
        </w:tc>
        <w:tc>
          <w:tcPr>
            <w:tcW w:w="4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5,264,388</w:t>
            </w:r>
          </w:p>
        </w:tc>
        <w:tc>
          <w:tcPr>
            <w:tcW w:w="0" w:type="dxa"/>
            <w:vAlign w:val="bottom"/>
          </w:tcPr>
          <w:p>
            <w:pPr>
              <w:spacing w:after="0"/>
              <w:rPr>
                <w:sz w:val="1"/>
                <w:szCs w:val="1"/>
                <w:color w:val="auto"/>
              </w:rPr>
            </w:pPr>
          </w:p>
        </w:tc>
      </w:tr>
      <w:tr>
        <w:trPr>
          <w:trHeight w:val="247"/>
        </w:trPr>
        <w:tc>
          <w:tcPr>
            <w:tcW w:w="9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12/12/2023</w:t>
            </w:r>
          </w:p>
        </w:tc>
        <w:tc>
          <w:tcPr>
            <w:tcW w:w="10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rPr>
              <w:t>132,470</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7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2"/>
                <w:szCs w:val="12"/>
                <w:color w:val="auto"/>
              </w:rPr>
              <w:t>91.66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12/12/2033</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rPr>
              <w:t>56,755</w:t>
            </w:r>
          </w:p>
        </w:tc>
        <w:tc>
          <w:tcPr>
            <w:tcW w:w="420" w:type="dxa"/>
            <w:vAlign w:val="bottom"/>
            <w:shd w:val="clear" w:color="auto" w:fill="CCEEFF"/>
          </w:tcPr>
          <w:p>
            <w:pPr>
              <w:jc w:val="center"/>
              <w:ind w:right="62"/>
              <w:spacing w:after="0"/>
              <w:rPr>
                <w:sz w:val="20"/>
                <w:szCs w:val="20"/>
                <w:color w:val="auto"/>
              </w:rPr>
            </w:pPr>
            <w:r>
              <w:rPr>
                <w:rFonts w:ascii="Times New Roman" w:cs="Times New Roman" w:eastAsia="Times New Roman" w:hAnsi="Times New Roman"/>
                <w:sz w:val="12"/>
                <w:szCs w:val="12"/>
                <w:color w:val="auto"/>
                <w:w w:val="99"/>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5,760,065</w:t>
            </w:r>
          </w:p>
        </w:tc>
        <w:tc>
          <w:tcPr>
            <w:tcW w:w="0" w:type="dxa"/>
            <w:vAlign w:val="bottom"/>
          </w:tcPr>
          <w:p>
            <w:pPr>
              <w:spacing w:after="0"/>
              <w:rPr>
                <w:sz w:val="1"/>
                <w:szCs w:val="1"/>
                <w:color w:val="auto"/>
              </w:rPr>
            </w:pPr>
          </w:p>
        </w:tc>
      </w:tr>
      <w:tr>
        <w:trPr>
          <w:trHeight w:val="196"/>
        </w:trPr>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Rick L. Weller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12/10/2014</w:t>
            </w: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2"/>
                <w:szCs w:val="12"/>
                <w:color w:val="auto"/>
              </w:rPr>
              <w:t>26,849</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vMerge w:val="restart"/>
          </w:tcPr>
          <w:p>
            <w:pPr>
              <w:jc w:val="right"/>
              <w:ind w:right="64"/>
              <w:spacing w:after="0"/>
              <w:rPr>
                <w:sz w:val="20"/>
                <w:szCs w:val="20"/>
                <w:color w:val="auto"/>
              </w:rPr>
            </w:pPr>
            <w:r>
              <w:rPr>
                <w:rFonts w:ascii="Times New Roman" w:cs="Times New Roman" w:eastAsia="Times New Roman" w:hAnsi="Times New Roman"/>
                <w:sz w:val="12"/>
                <w:szCs w:val="12"/>
                <w:color w:val="auto"/>
              </w:rPr>
              <w:t>56.24</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12/10/2024</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12/10/2015</w:t>
            </w: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25,532</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74.72</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12/10/2025</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12/13/2016</w:t>
            </w: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24,699</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73.72</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12/13/2026</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12/12/2017</w:t>
            </w: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21,860</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91.99</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12/12/2027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12/12/2018</w:t>
            </w: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30,951</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111.45</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12/12/2028</w:t>
            </w:r>
          </w:p>
        </w:tc>
        <w:tc>
          <w:tcPr>
            <w:tcW w:w="1060" w:type="dxa"/>
            <w:vAlign w:val="bottom"/>
            <w:gridSpan w:val="2"/>
          </w:tcPr>
          <w:p>
            <w:pPr>
              <w:jc w:val="right"/>
              <w:ind w:right="89"/>
              <w:spacing w:after="0"/>
              <w:rPr>
                <w:sz w:val="20"/>
                <w:szCs w:val="20"/>
                <w:color w:val="auto"/>
              </w:rPr>
            </w:pPr>
            <w:r>
              <w:rPr>
                <w:rFonts w:ascii="Times New Roman" w:cs="Times New Roman" w:eastAsia="Times New Roman" w:hAnsi="Times New Roman"/>
                <w:sz w:val="12"/>
                <w:szCs w:val="12"/>
                <w:color w:val="auto"/>
              </w:rPr>
              <w:t>825</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w:t>
            </w:r>
          </w:p>
        </w:tc>
        <w:tc>
          <w:tcPr>
            <w:tcW w:w="860" w:type="dxa"/>
            <w:vAlign w:val="bottom"/>
          </w:tcPr>
          <w:p>
            <w:pPr>
              <w:jc w:val="right"/>
              <w:ind w:right="145"/>
              <w:spacing w:after="0"/>
              <w:rPr>
                <w:sz w:val="20"/>
                <w:szCs w:val="20"/>
                <w:color w:val="auto"/>
              </w:rPr>
            </w:pPr>
            <w:r>
              <w:rPr>
                <w:rFonts w:ascii="Times New Roman" w:cs="Times New Roman" w:eastAsia="Times New Roman" w:hAnsi="Times New Roman"/>
                <w:sz w:val="12"/>
                <w:szCs w:val="12"/>
                <w:color w:val="auto"/>
              </w:rPr>
              <w:t>83,729</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9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4/4/2019</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13,620</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13,619</w:t>
            </w:r>
          </w:p>
        </w:tc>
        <w:tc>
          <w:tcPr>
            <w:tcW w:w="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w:t>
            </w: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141.03</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4/4/2029</w:t>
            </w:r>
          </w:p>
        </w:tc>
        <w:tc>
          <w:tcPr>
            <w:tcW w:w="1060" w:type="dxa"/>
            <w:vAlign w:val="bottom"/>
            <w:gridSpan w:val="2"/>
          </w:tcPr>
          <w:p>
            <w:pPr>
              <w:jc w:val="right"/>
              <w:ind w:right="69"/>
              <w:spacing w:after="0"/>
              <w:rPr>
                <w:sz w:val="20"/>
                <w:szCs w:val="20"/>
                <w:color w:val="auto"/>
              </w:rPr>
            </w:pPr>
            <w:r>
              <w:rPr>
                <w:rFonts w:ascii="Times New Roman" w:cs="Times New Roman" w:eastAsia="Times New Roman" w:hAnsi="Times New Roman"/>
                <w:sz w:val="12"/>
                <w:szCs w:val="12"/>
                <w:color w:val="auto"/>
              </w:rPr>
              <w:t>4,431</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860" w:type="dxa"/>
            <w:vAlign w:val="bottom"/>
          </w:tcPr>
          <w:p>
            <w:pPr>
              <w:jc w:val="right"/>
              <w:ind w:right="165"/>
              <w:spacing w:after="0"/>
              <w:rPr>
                <w:sz w:val="20"/>
                <w:szCs w:val="20"/>
                <w:color w:val="auto"/>
              </w:rPr>
            </w:pPr>
            <w:r>
              <w:rPr>
                <w:rFonts w:ascii="Times New Roman" w:cs="Times New Roman" w:eastAsia="Times New Roman" w:hAnsi="Times New Roman"/>
                <w:sz w:val="12"/>
                <w:szCs w:val="12"/>
                <w:color w:val="auto"/>
              </w:rPr>
              <w:t>449,702</w:t>
            </w: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4/4/2019</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8,403</w:t>
            </w: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2"/>
                <w:szCs w:val="12"/>
                <w:color w:val="auto"/>
              </w:rPr>
              <w:t>10,979</w:t>
            </w:r>
          </w:p>
        </w:tc>
        <w:tc>
          <w:tcPr>
            <w:tcW w:w="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36,506</w:t>
            </w:r>
          </w:p>
        </w:tc>
        <w:tc>
          <w:tcPr>
            <w:tcW w:w="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141.03</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4/4/2029</w:t>
            </w:r>
          </w:p>
        </w:tc>
        <w:tc>
          <w:tcPr>
            <w:tcW w:w="1060" w:type="dxa"/>
            <w:vAlign w:val="bottom"/>
            <w:gridSpan w:val="2"/>
          </w:tcPr>
          <w:p>
            <w:pPr>
              <w:jc w:val="right"/>
              <w:ind w:right="69"/>
              <w:spacing w:after="0"/>
              <w:rPr>
                <w:sz w:val="20"/>
                <w:szCs w:val="20"/>
                <w:color w:val="auto"/>
              </w:rPr>
            </w:pPr>
            <w:r>
              <w:rPr>
                <w:rFonts w:ascii="Times New Roman" w:cs="Times New Roman" w:eastAsia="Times New Roman" w:hAnsi="Times New Roman"/>
                <w:sz w:val="12"/>
                <w:szCs w:val="12"/>
                <w:color w:val="auto"/>
              </w:rPr>
              <w:t>3,573</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(9)</w:t>
            </w:r>
          </w:p>
        </w:tc>
        <w:tc>
          <w:tcPr>
            <w:tcW w:w="860" w:type="dxa"/>
            <w:vAlign w:val="bottom"/>
          </w:tcPr>
          <w:p>
            <w:pPr>
              <w:jc w:val="right"/>
              <w:ind w:right="165"/>
              <w:spacing w:after="0"/>
              <w:rPr>
                <w:sz w:val="20"/>
                <w:szCs w:val="20"/>
                <w:color w:val="auto"/>
              </w:rPr>
            </w:pPr>
            <w:r>
              <w:rPr>
                <w:rFonts w:ascii="Times New Roman" w:cs="Times New Roman" w:eastAsia="Times New Roman" w:hAnsi="Times New Roman"/>
                <w:sz w:val="12"/>
                <w:szCs w:val="12"/>
                <w:color w:val="auto"/>
              </w:rPr>
              <w:t>362,624</w:t>
            </w:r>
          </w:p>
        </w:tc>
        <w:tc>
          <w:tcPr>
            <w:tcW w:w="840" w:type="dxa"/>
            <w:vAlign w:val="bottom"/>
          </w:tcPr>
          <w:p>
            <w:pPr>
              <w:jc w:val="right"/>
              <w:ind w:right="27"/>
              <w:spacing w:after="0"/>
              <w:rPr>
                <w:sz w:val="20"/>
                <w:szCs w:val="20"/>
                <w:color w:val="auto"/>
              </w:rPr>
            </w:pPr>
            <w:r>
              <w:rPr>
                <w:rFonts w:ascii="Times New Roman" w:cs="Times New Roman" w:eastAsia="Times New Roman" w:hAnsi="Times New Roman"/>
                <w:sz w:val="12"/>
                <w:szCs w:val="12"/>
                <w:color w:val="auto"/>
              </w:rPr>
              <w:t>11,879</w:t>
            </w:r>
          </w:p>
        </w:tc>
        <w:tc>
          <w:tcPr>
            <w:tcW w:w="420" w:type="dxa"/>
            <w:vAlign w:val="bottom"/>
          </w:tcPr>
          <w:p>
            <w:pPr>
              <w:jc w:val="center"/>
              <w:ind w:right="42"/>
              <w:spacing w:after="0"/>
              <w:rPr>
                <w:sz w:val="20"/>
                <w:szCs w:val="20"/>
                <w:color w:val="auto"/>
              </w:rPr>
            </w:pPr>
            <w:r>
              <w:rPr>
                <w:rFonts w:ascii="Times New Roman" w:cs="Times New Roman" w:eastAsia="Times New Roman" w:hAnsi="Times New Roman"/>
                <w:sz w:val="12"/>
                <w:szCs w:val="12"/>
                <w:color w:val="auto"/>
                <w:w w:val="85"/>
              </w:rPr>
              <w:t>(9)</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1,205,600</w:t>
            </w: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12/10/2019</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28,365</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154.28</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12/10/2029</w:t>
            </w:r>
          </w:p>
        </w:tc>
        <w:tc>
          <w:tcPr>
            <w:tcW w:w="1060" w:type="dxa"/>
            <w:vAlign w:val="bottom"/>
            <w:gridSpan w:val="2"/>
          </w:tcPr>
          <w:p>
            <w:pPr>
              <w:jc w:val="right"/>
              <w:ind w:right="69"/>
              <w:spacing w:after="0"/>
              <w:rPr>
                <w:sz w:val="20"/>
                <w:szCs w:val="20"/>
                <w:color w:val="auto"/>
              </w:rPr>
            </w:pPr>
            <w:r>
              <w:rPr>
                <w:rFonts w:ascii="Times New Roman" w:cs="Times New Roman" w:eastAsia="Times New Roman" w:hAnsi="Times New Roman"/>
                <w:sz w:val="12"/>
                <w:szCs w:val="12"/>
                <w:color w:val="auto"/>
              </w:rPr>
              <w:t>745</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(3)</w:t>
            </w:r>
          </w:p>
        </w:tc>
        <w:tc>
          <w:tcPr>
            <w:tcW w:w="860" w:type="dxa"/>
            <w:vAlign w:val="bottom"/>
          </w:tcPr>
          <w:p>
            <w:pPr>
              <w:jc w:val="right"/>
              <w:ind w:right="165"/>
              <w:spacing w:after="0"/>
              <w:rPr>
                <w:sz w:val="20"/>
                <w:szCs w:val="20"/>
                <w:color w:val="auto"/>
              </w:rPr>
            </w:pPr>
            <w:r>
              <w:rPr>
                <w:rFonts w:ascii="Times New Roman" w:cs="Times New Roman" w:eastAsia="Times New Roman" w:hAnsi="Times New Roman"/>
                <w:sz w:val="12"/>
                <w:szCs w:val="12"/>
                <w:color w:val="auto"/>
              </w:rPr>
              <w:t>75,610</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11/5/2020</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66,667</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133,333</w:t>
            </w:r>
          </w:p>
        </w:tc>
        <w:tc>
          <w:tcPr>
            <w:tcW w:w="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(10)</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98.46</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11/5/2030</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12/7/2021</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17,204</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17,204</w:t>
            </w:r>
          </w:p>
        </w:tc>
        <w:tc>
          <w:tcPr>
            <w:tcW w:w="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9"/>
              </w:rPr>
              <w:t>(12)</w:t>
            </w: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116.08</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12/7/2031</w:t>
            </w:r>
          </w:p>
        </w:tc>
        <w:tc>
          <w:tcPr>
            <w:tcW w:w="1060" w:type="dxa"/>
            <w:vAlign w:val="bottom"/>
            <w:gridSpan w:val="2"/>
          </w:tcPr>
          <w:p>
            <w:pPr>
              <w:jc w:val="right"/>
              <w:ind w:right="69"/>
              <w:spacing w:after="0"/>
              <w:rPr>
                <w:sz w:val="20"/>
                <w:szCs w:val="20"/>
                <w:color w:val="auto"/>
              </w:rPr>
            </w:pPr>
            <w:r>
              <w:rPr>
                <w:rFonts w:ascii="Times New Roman" w:cs="Times New Roman" w:eastAsia="Times New Roman" w:hAnsi="Times New Roman"/>
                <w:sz w:val="12"/>
                <w:szCs w:val="12"/>
                <w:color w:val="auto"/>
              </w:rPr>
              <w:t>1,194</w:t>
            </w:r>
          </w:p>
        </w:tc>
        <w:tc>
          <w:tcPr>
            <w:tcW w:w="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(11)</w:t>
            </w:r>
          </w:p>
        </w:tc>
        <w:tc>
          <w:tcPr>
            <w:tcW w:w="860" w:type="dxa"/>
            <w:vAlign w:val="bottom"/>
          </w:tcPr>
          <w:p>
            <w:pPr>
              <w:jc w:val="right"/>
              <w:ind w:right="165"/>
              <w:spacing w:after="0"/>
              <w:rPr>
                <w:sz w:val="20"/>
                <w:szCs w:val="20"/>
                <w:color w:val="auto"/>
              </w:rPr>
            </w:pPr>
            <w:r>
              <w:rPr>
                <w:rFonts w:ascii="Times New Roman" w:cs="Times New Roman" w:eastAsia="Times New Roman" w:hAnsi="Times New Roman"/>
                <w:sz w:val="12"/>
                <w:szCs w:val="12"/>
                <w:color w:val="auto"/>
              </w:rPr>
              <w:t>121,179</w:t>
            </w:r>
          </w:p>
        </w:tc>
        <w:tc>
          <w:tcPr>
            <w:tcW w:w="840" w:type="dxa"/>
            <w:vAlign w:val="bottom"/>
          </w:tcPr>
          <w:p>
            <w:pPr>
              <w:jc w:val="right"/>
              <w:ind w:right="27"/>
              <w:spacing w:after="0"/>
              <w:rPr>
                <w:sz w:val="20"/>
                <w:szCs w:val="20"/>
                <w:color w:val="auto"/>
              </w:rPr>
            </w:pPr>
            <w:r>
              <w:rPr>
                <w:rFonts w:ascii="Times New Roman" w:cs="Times New Roman" w:eastAsia="Times New Roman" w:hAnsi="Times New Roman"/>
                <w:sz w:val="12"/>
                <w:szCs w:val="12"/>
                <w:color w:val="auto"/>
              </w:rPr>
              <w:t>9,556</w:t>
            </w:r>
          </w:p>
        </w:tc>
        <w:tc>
          <w:tcPr>
            <w:tcW w:w="420" w:type="dxa"/>
            <w:vAlign w:val="bottom"/>
          </w:tcPr>
          <w:p>
            <w:pPr>
              <w:jc w:val="center"/>
              <w:ind w:right="42"/>
              <w:spacing w:after="0"/>
              <w:rPr>
                <w:sz w:val="20"/>
                <w:szCs w:val="20"/>
                <w:color w:val="auto"/>
              </w:rPr>
            </w:pPr>
            <w:r>
              <w:rPr>
                <w:rFonts w:ascii="Times New Roman" w:cs="Times New Roman" w:eastAsia="Times New Roman" w:hAnsi="Times New Roman"/>
                <w:sz w:val="12"/>
                <w:szCs w:val="12"/>
                <w:color w:val="auto"/>
                <w:w w:val="99"/>
              </w:rPr>
              <w:t>(11)</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969,838</w:t>
            </w:r>
          </w:p>
        </w:tc>
        <w:tc>
          <w:tcPr>
            <w:tcW w:w="0" w:type="dxa"/>
            <w:vAlign w:val="bottom"/>
          </w:tcPr>
          <w:p>
            <w:pPr>
              <w:spacing w:after="0"/>
              <w:rPr>
                <w:sz w:val="1"/>
                <w:szCs w:val="1"/>
                <w:color w:val="auto"/>
              </w:rPr>
            </w:pPr>
          </w:p>
        </w:tc>
      </w:tr>
      <w:tr>
        <w:trPr>
          <w:trHeight w:val="205"/>
        </w:trPr>
        <w:tc>
          <w:tcPr>
            <w:tcW w:w="9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12/6/2022</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10,783</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32,349</w:t>
            </w:r>
          </w:p>
        </w:tc>
        <w:tc>
          <w:tcPr>
            <w:tcW w:w="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9"/>
              </w:rPr>
              <w:t>(14)</w:t>
            </w: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90.26</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12/6/2032</w:t>
            </w:r>
          </w:p>
        </w:tc>
        <w:tc>
          <w:tcPr>
            <w:tcW w:w="1060" w:type="dxa"/>
            <w:vAlign w:val="bottom"/>
            <w:gridSpan w:val="2"/>
            <w:vMerge w:val="restart"/>
          </w:tcPr>
          <w:p>
            <w:pPr>
              <w:jc w:val="right"/>
              <w:ind w:right="69"/>
              <w:spacing w:after="0"/>
              <w:rPr>
                <w:sz w:val="20"/>
                <w:szCs w:val="20"/>
                <w:color w:val="auto"/>
              </w:rPr>
            </w:pPr>
            <w:r>
              <w:rPr>
                <w:rFonts w:ascii="Times New Roman" w:cs="Times New Roman" w:eastAsia="Times New Roman" w:hAnsi="Times New Roman"/>
                <w:sz w:val="12"/>
                <w:szCs w:val="12"/>
                <w:color w:val="auto"/>
              </w:rPr>
              <w:t>1,754</w:t>
            </w:r>
          </w:p>
        </w:tc>
        <w:tc>
          <w:tcPr>
            <w:tcW w:w="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(13)</w:t>
            </w:r>
          </w:p>
        </w:tc>
        <w:tc>
          <w:tcPr>
            <w:tcW w:w="860" w:type="dxa"/>
            <w:vAlign w:val="bottom"/>
          </w:tcPr>
          <w:p>
            <w:pPr>
              <w:jc w:val="right"/>
              <w:ind w:right="165"/>
              <w:spacing w:after="0"/>
              <w:rPr>
                <w:sz w:val="20"/>
                <w:szCs w:val="20"/>
                <w:color w:val="auto"/>
              </w:rPr>
            </w:pPr>
            <w:r>
              <w:rPr>
                <w:rFonts w:ascii="Times New Roman" w:cs="Times New Roman" w:eastAsia="Times New Roman" w:hAnsi="Times New Roman"/>
                <w:sz w:val="12"/>
                <w:szCs w:val="12"/>
                <w:color w:val="auto"/>
              </w:rPr>
              <w:t>178,013</w:t>
            </w:r>
          </w:p>
        </w:tc>
        <w:tc>
          <w:tcPr>
            <w:tcW w:w="840" w:type="dxa"/>
            <w:vAlign w:val="bottom"/>
          </w:tcPr>
          <w:p>
            <w:pPr>
              <w:jc w:val="right"/>
              <w:ind w:right="27"/>
              <w:spacing w:after="0"/>
              <w:rPr>
                <w:sz w:val="20"/>
                <w:szCs w:val="20"/>
                <w:color w:val="auto"/>
              </w:rPr>
            </w:pPr>
            <w:r>
              <w:rPr>
                <w:rFonts w:ascii="Times New Roman" w:cs="Times New Roman" w:eastAsia="Times New Roman" w:hAnsi="Times New Roman"/>
                <w:sz w:val="12"/>
                <w:szCs w:val="12"/>
                <w:color w:val="auto"/>
              </w:rPr>
              <w:t>15,784</w:t>
            </w:r>
          </w:p>
        </w:tc>
        <w:tc>
          <w:tcPr>
            <w:tcW w:w="420" w:type="dxa"/>
            <w:vAlign w:val="bottom"/>
          </w:tcPr>
          <w:p>
            <w:pPr>
              <w:jc w:val="center"/>
              <w:ind w:right="42"/>
              <w:spacing w:after="0"/>
              <w:rPr>
                <w:sz w:val="20"/>
                <w:szCs w:val="20"/>
                <w:color w:val="auto"/>
              </w:rPr>
            </w:pPr>
            <w:r>
              <w:rPr>
                <w:rFonts w:ascii="Times New Roman" w:cs="Times New Roman" w:eastAsia="Times New Roman" w:hAnsi="Times New Roman"/>
                <w:sz w:val="12"/>
                <w:szCs w:val="12"/>
                <w:color w:val="auto"/>
                <w:w w:val="99"/>
              </w:rPr>
              <w:t>(13)</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1,601,918</w:t>
            </w:r>
          </w:p>
        </w:tc>
        <w:tc>
          <w:tcPr>
            <w:tcW w:w="0" w:type="dxa"/>
            <w:vAlign w:val="bottom"/>
          </w:tcPr>
          <w:p>
            <w:pPr>
              <w:spacing w:after="0"/>
              <w:rPr>
                <w:sz w:val="1"/>
                <w:szCs w:val="1"/>
                <w:color w:val="auto"/>
              </w:rPr>
            </w:pPr>
          </w:p>
        </w:tc>
      </w:tr>
      <w:tr>
        <w:trPr>
          <w:trHeight w:val="65"/>
        </w:trPr>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12/12/2023</w:t>
            </w: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40,309</w:t>
            </w: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w:t>
            </w: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91.66</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12/12/2033</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jc w:val="right"/>
              <w:ind w:right="27"/>
              <w:spacing w:after="0"/>
              <w:rPr>
                <w:sz w:val="20"/>
                <w:szCs w:val="20"/>
                <w:color w:val="auto"/>
              </w:rPr>
            </w:pPr>
            <w:r>
              <w:rPr>
                <w:rFonts w:ascii="Times New Roman" w:cs="Times New Roman" w:eastAsia="Times New Roman" w:hAnsi="Times New Roman"/>
                <w:sz w:val="12"/>
                <w:szCs w:val="12"/>
                <w:color w:val="auto"/>
              </w:rPr>
              <w:t>17,270</w:t>
            </w:r>
          </w:p>
        </w:tc>
        <w:tc>
          <w:tcPr>
            <w:tcW w:w="420" w:type="dxa"/>
            <w:vAlign w:val="bottom"/>
          </w:tcPr>
          <w:p>
            <w:pPr>
              <w:jc w:val="center"/>
              <w:ind w:right="42"/>
              <w:spacing w:after="0"/>
              <w:rPr>
                <w:sz w:val="20"/>
                <w:szCs w:val="20"/>
                <w:color w:val="auto"/>
              </w:rPr>
            </w:pPr>
            <w:r>
              <w:rPr>
                <w:rFonts w:ascii="Times New Roman" w:cs="Times New Roman" w:eastAsia="Times New Roman" w:hAnsi="Times New Roman"/>
                <w:sz w:val="12"/>
                <w:szCs w:val="12"/>
                <w:color w:val="auto"/>
                <w:w w:val="85"/>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1,752,732</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8502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300"/>
          </w:cols>
          <w:pgMar w:left="300" w:top="458" w:right="2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38"/>
        </w:trPr>
        <w:tc>
          <w:tcPr>
            <w:tcW w:w="1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Restricted Stock Awards</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jc w:val="center"/>
              <w:ind w:right="7"/>
              <w:spacing w:after="0" w:line="94" w:lineRule="exact"/>
              <w:rPr>
                <w:sz w:val="20"/>
                <w:szCs w:val="20"/>
                <w:color w:val="auto"/>
              </w:rPr>
            </w:pPr>
            <w:r>
              <w:rPr>
                <w:rFonts w:ascii="Times New Roman" w:cs="Times New Roman" w:eastAsia="Times New Roman" w:hAnsi="Times New Roman"/>
                <w:sz w:val="10"/>
                <w:szCs w:val="10"/>
                <w:b w:val="1"/>
                <w:bCs w:val="1"/>
                <w:color w:val="auto"/>
              </w:rPr>
              <w:t>Equity</w:t>
            </w: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Incentive</w:t>
            </w:r>
          </w:p>
        </w:tc>
        <w:tc>
          <w:tcPr>
            <w:tcW w:w="40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Plan</w:t>
            </w:r>
          </w:p>
        </w:tc>
        <w:tc>
          <w:tcPr>
            <w:tcW w:w="40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Incentive</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Awards:</w:t>
            </w:r>
          </w:p>
        </w:tc>
        <w:tc>
          <w:tcPr>
            <w:tcW w:w="400" w:type="dxa"/>
            <w:vAlign w:val="bottom"/>
          </w:tcPr>
          <w:p>
            <w:pPr>
              <w:spacing w:after="0"/>
              <w:rPr>
                <w:sz w:val="10"/>
                <w:szCs w:val="10"/>
                <w:color w:val="auto"/>
              </w:rPr>
            </w:pPr>
          </w:p>
        </w:tc>
        <w:tc>
          <w:tcPr>
            <w:tcW w:w="86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Plan</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0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Awards:</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of</w:t>
            </w:r>
          </w:p>
        </w:tc>
        <w:tc>
          <w:tcPr>
            <w:tcW w:w="40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Market or</w:t>
            </w:r>
          </w:p>
        </w:tc>
        <w:tc>
          <w:tcPr>
            <w:tcW w:w="0" w:type="dxa"/>
            <w:vAlign w:val="bottom"/>
          </w:tcPr>
          <w:p>
            <w:pPr>
              <w:spacing w:after="0"/>
              <w:rPr>
                <w:sz w:val="1"/>
                <w:szCs w:val="1"/>
                <w:color w:val="auto"/>
              </w:rPr>
            </w:pPr>
          </w:p>
        </w:tc>
      </w:tr>
      <w:tr>
        <w:trPr>
          <w:trHeight w:val="113"/>
        </w:trPr>
        <w:tc>
          <w:tcPr>
            <w:tcW w:w="1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Incentive</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jc w:val="center"/>
              <w:ind w:right="125"/>
              <w:spacing w:after="0" w:line="113" w:lineRule="exact"/>
              <w:rPr>
                <w:sz w:val="20"/>
                <w:szCs w:val="20"/>
                <w:color w:val="auto"/>
              </w:rPr>
            </w:pPr>
            <w:r>
              <w:rPr>
                <w:rFonts w:ascii="Times New Roman" w:cs="Times New Roman" w:eastAsia="Times New Roman" w:hAnsi="Times New Roman"/>
                <w:sz w:val="10"/>
                <w:szCs w:val="10"/>
                <w:b w:val="1"/>
                <w:bCs w:val="1"/>
                <w:color w:val="auto"/>
                <w:w w:val="99"/>
              </w:rPr>
              <w:t>Market</w:t>
            </w:r>
          </w:p>
        </w:tc>
        <w:tc>
          <w:tcPr>
            <w:tcW w:w="760" w:type="dxa"/>
            <w:vAlign w:val="bottom"/>
          </w:tcPr>
          <w:p>
            <w:pPr>
              <w:jc w:val="center"/>
              <w:ind w:right="7"/>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Unearned</w:t>
            </w:r>
          </w:p>
        </w:tc>
        <w:tc>
          <w:tcPr>
            <w:tcW w:w="400" w:type="dxa"/>
            <w:vAlign w:val="bottom"/>
          </w:tcPr>
          <w:p>
            <w:pPr>
              <w:spacing w:after="0"/>
              <w:rPr>
                <w:sz w:val="9"/>
                <w:szCs w:val="9"/>
                <w:color w:val="auto"/>
              </w:rPr>
            </w:pPr>
          </w:p>
        </w:tc>
        <w:tc>
          <w:tcPr>
            <w:tcW w:w="8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7"/>
              </w:rPr>
              <w:t>Payout Value</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Plan</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rPr>
              <w:t>Value of</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of Unearned</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900" w:type="dxa"/>
            <w:vAlign w:val="bottom"/>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2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Awards:</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400" w:type="dxa"/>
            <w:vAlign w:val="bottom"/>
          </w:tcPr>
          <w:p>
            <w:pPr>
              <w:spacing w:after="0"/>
              <w:rPr>
                <w:sz w:val="10"/>
                <w:szCs w:val="10"/>
                <w:color w:val="auto"/>
              </w:rPr>
            </w:pPr>
          </w:p>
        </w:tc>
        <w:tc>
          <w:tcPr>
            <w:tcW w:w="860" w:type="dxa"/>
            <w:vAlign w:val="bottom"/>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w w:val="97"/>
              </w:rPr>
              <w:t>Shares or</w:t>
            </w:r>
          </w:p>
        </w:tc>
        <w:tc>
          <w:tcPr>
            <w:tcW w:w="76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6"/>
              </w:rPr>
              <w:t>Units</w:t>
            </w:r>
          </w:p>
        </w:tc>
        <w:tc>
          <w:tcPr>
            <w:tcW w:w="40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Shares, Units</w:t>
            </w:r>
          </w:p>
        </w:tc>
        <w:tc>
          <w:tcPr>
            <w:tcW w:w="0" w:type="dxa"/>
            <w:vAlign w:val="bottom"/>
          </w:tcPr>
          <w:p>
            <w:pPr>
              <w:spacing w:after="0"/>
              <w:rPr>
                <w:sz w:val="1"/>
                <w:szCs w:val="1"/>
                <w:color w:val="auto"/>
              </w:rPr>
            </w:pPr>
          </w:p>
        </w:tc>
      </w:tr>
      <w:tr>
        <w:trPr>
          <w:trHeight w:val="82"/>
        </w:trPr>
        <w:tc>
          <w:tcPr>
            <w:tcW w:w="1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Securities</w:t>
            </w:r>
          </w:p>
        </w:tc>
        <w:tc>
          <w:tcPr>
            <w:tcW w:w="900" w:type="dxa"/>
            <w:vAlign w:val="bottom"/>
            <w:vMerge w:val="restart"/>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rPr>
              <w:t>Securities</w:t>
            </w:r>
          </w:p>
        </w:tc>
        <w:tc>
          <w:tcPr>
            <w:tcW w:w="280" w:type="dxa"/>
            <w:vAlign w:val="bottom"/>
          </w:tcPr>
          <w:p>
            <w:pPr>
              <w:spacing w:after="0"/>
              <w:rPr>
                <w:sz w:val="7"/>
                <w:szCs w:val="7"/>
                <w:color w:val="auto"/>
              </w:rPr>
            </w:pPr>
          </w:p>
        </w:tc>
        <w:tc>
          <w:tcPr>
            <w:tcW w:w="80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Number of</w:t>
            </w: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Shares or</w:t>
            </w:r>
          </w:p>
        </w:tc>
        <w:tc>
          <w:tcPr>
            <w:tcW w:w="400" w:type="dxa"/>
            <w:vAlign w:val="bottom"/>
          </w:tcPr>
          <w:p>
            <w:pPr>
              <w:spacing w:after="0"/>
              <w:rPr>
                <w:sz w:val="7"/>
                <w:szCs w:val="7"/>
                <w:color w:val="auto"/>
              </w:rPr>
            </w:pPr>
          </w:p>
        </w:tc>
        <w:tc>
          <w:tcPr>
            <w:tcW w:w="860" w:type="dxa"/>
            <w:vAlign w:val="bottom"/>
            <w:vMerge w:val="restart"/>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w w:val="95"/>
              </w:rPr>
              <w:t>Units of</w:t>
            </w:r>
          </w:p>
        </w:tc>
        <w:tc>
          <w:tcPr>
            <w:tcW w:w="760" w:type="dxa"/>
            <w:vAlign w:val="bottom"/>
            <w:vMerge w:val="restart"/>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or Other</w:t>
            </w:r>
          </w:p>
        </w:tc>
        <w:tc>
          <w:tcPr>
            <w:tcW w:w="400" w:type="dxa"/>
            <w:vAlign w:val="bottom"/>
          </w:tcPr>
          <w:p>
            <w:pPr>
              <w:spacing w:after="0"/>
              <w:rPr>
                <w:sz w:val="7"/>
                <w:szCs w:val="7"/>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or</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Underlying</w:t>
            </w:r>
          </w:p>
        </w:tc>
        <w:tc>
          <w:tcPr>
            <w:tcW w:w="900" w:type="dxa"/>
            <w:vAlign w:val="bottom"/>
            <w:vMerge w:val="restart"/>
          </w:tcPr>
          <w:p>
            <w:pPr>
              <w:jc w:val="center"/>
              <w:ind w:right="86"/>
              <w:spacing w:after="0"/>
              <w:rPr>
                <w:sz w:val="20"/>
                <w:szCs w:val="20"/>
                <w:color w:val="auto"/>
              </w:rPr>
            </w:pPr>
            <w:r>
              <w:rPr>
                <w:rFonts w:ascii="Times New Roman" w:cs="Times New Roman" w:eastAsia="Times New Roman" w:hAnsi="Times New Roman"/>
                <w:sz w:val="10"/>
                <w:szCs w:val="10"/>
                <w:b w:val="1"/>
                <w:bCs w:val="1"/>
                <w:color w:val="auto"/>
                <w:w w:val="99"/>
              </w:rPr>
              <w:t>Underlying</w:t>
            </w:r>
          </w:p>
        </w:tc>
        <w:tc>
          <w:tcPr>
            <w:tcW w:w="2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restart"/>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Units of</w:t>
            </w:r>
          </w:p>
        </w:tc>
        <w:tc>
          <w:tcPr>
            <w:tcW w:w="400" w:type="dxa"/>
            <w:vAlign w:val="bottom"/>
          </w:tcPr>
          <w:p>
            <w:pPr>
              <w:spacing w:after="0"/>
              <w:rPr>
                <w:sz w:val="4"/>
                <w:szCs w:val="4"/>
                <w:color w:val="auto"/>
              </w:rPr>
            </w:pPr>
          </w:p>
        </w:tc>
        <w:tc>
          <w:tcPr>
            <w:tcW w:w="860" w:type="dxa"/>
            <w:vAlign w:val="bottom"/>
            <w:vMerge w:val="restart"/>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rPr>
              <w:t>Stock</w:t>
            </w:r>
          </w:p>
        </w:tc>
        <w:tc>
          <w:tcPr>
            <w:tcW w:w="760" w:type="dxa"/>
            <w:vAlign w:val="bottom"/>
            <w:vMerge w:val="restart"/>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rPr>
              <w:t>Rights</w:t>
            </w:r>
          </w:p>
        </w:tc>
        <w:tc>
          <w:tcPr>
            <w:tcW w:w="400" w:type="dxa"/>
            <w:vAlign w:val="bottom"/>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Other Rights</w:t>
            </w:r>
          </w:p>
        </w:tc>
        <w:tc>
          <w:tcPr>
            <w:tcW w:w="0" w:type="dxa"/>
            <w:vAlign w:val="bottom"/>
          </w:tcPr>
          <w:p>
            <w:pPr>
              <w:spacing w:after="0"/>
              <w:rPr>
                <w:sz w:val="1"/>
                <w:szCs w:val="1"/>
                <w:color w:val="auto"/>
              </w:rPr>
            </w:pPr>
          </w:p>
        </w:tc>
      </w:tr>
      <w:tr>
        <w:trPr>
          <w:trHeight w:val="65"/>
        </w:trPr>
        <w:tc>
          <w:tcPr>
            <w:tcW w:w="1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Unexercised</w:t>
            </w:r>
          </w:p>
        </w:tc>
        <w:tc>
          <w:tcPr>
            <w:tcW w:w="900" w:type="dxa"/>
            <w:vAlign w:val="bottom"/>
            <w:vMerge w:val="restart"/>
          </w:tcPr>
          <w:p>
            <w:pPr>
              <w:jc w:val="center"/>
              <w:ind w:right="86"/>
              <w:spacing w:after="0"/>
              <w:rPr>
                <w:sz w:val="20"/>
                <w:szCs w:val="20"/>
                <w:color w:val="auto"/>
              </w:rPr>
            </w:pPr>
            <w:r>
              <w:rPr>
                <w:rFonts w:ascii="Times New Roman" w:cs="Times New Roman" w:eastAsia="Times New Roman" w:hAnsi="Times New Roman"/>
                <w:sz w:val="10"/>
                <w:szCs w:val="10"/>
                <w:b w:val="1"/>
                <w:bCs w:val="1"/>
                <w:color w:val="auto"/>
                <w:w w:val="99"/>
              </w:rPr>
              <w:t>Unexercised</w:t>
            </w:r>
          </w:p>
        </w:tc>
        <w:tc>
          <w:tcPr>
            <w:tcW w:w="2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vMerge w:val="restart"/>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w w:val="99"/>
              </w:rPr>
              <w:t>Exercise</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140" w:type="dxa"/>
            <w:vAlign w:val="bottom"/>
          </w:tcPr>
          <w:p>
            <w:pPr>
              <w:spacing w:after="0"/>
              <w:rPr>
                <w:sz w:val="3"/>
                <w:szCs w:val="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Stock That</w:t>
            </w:r>
          </w:p>
        </w:tc>
        <w:tc>
          <w:tcPr>
            <w:tcW w:w="400" w:type="dxa"/>
            <w:vAlign w:val="bottom"/>
          </w:tcPr>
          <w:p>
            <w:pPr>
              <w:spacing w:after="0"/>
              <w:rPr>
                <w:sz w:val="3"/>
                <w:szCs w:val="3"/>
                <w:color w:val="auto"/>
              </w:rPr>
            </w:pPr>
          </w:p>
        </w:tc>
        <w:tc>
          <w:tcPr>
            <w:tcW w:w="860" w:type="dxa"/>
            <w:vAlign w:val="bottom"/>
            <w:vMerge w:val="restart"/>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w w:val="97"/>
              </w:rPr>
              <w:t>That</w:t>
            </w:r>
          </w:p>
        </w:tc>
        <w:tc>
          <w:tcPr>
            <w:tcW w:w="760" w:type="dxa"/>
            <w:vAlign w:val="bottom"/>
            <w:vMerge w:val="restart"/>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that</w:t>
            </w:r>
          </w:p>
        </w:tc>
        <w:tc>
          <w:tcPr>
            <w:tcW w:w="400" w:type="dxa"/>
            <w:vAlign w:val="bottom"/>
          </w:tcPr>
          <w:p>
            <w:pPr>
              <w:spacing w:after="0"/>
              <w:rPr>
                <w:sz w:val="3"/>
                <w:szCs w:val="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That Have</w:t>
            </w: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w w:val="99"/>
              </w:rPr>
              <w:t>Unexercised</w:t>
            </w:r>
          </w:p>
        </w:tc>
        <w:tc>
          <w:tcPr>
            <w:tcW w:w="2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Options (#)</w:t>
            </w:r>
          </w:p>
        </w:tc>
        <w:tc>
          <w:tcPr>
            <w:tcW w:w="900" w:type="dxa"/>
            <w:vAlign w:val="bottom"/>
          </w:tcPr>
          <w:p>
            <w:pPr>
              <w:jc w:val="center"/>
              <w:ind w:right="86"/>
              <w:spacing w:after="0" w:line="108" w:lineRule="exact"/>
              <w:rPr>
                <w:sz w:val="20"/>
                <w:szCs w:val="20"/>
                <w:color w:val="auto"/>
              </w:rPr>
            </w:pPr>
            <w:r>
              <w:rPr>
                <w:rFonts w:ascii="Times New Roman" w:cs="Times New Roman" w:eastAsia="Times New Roman" w:hAnsi="Times New Roman"/>
                <w:sz w:val="10"/>
                <w:szCs w:val="10"/>
                <w:b w:val="1"/>
                <w:bCs w:val="1"/>
                <w:color w:val="auto"/>
                <w:w w:val="99"/>
              </w:rPr>
              <w:t>Options (#)</w:t>
            </w:r>
          </w:p>
        </w:tc>
        <w:tc>
          <w:tcPr>
            <w:tcW w:w="28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Unearned</w:t>
            </w:r>
          </w:p>
        </w:tc>
        <w:tc>
          <w:tcPr>
            <w:tcW w:w="220" w:type="dxa"/>
            <w:vAlign w:val="bottom"/>
          </w:tcPr>
          <w:p>
            <w:pPr>
              <w:spacing w:after="0"/>
              <w:rPr>
                <w:sz w:val="9"/>
                <w:szCs w:val="9"/>
                <w:color w:val="auto"/>
              </w:rPr>
            </w:pPr>
          </w:p>
        </w:tc>
        <w:tc>
          <w:tcPr>
            <w:tcW w:w="740" w:type="dxa"/>
            <w:vAlign w:val="bottom"/>
          </w:tcPr>
          <w:p>
            <w:pPr>
              <w:jc w:val="center"/>
              <w:ind w:right="63"/>
              <w:spacing w:after="0" w:line="108" w:lineRule="exact"/>
              <w:rPr>
                <w:sz w:val="20"/>
                <w:szCs w:val="20"/>
                <w:color w:val="auto"/>
              </w:rPr>
            </w:pPr>
            <w:r>
              <w:rPr>
                <w:rFonts w:ascii="Times New Roman" w:cs="Times New Roman" w:eastAsia="Times New Roman" w:hAnsi="Times New Roman"/>
                <w:sz w:val="10"/>
                <w:szCs w:val="10"/>
                <w:b w:val="1"/>
                <w:bCs w:val="1"/>
                <w:color w:val="auto"/>
                <w:w w:val="98"/>
              </w:rPr>
              <w:t>Price</w:t>
            </w:r>
          </w:p>
        </w:tc>
        <w:tc>
          <w:tcPr>
            <w:tcW w:w="82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Expiration</w:t>
            </w:r>
          </w:p>
        </w:tc>
        <w:tc>
          <w:tcPr>
            <w:tcW w:w="14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Have Not</w:t>
            </w:r>
          </w:p>
        </w:tc>
        <w:tc>
          <w:tcPr>
            <w:tcW w:w="400" w:type="dxa"/>
            <w:vAlign w:val="bottom"/>
          </w:tcPr>
          <w:p>
            <w:pPr>
              <w:spacing w:after="0"/>
              <w:rPr>
                <w:sz w:val="9"/>
                <w:szCs w:val="9"/>
                <w:color w:val="auto"/>
              </w:rPr>
            </w:pPr>
          </w:p>
        </w:tc>
        <w:tc>
          <w:tcPr>
            <w:tcW w:w="860" w:type="dxa"/>
            <w:vAlign w:val="bottom"/>
          </w:tcPr>
          <w:p>
            <w:pPr>
              <w:jc w:val="center"/>
              <w:ind w:right="125"/>
              <w:spacing w:after="0" w:line="108" w:lineRule="exact"/>
              <w:rPr>
                <w:sz w:val="20"/>
                <w:szCs w:val="20"/>
                <w:color w:val="auto"/>
              </w:rPr>
            </w:pPr>
            <w:r>
              <w:rPr>
                <w:rFonts w:ascii="Times New Roman" w:cs="Times New Roman" w:eastAsia="Times New Roman" w:hAnsi="Times New Roman"/>
                <w:sz w:val="10"/>
                <w:szCs w:val="10"/>
                <w:b w:val="1"/>
                <w:bCs w:val="1"/>
                <w:color w:val="auto"/>
                <w:w w:val="99"/>
              </w:rPr>
              <w:t>Have Not</w:t>
            </w: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Have Not</w:t>
            </w:r>
          </w:p>
        </w:tc>
        <w:tc>
          <w:tcPr>
            <w:tcW w:w="40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Not</w:t>
            </w:r>
          </w:p>
        </w:tc>
        <w:tc>
          <w:tcPr>
            <w:tcW w:w="0" w:type="dxa"/>
            <w:vAlign w:val="bottom"/>
          </w:tcPr>
          <w:p>
            <w:pPr>
              <w:spacing w:after="0"/>
              <w:rPr>
                <w:sz w:val="1"/>
                <w:szCs w:val="1"/>
                <w:color w:val="auto"/>
              </w:rPr>
            </w:pPr>
          </w:p>
        </w:tc>
      </w:tr>
      <w:tr>
        <w:trPr>
          <w:trHeight w:val="130"/>
        </w:trPr>
        <w:tc>
          <w:tcPr>
            <w:tcW w:w="1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Grant Date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Exercisable</w:t>
            </w:r>
          </w:p>
        </w:tc>
        <w:tc>
          <w:tcPr>
            <w:tcW w:w="90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0"/>
                <w:szCs w:val="10"/>
                <w:b w:val="1"/>
                <w:bCs w:val="1"/>
                <w:color w:val="auto"/>
                <w:w w:val="99"/>
              </w:rPr>
              <w:t>Unexercisable</w:t>
            </w: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Vested (#)</w:t>
            </w:r>
          </w:p>
        </w:tc>
        <w:tc>
          <w:tcPr>
            <w:tcW w:w="4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rPr>
              <w:t>Vested ($)</w:t>
            </w:r>
          </w:p>
        </w:tc>
        <w:tc>
          <w:tcPr>
            <w:tcW w:w="76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7"/>
              </w:rPr>
              <w:t>Vested (#)</w:t>
            </w:r>
          </w:p>
        </w:tc>
        <w:tc>
          <w:tcPr>
            <w:tcW w:w="4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Vested ($)</w:t>
            </w:r>
          </w:p>
        </w:tc>
        <w:tc>
          <w:tcPr>
            <w:tcW w:w="0" w:type="dxa"/>
            <w:vAlign w:val="bottom"/>
          </w:tcPr>
          <w:p>
            <w:pPr>
              <w:spacing w:after="0"/>
              <w:rPr>
                <w:sz w:val="1"/>
                <w:szCs w:val="1"/>
                <w:color w:val="auto"/>
              </w:rPr>
            </w:pPr>
          </w:p>
        </w:tc>
      </w:tr>
      <w:tr>
        <w:trPr>
          <w:trHeight w:val="164"/>
        </w:trPr>
        <w:tc>
          <w:tcPr>
            <w:tcW w:w="1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xml:space="preserve">Nikos </w:t>
            </w:r>
            <w:r>
              <w:rPr>
                <w:rFonts w:ascii="Times New Roman" w:cs="Times New Roman" w:eastAsia="Times New Roman" w:hAnsi="Times New Roman"/>
                <w:sz w:val="14"/>
                <w:szCs w:val="14"/>
                <w:color w:val="auto"/>
              </w:rPr>
              <w:t>Fountas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12/10/2014</w:t>
            </w: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21,479</w:t>
            </w: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56.24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12/10/2024</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5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12/10/2015</w:t>
            </w: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16,341</w:t>
            </w: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74.72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12/10/2025</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12/13/2016</w:t>
            </w: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19,759</w:t>
            </w: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73.72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12/13/2026</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12/12/2017</w:t>
            </w: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17,488</w:t>
            </w: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91.99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12/12/2027</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12/12/2018</w:t>
            </w: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13,457</w:t>
            </w: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111.45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12/12/2028</w:t>
            </w:r>
          </w:p>
        </w:tc>
        <w:tc>
          <w:tcPr>
            <w:tcW w:w="10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359</w:t>
            </w:r>
          </w:p>
        </w:tc>
        <w:tc>
          <w:tcPr>
            <w:tcW w:w="40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99"/>
              </w:rPr>
              <w:t>(2)</w:t>
            </w:r>
          </w:p>
        </w:tc>
        <w:tc>
          <w:tcPr>
            <w:tcW w:w="8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36,435</w:t>
            </w: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4/4/2019</w:t>
            </w: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13,620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13,619</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5"/>
              </w:rPr>
              <w:t>(6)</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141.03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4/4/2029</w:t>
            </w:r>
          </w:p>
        </w:tc>
        <w:tc>
          <w:tcPr>
            <w:tcW w:w="10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4,431</w:t>
            </w:r>
          </w:p>
        </w:tc>
        <w:tc>
          <w:tcPr>
            <w:tcW w:w="40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99"/>
              </w:rPr>
              <w:t>(7)</w:t>
            </w:r>
          </w:p>
        </w:tc>
        <w:tc>
          <w:tcPr>
            <w:tcW w:w="8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449,702</w:t>
            </w: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4/4/2019</w:t>
            </w: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8,403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10,979</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5"/>
              </w:rPr>
              <w:t>(8)</w:t>
            </w:r>
          </w:p>
        </w:tc>
        <w:tc>
          <w:tcPr>
            <w:tcW w:w="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36,506</w:t>
            </w:r>
          </w:p>
        </w:tc>
        <w:tc>
          <w:tcPr>
            <w:tcW w:w="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9"/>
              </w:rPr>
              <w:t>(8)</w:t>
            </w: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141.03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4/4/2029</w:t>
            </w:r>
          </w:p>
        </w:tc>
        <w:tc>
          <w:tcPr>
            <w:tcW w:w="10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3,573</w:t>
            </w:r>
          </w:p>
        </w:tc>
        <w:tc>
          <w:tcPr>
            <w:tcW w:w="40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99"/>
              </w:rPr>
              <w:t>(9)</w:t>
            </w:r>
          </w:p>
        </w:tc>
        <w:tc>
          <w:tcPr>
            <w:tcW w:w="8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362,624</w:t>
            </w:r>
          </w:p>
        </w:tc>
        <w:tc>
          <w:tcPr>
            <w:tcW w:w="7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2"/>
                <w:szCs w:val="12"/>
                <w:color w:val="auto"/>
              </w:rPr>
              <w:t>11,879</w:t>
            </w:r>
          </w:p>
        </w:tc>
        <w:tc>
          <w:tcPr>
            <w:tcW w:w="40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99"/>
              </w:rPr>
              <w:t>(9)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1,205,600</w:t>
            </w: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12/10/2019</w:t>
            </w: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14,799</w:t>
            </w: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154.28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12/10/2029</w:t>
            </w:r>
          </w:p>
        </w:tc>
        <w:tc>
          <w:tcPr>
            <w:tcW w:w="10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389</w:t>
            </w:r>
          </w:p>
        </w:tc>
        <w:tc>
          <w:tcPr>
            <w:tcW w:w="40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99"/>
              </w:rPr>
              <w:t>(3)</w:t>
            </w:r>
          </w:p>
        </w:tc>
        <w:tc>
          <w:tcPr>
            <w:tcW w:w="8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39,480</w:t>
            </w: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11/5/2020</w:t>
            </w: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66,667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133,333</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98.46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11/5/2030</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12/7/2021</w:t>
            </w: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16,616</w:t>
            </w: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16,616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(12)</w:t>
            </w: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116.08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12/7/2031</w:t>
            </w:r>
          </w:p>
        </w:tc>
        <w:tc>
          <w:tcPr>
            <w:tcW w:w="10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1,154</w:t>
            </w:r>
          </w:p>
        </w:tc>
        <w:tc>
          <w:tcPr>
            <w:tcW w:w="40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89"/>
              </w:rPr>
              <w:t>(11)</w:t>
            </w:r>
          </w:p>
        </w:tc>
        <w:tc>
          <w:tcPr>
            <w:tcW w:w="8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117,119</w:t>
            </w:r>
          </w:p>
        </w:tc>
        <w:tc>
          <w:tcPr>
            <w:tcW w:w="7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2"/>
                <w:szCs w:val="12"/>
                <w:color w:val="auto"/>
              </w:rPr>
              <w:t>9,229</w:t>
            </w:r>
          </w:p>
        </w:tc>
        <w:tc>
          <w:tcPr>
            <w:tcW w:w="40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89"/>
              </w:rPr>
              <w:t>(11)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936,651</w:t>
            </w:r>
          </w:p>
        </w:tc>
        <w:tc>
          <w:tcPr>
            <w:tcW w:w="0" w:type="dxa"/>
            <w:vAlign w:val="bottom"/>
          </w:tcPr>
          <w:p>
            <w:pPr>
              <w:spacing w:after="0"/>
              <w:rPr>
                <w:sz w:val="1"/>
                <w:szCs w:val="1"/>
                <w:color w:val="auto"/>
              </w:rPr>
            </w:pPr>
          </w:p>
        </w:tc>
      </w:tr>
      <w:tr>
        <w:trPr>
          <w:trHeight w:val="173"/>
        </w:trPr>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12/6/2022</w:t>
            </w: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10,106</w:t>
            </w: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30,316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(14)</w:t>
            </w: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90.26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12/6/2032</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1,644</w:t>
            </w:r>
          </w:p>
        </w:tc>
        <w:tc>
          <w:tcPr>
            <w:tcW w:w="40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89"/>
              </w:rPr>
              <w:t>(13)</w:t>
            </w:r>
          </w:p>
        </w:tc>
        <w:tc>
          <w:tcPr>
            <w:tcW w:w="8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166,850</w:t>
            </w:r>
          </w:p>
        </w:tc>
        <w:tc>
          <w:tcPr>
            <w:tcW w:w="7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2"/>
                <w:szCs w:val="12"/>
                <w:color w:val="auto"/>
              </w:rPr>
              <w:t>14,792</w:t>
            </w:r>
          </w:p>
        </w:tc>
        <w:tc>
          <w:tcPr>
            <w:tcW w:w="40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89"/>
              </w:rPr>
              <w:t>(13)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1,501,240</w:t>
            </w:r>
          </w:p>
        </w:tc>
        <w:tc>
          <w:tcPr>
            <w:tcW w:w="0" w:type="dxa"/>
            <w:vAlign w:val="bottom"/>
          </w:tcPr>
          <w:p>
            <w:pPr>
              <w:spacing w:after="0"/>
              <w:rPr>
                <w:sz w:val="1"/>
                <w:szCs w:val="1"/>
                <w:color w:val="auto"/>
              </w:rPr>
            </w:pPr>
          </w:p>
        </w:tc>
      </w:tr>
      <w:tr>
        <w:trPr>
          <w:trHeight w:val="184"/>
        </w:trPr>
        <w:tc>
          <w:tcPr>
            <w:tcW w:w="15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12/12/2023</w:t>
            </w:r>
          </w:p>
        </w:tc>
        <w:tc>
          <w:tcPr>
            <w:tcW w:w="9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37,777</w:t>
            </w:r>
          </w:p>
        </w:tc>
        <w:tc>
          <w:tcPr>
            <w:tcW w:w="2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9"/>
              </w:rPr>
              <w:t>(1)</w:t>
            </w:r>
          </w:p>
        </w:tc>
        <w:tc>
          <w:tcPr>
            <w:tcW w:w="74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91.66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12/12/2033</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2"/>
                <w:szCs w:val="12"/>
                <w:color w:val="auto"/>
              </w:rPr>
              <w:t>16,185</w:t>
            </w:r>
          </w:p>
        </w:tc>
        <w:tc>
          <w:tcPr>
            <w:tcW w:w="400" w:type="dxa"/>
            <w:vAlign w:val="bottom"/>
            <w:tcBorders>
              <w:bottom w:val="single" w:sz="8" w:color="CCEEFF"/>
            </w:tcBorders>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99"/>
              </w:rPr>
              <w:t>(1)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1,642,616</w:t>
            </w:r>
          </w:p>
        </w:tc>
        <w:tc>
          <w:tcPr>
            <w:tcW w:w="0" w:type="dxa"/>
            <w:vAlign w:val="bottom"/>
          </w:tcPr>
          <w:p>
            <w:pPr>
              <w:spacing w:after="0"/>
              <w:rPr>
                <w:sz w:val="1"/>
                <w:szCs w:val="1"/>
                <w:color w:val="auto"/>
              </w:rPr>
            </w:pPr>
          </w:p>
        </w:tc>
      </w:tr>
      <w:tr>
        <w:trPr>
          <w:trHeight w:val="134"/>
        </w:trPr>
        <w:tc>
          <w:tcPr>
            <w:tcW w:w="150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auto"/>
              </w:rPr>
              <w:t>Kevin J.</w:t>
            </w: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Caponecchi</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12/10/2014</w:t>
            </w: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11,849</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56.24</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12/10/2024</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12/10/2015</w:t>
            </w: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20,426</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74.72</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12/10/2025</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12/13/2016</w:t>
            </w: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19,759</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73.72</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12/13/2026</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12/12/2017</w:t>
            </w: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17,488</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91.99</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12/12/2027</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12/12/2018</w:t>
            </w: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13,457</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111.45</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12/12/2028</w:t>
            </w:r>
          </w:p>
        </w:tc>
        <w:tc>
          <w:tcPr>
            <w:tcW w:w="1000" w:type="dxa"/>
            <w:vAlign w:val="bottom"/>
            <w:gridSpan w:val="2"/>
          </w:tcPr>
          <w:p>
            <w:pPr>
              <w:jc w:val="right"/>
              <w:ind w:right="69"/>
              <w:spacing w:after="0"/>
              <w:rPr>
                <w:sz w:val="20"/>
                <w:szCs w:val="20"/>
                <w:color w:val="auto"/>
              </w:rPr>
            </w:pPr>
            <w:r>
              <w:rPr>
                <w:rFonts w:ascii="Times New Roman" w:cs="Times New Roman" w:eastAsia="Times New Roman" w:hAnsi="Times New Roman"/>
                <w:sz w:val="12"/>
                <w:szCs w:val="12"/>
                <w:color w:val="auto"/>
              </w:rPr>
              <w:t>359</w:t>
            </w:r>
          </w:p>
        </w:tc>
        <w:tc>
          <w:tcPr>
            <w:tcW w:w="40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auto"/>
                <w:w w:val="99"/>
              </w:rPr>
              <w:t>(2)</w:t>
            </w:r>
          </w:p>
        </w:tc>
        <w:tc>
          <w:tcPr>
            <w:tcW w:w="860" w:type="dxa"/>
            <w:vAlign w:val="bottom"/>
          </w:tcPr>
          <w:p>
            <w:pPr>
              <w:jc w:val="right"/>
              <w:ind w:right="65"/>
              <w:spacing w:after="0"/>
              <w:rPr>
                <w:sz w:val="20"/>
                <w:szCs w:val="20"/>
                <w:color w:val="auto"/>
              </w:rPr>
            </w:pPr>
            <w:r>
              <w:rPr>
                <w:rFonts w:ascii="Times New Roman" w:cs="Times New Roman" w:eastAsia="Times New Roman" w:hAnsi="Times New Roman"/>
                <w:sz w:val="12"/>
                <w:szCs w:val="12"/>
                <w:color w:val="auto"/>
              </w:rPr>
              <w:t>36,435</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4/4/2019</w:t>
            </w: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13,620</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13,619</w:t>
            </w:r>
          </w:p>
        </w:tc>
        <w:tc>
          <w:tcPr>
            <w:tcW w:w="2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(6)</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ind w:right="83"/>
              <w:spacing w:after="0"/>
              <w:rPr>
                <w:sz w:val="20"/>
                <w:szCs w:val="20"/>
                <w:color w:val="auto"/>
              </w:rPr>
            </w:pPr>
            <w:r>
              <w:rPr>
                <w:rFonts w:ascii="Times New Roman" w:cs="Times New Roman" w:eastAsia="Times New Roman" w:hAnsi="Times New Roman"/>
                <w:sz w:val="12"/>
                <w:szCs w:val="12"/>
                <w:color w:val="auto"/>
              </w:rPr>
              <w:t>141.03</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4/4/2029</w:t>
            </w:r>
          </w:p>
        </w:tc>
        <w:tc>
          <w:tcPr>
            <w:tcW w:w="1000" w:type="dxa"/>
            <w:vAlign w:val="bottom"/>
            <w:gridSpan w:val="2"/>
          </w:tcPr>
          <w:p>
            <w:pPr>
              <w:jc w:val="right"/>
              <w:ind w:right="49"/>
              <w:spacing w:after="0"/>
              <w:rPr>
                <w:sz w:val="20"/>
                <w:szCs w:val="20"/>
                <w:color w:val="auto"/>
              </w:rPr>
            </w:pPr>
            <w:r>
              <w:rPr>
                <w:rFonts w:ascii="Times New Roman" w:cs="Times New Roman" w:eastAsia="Times New Roman" w:hAnsi="Times New Roman"/>
                <w:sz w:val="12"/>
                <w:szCs w:val="12"/>
                <w:color w:val="auto"/>
              </w:rPr>
              <w:t>4,431</w:t>
            </w:r>
          </w:p>
        </w:tc>
        <w:tc>
          <w:tcPr>
            <w:tcW w:w="40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auto"/>
                <w:w w:val="99"/>
              </w:rPr>
              <w:t>(7)</w:t>
            </w:r>
          </w:p>
        </w:tc>
        <w:tc>
          <w:tcPr>
            <w:tcW w:w="860" w:type="dxa"/>
            <w:vAlign w:val="bottom"/>
          </w:tcPr>
          <w:p>
            <w:pPr>
              <w:jc w:val="right"/>
              <w:ind w:right="105"/>
              <w:spacing w:after="0"/>
              <w:rPr>
                <w:sz w:val="20"/>
                <w:szCs w:val="20"/>
                <w:color w:val="auto"/>
              </w:rPr>
            </w:pPr>
            <w:r>
              <w:rPr>
                <w:rFonts w:ascii="Times New Roman" w:cs="Times New Roman" w:eastAsia="Times New Roman" w:hAnsi="Times New Roman"/>
                <w:sz w:val="12"/>
                <w:szCs w:val="12"/>
                <w:color w:val="auto"/>
              </w:rPr>
              <w:t>449,702</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15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4/4/2019</w:t>
            </w: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8,403</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10,979</w:t>
            </w:r>
          </w:p>
        </w:tc>
        <w:tc>
          <w:tcPr>
            <w:tcW w:w="2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(8)</w:t>
            </w:r>
          </w:p>
        </w:tc>
        <w:tc>
          <w:tcPr>
            <w:tcW w:w="10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 xml:space="preserve">36,506 </w:t>
            </w:r>
            <w:r>
              <w:rPr>
                <w:rFonts w:ascii="Times New Roman" w:cs="Times New Roman" w:eastAsia="Times New Roman" w:hAnsi="Times New Roman"/>
                <w:sz w:val="23"/>
                <w:szCs w:val="23"/>
                <w:color w:val="auto"/>
                <w:vertAlign w:val="superscript"/>
              </w:rPr>
              <w:t>(8)</w:t>
            </w: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141.03</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4/4/2029</w:t>
            </w:r>
          </w:p>
        </w:tc>
        <w:tc>
          <w:tcPr>
            <w:tcW w:w="1000" w:type="dxa"/>
            <w:vAlign w:val="bottom"/>
            <w:gridSpan w:val="2"/>
          </w:tcPr>
          <w:p>
            <w:pPr>
              <w:jc w:val="right"/>
              <w:ind w:right="49"/>
              <w:spacing w:after="0"/>
              <w:rPr>
                <w:sz w:val="20"/>
                <w:szCs w:val="20"/>
                <w:color w:val="auto"/>
              </w:rPr>
            </w:pPr>
            <w:r>
              <w:rPr>
                <w:rFonts w:ascii="Times New Roman" w:cs="Times New Roman" w:eastAsia="Times New Roman" w:hAnsi="Times New Roman"/>
                <w:sz w:val="12"/>
                <w:szCs w:val="12"/>
                <w:color w:val="auto"/>
              </w:rPr>
              <w:t>3,573</w:t>
            </w:r>
          </w:p>
        </w:tc>
        <w:tc>
          <w:tcPr>
            <w:tcW w:w="40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auto"/>
                <w:w w:val="99"/>
              </w:rPr>
              <w:t>(9)</w:t>
            </w:r>
          </w:p>
        </w:tc>
        <w:tc>
          <w:tcPr>
            <w:tcW w:w="860" w:type="dxa"/>
            <w:vAlign w:val="bottom"/>
          </w:tcPr>
          <w:p>
            <w:pPr>
              <w:jc w:val="right"/>
              <w:ind w:right="105"/>
              <w:spacing w:after="0"/>
              <w:rPr>
                <w:sz w:val="20"/>
                <w:szCs w:val="20"/>
                <w:color w:val="auto"/>
              </w:rPr>
            </w:pPr>
            <w:r>
              <w:rPr>
                <w:rFonts w:ascii="Times New Roman" w:cs="Times New Roman" w:eastAsia="Times New Roman" w:hAnsi="Times New Roman"/>
                <w:sz w:val="12"/>
                <w:szCs w:val="12"/>
                <w:color w:val="auto"/>
              </w:rPr>
              <w:t>362,624</w:t>
            </w: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2"/>
                <w:szCs w:val="12"/>
                <w:color w:val="auto"/>
              </w:rPr>
              <w:t>11,879</w:t>
            </w:r>
          </w:p>
        </w:tc>
        <w:tc>
          <w:tcPr>
            <w:tcW w:w="400" w:type="dxa"/>
            <w:vAlign w:val="bottom"/>
          </w:tcPr>
          <w:p>
            <w:pPr>
              <w:jc w:val="center"/>
              <w:ind w:right="22"/>
              <w:spacing w:after="0"/>
              <w:rPr>
                <w:sz w:val="20"/>
                <w:szCs w:val="20"/>
                <w:color w:val="auto"/>
              </w:rPr>
            </w:pPr>
            <w:r>
              <w:rPr>
                <w:rFonts w:ascii="Times New Roman" w:cs="Times New Roman" w:eastAsia="Times New Roman" w:hAnsi="Times New Roman"/>
                <w:sz w:val="12"/>
                <w:szCs w:val="12"/>
                <w:color w:val="auto"/>
                <w:w w:val="85"/>
              </w:rPr>
              <w:t>(9)</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1,205,600</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12/10/2019</w:t>
            </w: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14,799</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154.28</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12/10/2029</w:t>
            </w:r>
          </w:p>
        </w:tc>
        <w:tc>
          <w:tcPr>
            <w:tcW w:w="1000" w:type="dxa"/>
            <w:vAlign w:val="bottom"/>
            <w:gridSpan w:val="2"/>
          </w:tcPr>
          <w:p>
            <w:pPr>
              <w:jc w:val="right"/>
              <w:ind w:right="49"/>
              <w:spacing w:after="0"/>
              <w:rPr>
                <w:sz w:val="20"/>
                <w:szCs w:val="20"/>
                <w:color w:val="auto"/>
              </w:rPr>
            </w:pPr>
            <w:r>
              <w:rPr>
                <w:rFonts w:ascii="Times New Roman" w:cs="Times New Roman" w:eastAsia="Times New Roman" w:hAnsi="Times New Roman"/>
                <w:sz w:val="12"/>
                <w:szCs w:val="12"/>
                <w:color w:val="auto"/>
              </w:rPr>
              <w:t>389</w:t>
            </w: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860" w:type="dxa"/>
            <w:vAlign w:val="bottom"/>
          </w:tcPr>
          <w:p>
            <w:pPr>
              <w:jc w:val="right"/>
              <w:ind w:right="105"/>
              <w:spacing w:after="0"/>
              <w:rPr>
                <w:sz w:val="20"/>
                <w:szCs w:val="20"/>
                <w:color w:val="auto"/>
              </w:rPr>
            </w:pPr>
            <w:r>
              <w:rPr>
                <w:rFonts w:ascii="Times New Roman" w:cs="Times New Roman" w:eastAsia="Times New Roman" w:hAnsi="Times New Roman"/>
                <w:sz w:val="12"/>
                <w:szCs w:val="12"/>
                <w:color w:val="auto"/>
              </w:rPr>
              <w:t>39,480</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11/5/2020</w:t>
            </w: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66,667</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133,333</w:t>
            </w:r>
          </w:p>
        </w:tc>
        <w:tc>
          <w:tcPr>
            <w:tcW w:w="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2"/>
                <w:szCs w:val="12"/>
                <w:color w:val="auto"/>
              </w:rPr>
              <w:t>98.46</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11/5/2030</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12/7/2021</w:t>
            </w: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16,616</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w w:val="99"/>
              </w:rPr>
              <w:t>16,616 (12)</w:t>
            </w: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2"/>
                <w:szCs w:val="12"/>
                <w:color w:val="auto"/>
              </w:rPr>
              <w:t>116.08</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12/7/2031</w:t>
            </w:r>
          </w:p>
        </w:tc>
        <w:tc>
          <w:tcPr>
            <w:tcW w:w="1000" w:type="dxa"/>
            <w:vAlign w:val="bottom"/>
            <w:gridSpan w:val="2"/>
          </w:tcPr>
          <w:p>
            <w:pPr>
              <w:jc w:val="right"/>
              <w:ind w:right="49"/>
              <w:spacing w:after="0"/>
              <w:rPr>
                <w:sz w:val="20"/>
                <w:szCs w:val="20"/>
                <w:color w:val="auto"/>
              </w:rPr>
            </w:pPr>
            <w:r>
              <w:rPr>
                <w:rFonts w:ascii="Times New Roman" w:cs="Times New Roman" w:eastAsia="Times New Roman" w:hAnsi="Times New Roman"/>
                <w:sz w:val="12"/>
                <w:szCs w:val="12"/>
                <w:color w:val="auto"/>
              </w:rPr>
              <w:t>1,154</w:t>
            </w: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860" w:type="dxa"/>
            <w:vAlign w:val="bottom"/>
          </w:tcPr>
          <w:p>
            <w:pPr>
              <w:jc w:val="right"/>
              <w:ind w:right="105"/>
              <w:spacing w:after="0"/>
              <w:rPr>
                <w:sz w:val="20"/>
                <w:szCs w:val="20"/>
                <w:color w:val="auto"/>
              </w:rPr>
            </w:pPr>
            <w:r>
              <w:rPr>
                <w:rFonts w:ascii="Times New Roman" w:cs="Times New Roman" w:eastAsia="Times New Roman" w:hAnsi="Times New Roman"/>
                <w:sz w:val="12"/>
                <w:szCs w:val="12"/>
                <w:color w:val="auto"/>
              </w:rPr>
              <w:t>117,119</w:t>
            </w: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2"/>
                <w:szCs w:val="12"/>
                <w:color w:val="auto"/>
              </w:rPr>
              <w:t>9,229</w:t>
            </w:r>
          </w:p>
        </w:tc>
        <w:tc>
          <w:tcPr>
            <w:tcW w:w="400" w:type="dxa"/>
            <w:vAlign w:val="bottom"/>
          </w:tcPr>
          <w:p>
            <w:pPr>
              <w:jc w:val="center"/>
              <w:ind w:right="22"/>
              <w:spacing w:after="0"/>
              <w:rPr>
                <w:sz w:val="20"/>
                <w:szCs w:val="20"/>
                <w:color w:val="auto"/>
              </w:rPr>
            </w:pPr>
            <w:r>
              <w:rPr>
                <w:rFonts w:ascii="Times New Roman" w:cs="Times New Roman" w:eastAsia="Times New Roman" w:hAnsi="Times New Roman"/>
                <w:sz w:val="12"/>
                <w:szCs w:val="12"/>
                <w:color w:val="auto"/>
                <w:w w:val="99"/>
              </w:rPr>
              <w:t>(11)</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936,651</w:t>
            </w: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12/6/2022</w:t>
            </w: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10,106</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w w:val="99"/>
              </w:rPr>
              <w:t>30,316 (14)</w:t>
            </w: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2"/>
                <w:szCs w:val="12"/>
                <w:color w:val="auto"/>
              </w:rPr>
              <w:t>90.26</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12/16/2032</w:t>
            </w:r>
          </w:p>
        </w:tc>
        <w:tc>
          <w:tcPr>
            <w:tcW w:w="1000" w:type="dxa"/>
            <w:vAlign w:val="bottom"/>
            <w:gridSpan w:val="2"/>
          </w:tcPr>
          <w:p>
            <w:pPr>
              <w:jc w:val="right"/>
              <w:ind w:right="49"/>
              <w:spacing w:after="0"/>
              <w:rPr>
                <w:sz w:val="20"/>
                <w:szCs w:val="20"/>
                <w:color w:val="auto"/>
              </w:rPr>
            </w:pPr>
            <w:r>
              <w:rPr>
                <w:rFonts w:ascii="Times New Roman" w:cs="Times New Roman" w:eastAsia="Times New Roman" w:hAnsi="Times New Roman"/>
                <w:sz w:val="12"/>
                <w:szCs w:val="12"/>
                <w:color w:val="auto"/>
              </w:rPr>
              <w:t>1,644</w:t>
            </w: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860" w:type="dxa"/>
            <w:vAlign w:val="bottom"/>
          </w:tcPr>
          <w:p>
            <w:pPr>
              <w:jc w:val="right"/>
              <w:ind w:right="105"/>
              <w:spacing w:after="0"/>
              <w:rPr>
                <w:sz w:val="20"/>
                <w:szCs w:val="20"/>
                <w:color w:val="auto"/>
              </w:rPr>
            </w:pPr>
            <w:r>
              <w:rPr>
                <w:rFonts w:ascii="Times New Roman" w:cs="Times New Roman" w:eastAsia="Times New Roman" w:hAnsi="Times New Roman"/>
                <w:sz w:val="12"/>
                <w:szCs w:val="12"/>
                <w:color w:val="auto"/>
              </w:rPr>
              <w:t>166,850</w:t>
            </w: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2"/>
                <w:szCs w:val="12"/>
                <w:color w:val="auto"/>
              </w:rPr>
              <w:t>14,792</w:t>
            </w:r>
          </w:p>
        </w:tc>
        <w:tc>
          <w:tcPr>
            <w:tcW w:w="400" w:type="dxa"/>
            <w:vAlign w:val="bottom"/>
          </w:tcPr>
          <w:p>
            <w:pPr>
              <w:jc w:val="center"/>
              <w:ind w:right="22"/>
              <w:spacing w:after="0"/>
              <w:rPr>
                <w:sz w:val="20"/>
                <w:szCs w:val="20"/>
                <w:color w:val="auto"/>
              </w:rPr>
            </w:pPr>
            <w:r>
              <w:rPr>
                <w:rFonts w:ascii="Times New Roman" w:cs="Times New Roman" w:eastAsia="Times New Roman" w:hAnsi="Times New Roman"/>
                <w:sz w:val="12"/>
                <w:szCs w:val="12"/>
                <w:color w:val="auto"/>
                <w:w w:val="99"/>
              </w:rPr>
              <w:t>(13)</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1,501,240</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12/12/2023</w:t>
            </w: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37,777</w:t>
            </w:r>
          </w:p>
        </w:tc>
        <w:tc>
          <w:tcPr>
            <w:tcW w:w="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99"/>
              </w:rPr>
              <w:t>(1)</w:t>
            </w: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2"/>
                <w:szCs w:val="12"/>
                <w:color w:val="auto"/>
              </w:rPr>
              <w:t>91.66</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12/12/2033</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2"/>
                <w:szCs w:val="12"/>
                <w:color w:val="auto"/>
              </w:rPr>
              <w:t>16,185</w:t>
            </w:r>
          </w:p>
        </w:tc>
        <w:tc>
          <w:tcPr>
            <w:tcW w:w="400" w:type="dxa"/>
            <w:vAlign w:val="bottom"/>
          </w:tcPr>
          <w:p>
            <w:pPr>
              <w:jc w:val="center"/>
              <w:ind w:right="22"/>
              <w:spacing w:after="0"/>
              <w:rPr>
                <w:sz w:val="20"/>
                <w:szCs w:val="20"/>
                <w:color w:val="auto"/>
              </w:rPr>
            </w:pPr>
            <w:r>
              <w:rPr>
                <w:rFonts w:ascii="Times New Roman" w:cs="Times New Roman" w:eastAsia="Times New Roman" w:hAnsi="Times New Roman"/>
                <w:sz w:val="12"/>
                <w:szCs w:val="12"/>
                <w:color w:val="auto"/>
                <w:w w:val="85"/>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1,642,616</w:t>
            </w:r>
          </w:p>
        </w:tc>
        <w:tc>
          <w:tcPr>
            <w:tcW w:w="0" w:type="dxa"/>
            <w:vAlign w:val="bottom"/>
          </w:tcPr>
          <w:p>
            <w:pPr>
              <w:spacing w:after="0"/>
              <w:rPr>
                <w:sz w:val="1"/>
                <w:szCs w:val="1"/>
                <w:color w:val="auto"/>
              </w:rPr>
            </w:pPr>
          </w:p>
        </w:tc>
      </w:tr>
      <w:tr>
        <w:trPr>
          <w:trHeight w:val="420"/>
        </w:trPr>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03"/>
              <w:spacing w:after="0"/>
              <w:rPr>
                <w:sz w:val="20"/>
                <w:szCs w:val="20"/>
                <w:color w:val="auto"/>
              </w:rPr>
            </w:pPr>
            <w:r>
              <w:rPr>
                <w:rFonts w:ascii="Times New Roman" w:cs="Times New Roman" w:eastAsia="Times New Roman" w:hAnsi="Times New Roman"/>
                <w:sz w:val="14"/>
                <w:szCs w:val="14"/>
                <w:color w:val="auto"/>
              </w:rPr>
              <w:t>49</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38"/>
        </w:trPr>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Restricted Stock Awards</w:t>
            </w: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jc w:val="center"/>
              <w:ind w:right="28"/>
              <w:spacing w:after="0" w:line="94" w:lineRule="exact"/>
              <w:rPr>
                <w:sz w:val="20"/>
                <w:szCs w:val="20"/>
                <w:color w:val="auto"/>
              </w:rPr>
            </w:pPr>
            <w:r>
              <w:rPr>
                <w:rFonts w:ascii="Times New Roman" w:cs="Times New Roman" w:eastAsia="Times New Roman" w:hAnsi="Times New Roman"/>
                <w:sz w:val="10"/>
                <w:szCs w:val="10"/>
                <w:b w:val="1"/>
                <w:bCs w:val="1"/>
                <w:color w:val="auto"/>
                <w:w w:val="96"/>
              </w:rPr>
              <w:t>Equity</w:t>
            </w: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Incentive</w:t>
            </w:r>
          </w:p>
        </w:tc>
        <w:tc>
          <w:tcPr>
            <w:tcW w:w="4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Plan</w:t>
            </w:r>
          </w:p>
        </w:tc>
        <w:tc>
          <w:tcPr>
            <w:tcW w:w="4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Incentive</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jc w:val="center"/>
              <w:ind w:right="28"/>
              <w:spacing w:after="0" w:line="108" w:lineRule="exact"/>
              <w:rPr>
                <w:sz w:val="20"/>
                <w:szCs w:val="20"/>
                <w:color w:val="auto"/>
              </w:rPr>
            </w:pPr>
            <w:r>
              <w:rPr>
                <w:rFonts w:ascii="Times New Roman" w:cs="Times New Roman" w:eastAsia="Times New Roman" w:hAnsi="Times New Roman"/>
                <w:sz w:val="10"/>
                <w:szCs w:val="10"/>
                <w:b w:val="1"/>
                <w:bCs w:val="1"/>
                <w:color w:val="auto"/>
                <w:w w:val="98"/>
              </w:rPr>
              <w:t>Awards:</w:t>
            </w:r>
          </w:p>
        </w:tc>
        <w:tc>
          <w:tcPr>
            <w:tcW w:w="42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8"/>
              </w:rPr>
              <w:t>Plan Awards:</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Incentive</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vMerge w:val="restart"/>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99"/>
              </w:rPr>
              <w:t>Market</w:t>
            </w: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4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Market or</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Plan</w:t>
            </w: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0" w:type="dxa"/>
            <w:vAlign w:val="bottom"/>
          </w:tcPr>
          <w:p>
            <w:pPr>
              <w:jc w:val="center"/>
              <w:ind w:right="8"/>
              <w:spacing w:after="0" w:line="108" w:lineRule="exact"/>
              <w:rPr>
                <w:sz w:val="20"/>
                <w:szCs w:val="20"/>
                <w:color w:val="auto"/>
              </w:rPr>
            </w:pPr>
            <w:r>
              <w:rPr>
                <w:rFonts w:ascii="Times New Roman" w:cs="Times New Roman" w:eastAsia="Times New Roman" w:hAnsi="Times New Roman"/>
                <w:sz w:val="10"/>
                <w:szCs w:val="10"/>
                <w:b w:val="1"/>
                <w:bCs w:val="1"/>
                <w:color w:val="auto"/>
                <w:w w:val="99"/>
              </w:rPr>
              <w:t>Unearned</w:t>
            </w:r>
          </w:p>
        </w:tc>
        <w:tc>
          <w:tcPr>
            <w:tcW w:w="42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7"/>
              </w:rPr>
              <w:t>Payout Value</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Awards: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rPr>
              <w:t>Value of</w:t>
            </w: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of Unearned</w:t>
            </w: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2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360" w:type="dxa"/>
            <w:vAlign w:val="bottom"/>
          </w:tcPr>
          <w:p>
            <w:pPr>
              <w:spacing w:after="0"/>
              <w:rPr>
                <w:sz w:val="10"/>
                <w:szCs w:val="10"/>
                <w:color w:val="auto"/>
              </w:rPr>
            </w:pPr>
          </w:p>
        </w:tc>
        <w:tc>
          <w:tcPr>
            <w:tcW w:w="860" w:type="dxa"/>
            <w:vAlign w:val="bottom"/>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97"/>
              </w:rPr>
              <w:t>Shares or</w:t>
            </w: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Units</w:t>
            </w:r>
          </w:p>
        </w:tc>
        <w:tc>
          <w:tcPr>
            <w:tcW w:w="4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Shares, Units</w:t>
            </w: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Securities</w:t>
            </w: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Securities</w:t>
            </w:r>
          </w:p>
        </w:tc>
        <w:tc>
          <w:tcPr>
            <w:tcW w:w="2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Securities</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Shares or</w:t>
            </w:r>
          </w:p>
        </w:tc>
        <w:tc>
          <w:tcPr>
            <w:tcW w:w="360" w:type="dxa"/>
            <w:vAlign w:val="bottom"/>
          </w:tcPr>
          <w:p>
            <w:pPr>
              <w:spacing w:after="0"/>
              <w:rPr>
                <w:sz w:val="10"/>
                <w:szCs w:val="10"/>
                <w:color w:val="auto"/>
              </w:rPr>
            </w:pPr>
          </w:p>
        </w:tc>
        <w:tc>
          <w:tcPr>
            <w:tcW w:w="860" w:type="dxa"/>
            <w:vAlign w:val="bottom"/>
          </w:tcPr>
          <w:p>
            <w:pPr>
              <w:jc w:val="center"/>
              <w:ind w:right="186"/>
              <w:spacing w:after="0"/>
              <w:rPr>
                <w:sz w:val="20"/>
                <w:szCs w:val="20"/>
                <w:color w:val="auto"/>
              </w:rPr>
            </w:pPr>
            <w:r>
              <w:rPr>
                <w:rFonts w:ascii="Times New Roman" w:cs="Times New Roman" w:eastAsia="Times New Roman" w:hAnsi="Times New Roman"/>
                <w:sz w:val="10"/>
                <w:szCs w:val="10"/>
                <w:b w:val="1"/>
                <w:bCs w:val="1"/>
                <w:color w:val="auto"/>
              </w:rPr>
              <w:t>Units of</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or Other</w:t>
            </w:r>
          </w:p>
        </w:tc>
        <w:tc>
          <w:tcPr>
            <w:tcW w:w="4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or</w:t>
            </w: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Underlying</w:t>
            </w:r>
          </w:p>
        </w:tc>
        <w:tc>
          <w:tcPr>
            <w:tcW w:w="106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9"/>
              </w:rPr>
              <w:t>Underlying</w:t>
            </w:r>
          </w:p>
        </w:tc>
        <w:tc>
          <w:tcPr>
            <w:tcW w:w="2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Underlying</w:t>
            </w:r>
          </w:p>
        </w:tc>
        <w:tc>
          <w:tcPr>
            <w:tcW w:w="28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Units of</w:t>
            </w:r>
          </w:p>
        </w:tc>
        <w:tc>
          <w:tcPr>
            <w:tcW w:w="360" w:type="dxa"/>
            <w:vAlign w:val="bottom"/>
          </w:tcPr>
          <w:p>
            <w:pPr>
              <w:spacing w:after="0"/>
              <w:rPr>
                <w:sz w:val="10"/>
                <w:szCs w:val="10"/>
                <w:color w:val="auto"/>
              </w:rPr>
            </w:pPr>
          </w:p>
        </w:tc>
        <w:tc>
          <w:tcPr>
            <w:tcW w:w="860" w:type="dxa"/>
            <w:vAlign w:val="bottom"/>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rPr>
              <w:t>Stock</w:t>
            </w: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Rights</w:t>
            </w:r>
          </w:p>
        </w:tc>
        <w:tc>
          <w:tcPr>
            <w:tcW w:w="4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Other Rights</w:t>
            </w: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Unexercised</w:t>
            </w:r>
          </w:p>
        </w:tc>
        <w:tc>
          <w:tcPr>
            <w:tcW w:w="106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9"/>
              </w:rPr>
              <w:t>Unexercised</w:t>
            </w:r>
          </w:p>
        </w:tc>
        <w:tc>
          <w:tcPr>
            <w:tcW w:w="2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Unexercised</w:t>
            </w:r>
          </w:p>
        </w:tc>
        <w:tc>
          <w:tcPr>
            <w:tcW w:w="28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Exercise</w:t>
            </w:r>
          </w:p>
        </w:tc>
        <w:tc>
          <w:tcPr>
            <w:tcW w:w="1000" w:type="dxa"/>
            <w:vAlign w:val="bottom"/>
          </w:tcPr>
          <w:p>
            <w:pPr>
              <w:jc w:val="center"/>
              <w:ind w:left="44"/>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14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Stock That</w:t>
            </w:r>
          </w:p>
        </w:tc>
        <w:tc>
          <w:tcPr>
            <w:tcW w:w="360" w:type="dxa"/>
            <w:vAlign w:val="bottom"/>
          </w:tcPr>
          <w:p>
            <w:pPr>
              <w:spacing w:after="0"/>
              <w:rPr>
                <w:sz w:val="10"/>
                <w:szCs w:val="10"/>
                <w:color w:val="auto"/>
              </w:rPr>
            </w:pPr>
          </w:p>
        </w:tc>
        <w:tc>
          <w:tcPr>
            <w:tcW w:w="860" w:type="dxa"/>
            <w:vAlign w:val="bottom"/>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97"/>
              </w:rPr>
              <w:t>That</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that</w:t>
            </w:r>
          </w:p>
        </w:tc>
        <w:tc>
          <w:tcPr>
            <w:tcW w:w="4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That Have</w:t>
            </w:r>
          </w:p>
        </w:tc>
        <w:tc>
          <w:tcPr>
            <w:tcW w:w="0" w:type="dxa"/>
            <w:vAlign w:val="bottom"/>
          </w:tcPr>
          <w:p>
            <w:pPr>
              <w:spacing w:after="0"/>
              <w:rPr>
                <w:sz w:val="1"/>
                <w:szCs w:val="1"/>
                <w:color w:val="auto"/>
              </w:rPr>
            </w:pPr>
          </w:p>
        </w:tc>
      </w:tr>
      <w:tr>
        <w:trPr>
          <w:trHeight w:val="119"/>
        </w:trPr>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94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Options (#)</w:t>
            </w:r>
          </w:p>
        </w:tc>
        <w:tc>
          <w:tcPr>
            <w:tcW w:w="106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9"/>
              </w:rPr>
              <w:t>Options (#)</w:t>
            </w:r>
          </w:p>
        </w:tc>
        <w:tc>
          <w:tcPr>
            <w:tcW w:w="2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Unearned</w:t>
            </w:r>
          </w:p>
        </w:tc>
        <w:tc>
          <w:tcPr>
            <w:tcW w:w="28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Price</w:t>
            </w:r>
          </w:p>
        </w:tc>
        <w:tc>
          <w:tcPr>
            <w:tcW w:w="1000" w:type="dxa"/>
            <w:vAlign w:val="bottom"/>
          </w:tcPr>
          <w:p>
            <w:pPr>
              <w:jc w:val="center"/>
              <w:ind w:left="44"/>
              <w:spacing w:after="0"/>
              <w:rPr>
                <w:sz w:val="20"/>
                <w:szCs w:val="20"/>
                <w:color w:val="auto"/>
              </w:rPr>
            </w:pPr>
            <w:r>
              <w:rPr>
                <w:rFonts w:ascii="Times New Roman" w:cs="Times New Roman" w:eastAsia="Times New Roman" w:hAnsi="Times New Roman"/>
                <w:sz w:val="10"/>
                <w:szCs w:val="10"/>
                <w:b w:val="1"/>
                <w:bCs w:val="1"/>
                <w:color w:val="auto"/>
                <w:w w:val="99"/>
              </w:rPr>
              <w:t>Expiration</w:t>
            </w:r>
          </w:p>
        </w:tc>
        <w:tc>
          <w:tcPr>
            <w:tcW w:w="14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Have Not</w:t>
            </w:r>
          </w:p>
        </w:tc>
        <w:tc>
          <w:tcPr>
            <w:tcW w:w="360" w:type="dxa"/>
            <w:vAlign w:val="bottom"/>
          </w:tcPr>
          <w:p>
            <w:pPr>
              <w:spacing w:after="0"/>
              <w:rPr>
                <w:sz w:val="10"/>
                <w:szCs w:val="10"/>
                <w:color w:val="auto"/>
              </w:rPr>
            </w:pPr>
          </w:p>
        </w:tc>
        <w:tc>
          <w:tcPr>
            <w:tcW w:w="860" w:type="dxa"/>
            <w:vAlign w:val="bottom"/>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99"/>
              </w:rPr>
              <w:t>Have Not</w:t>
            </w: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w w:val="99"/>
              </w:rPr>
              <w:t>Have Not</w:t>
            </w:r>
          </w:p>
        </w:tc>
        <w:tc>
          <w:tcPr>
            <w:tcW w:w="4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Not</w:t>
            </w:r>
          </w:p>
        </w:tc>
        <w:tc>
          <w:tcPr>
            <w:tcW w:w="0" w:type="dxa"/>
            <w:vAlign w:val="bottom"/>
          </w:tcPr>
          <w:p>
            <w:pPr>
              <w:spacing w:after="0"/>
              <w:rPr>
                <w:sz w:val="1"/>
                <w:szCs w:val="1"/>
                <w:color w:val="auto"/>
              </w:rPr>
            </w:pPr>
          </w:p>
        </w:tc>
      </w:tr>
      <w:tr>
        <w:trPr>
          <w:trHeight w:val="140"/>
        </w:trPr>
        <w:tc>
          <w:tcPr>
            <w:tcW w:w="9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Grant Date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Exercisable</w:t>
            </w:r>
          </w:p>
        </w:tc>
        <w:tc>
          <w:tcPr>
            <w:tcW w:w="106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9"/>
              </w:rPr>
              <w:t>Unexercisable</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0" w:type="dxa"/>
            <w:vAlign w:val="bottom"/>
            <w:tcBorders>
              <w:bottom w:val="single" w:sz="8" w:color="auto"/>
            </w:tcBorders>
          </w:tcPr>
          <w:p>
            <w:pPr>
              <w:jc w:val="center"/>
              <w:ind w:left="64"/>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Vested (#)</w:t>
            </w: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86"/>
              <w:spacing w:after="0"/>
              <w:rPr>
                <w:sz w:val="20"/>
                <w:szCs w:val="20"/>
                <w:color w:val="auto"/>
              </w:rPr>
            </w:pPr>
            <w:r>
              <w:rPr>
                <w:rFonts w:ascii="Times New Roman" w:cs="Times New Roman" w:eastAsia="Times New Roman" w:hAnsi="Times New Roman"/>
                <w:sz w:val="10"/>
                <w:szCs w:val="10"/>
                <w:b w:val="1"/>
                <w:bCs w:val="1"/>
                <w:color w:val="auto"/>
                <w:w w:val="97"/>
              </w:rPr>
              <w:t>Vested ($)</w:t>
            </w:r>
          </w:p>
        </w:tc>
        <w:tc>
          <w:tcPr>
            <w:tcW w:w="8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w w:val="97"/>
              </w:rPr>
              <w:t>Vested (#)</w:t>
            </w: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Vested ($)</w:t>
            </w:r>
          </w:p>
        </w:tc>
        <w:tc>
          <w:tcPr>
            <w:tcW w:w="0" w:type="dxa"/>
            <w:vAlign w:val="bottom"/>
          </w:tcPr>
          <w:p>
            <w:pPr>
              <w:spacing w:after="0"/>
              <w:rPr>
                <w:sz w:val="1"/>
                <w:szCs w:val="1"/>
                <w:color w:val="auto"/>
              </w:rPr>
            </w:pPr>
          </w:p>
        </w:tc>
      </w:tr>
      <w:tr>
        <w:trPr>
          <w:trHeight w:val="125"/>
        </w:trPr>
        <w:tc>
          <w:tcPr>
            <w:tcW w:w="920" w:type="dxa"/>
            <w:vAlign w:val="bottom"/>
            <w:shd w:val="clear" w:color="auto" w:fill="CCEEFF"/>
          </w:tcPr>
          <w:p>
            <w:pPr>
              <w:ind w:left="60"/>
              <w:spacing w:after="0" w:line="125" w:lineRule="exact"/>
              <w:rPr>
                <w:sz w:val="20"/>
                <w:szCs w:val="20"/>
                <w:color w:val="auto"/>
              </w:rPr>
            </w:pPr>
            <w:r>
              <w:rPr>
                <w:rFonts w:ascii="Times New Roman" w:cs="Times New Roman" w:eastAsia="Times New Roman" w:hAnsi="Times New Roman"/>
                <w:sz w:val="12"/>
                <w:szCs w:val="12"/>
                <w:color w:val="auto"/>
              </w:rPr>
              <w:t>Juan C.</w:t>
            </w:r>
          </w:p>
        </w:tc>
        <w:tc>
          <w:tcPr>
            <w:tcW w:w="9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Bianchi</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12/10/2015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3,268</w:t>
            </w: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74.72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12/10/2025</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9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12/13/2016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7,903</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12/13/2026</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9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12/12/2017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10,493</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12/12/2027</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9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12/12/2018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10,766</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111.45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12/12/2028</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rPr>
              <w:t>359</w:t>
            </w:r>
          </w:p>
        </w:tc>
        <w:tc>
          <w:tcPr>
            <w:tcW w:w="3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(2)</w:t>
            </w:r>
          </w:p>
        </w:tc>
        <w:tc>
          <w:tcPr>
            <w:tcW w:w="8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36,435</w:t>
            </w: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9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4/4/2019</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13,620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13,619</w:t>
            </w:r>
          </w:p>
        </w:tc>
        <w:tc>
          <w:tcPr>
            <w:tcW w:w="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(6)</w:t>
            </w: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141.03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4/4/2029</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rPr>
              <w:t>4,431</w:t>
            </w:r>
          </w:p>
        </w:tc>
        <w:tc>
          <w:tcPr>
            <w:tcW w:w="36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99"/>
              </w:rPr>
              <w:t>(7)</w:t>
            </w:r>
          </w:p>
        </w:tc>
        <w:tc>
          <w:tcPr>
            <w:tcW w:w="8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449,702</w:t>
            </w: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9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4/4/2019</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8,403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10,979</w:t>
            </w:r>
          </w:p>
        </w:tc>
        <w:tc>
          <w:tcPr>
            <w:tcW w:w="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36,506</w:t>
            </w:r>
          </w:p>
        </w:tc>
        <w:tc>
          <w:tcPr>
            <w:tcW w:w="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141.03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4/4/2029</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rPr>
              <w:t>3,573</w:t>
            </w:r>
          </w:p>
        </w:tc>
        <w:tc>
          <w:tcPr>
            <w:tcW w:w="36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99"/>
              </w:rPr>
              <w:t>(9)</w:t>
            </w:r>
          </w:p>
        </w:tc>
        <w:tc>
          <w:tcPr>
            <w:tcW w:w="8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362,624</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2"/>
                <w:szCs w:val="12"/>
                <w:color w:val="auto"/>
              </w:rPr>
              <w:t>11,879</w:t>
            </w:r>
          </w:p>
        </w:tc>
        <w:tc>
          <w:tcPr>
            <w:tcW w:w="420" w:type="dxa"/>
            <w:vAlign w:val="bottom"/>
            <w:shd w:val="clear" w:color="auto" w:fill="CCEEFF"/>
          </w:tcPr>
          <w:p>
            <w:pPr>
              <w:jc w:val="center"/>
              <w:ind w:right="22"/>
              <w:spacing w:after="0"/>
              <w:rPr>
                <w:sz w:val="20"/>
                <w:szCs w:val="20"/>
                <w:color w:val="auto"/>
              </w:rPr>
            </w:pPr>
            <w:r>
              <w:rPr>
                <w:rFonts w:ascii="Times New Roman" w:cs="Times New Roman" w:eastAsia="Times New Roman" w:hAnsi="Times New Roman"/>
                <w:sz w:val="12"/>
                <w:szCs w:val="12"/>
                <w:color w:val="auto"/>
                <w:w w:val="99"/>
              </w:rPr>
              <w:t>(9)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1,205,600</w:t>
            </w:r>
          </w:p>
        </w:tc>
        <w:tc>
          <w:tcPr>
            <w:tcW w:w="0" w:type="dxa"/>
            <w:vAlign w:val="bottom"/>
          </w:tcPr>
          <w:p>
            <w:pPr>
              <w:spacing w:after="0"/>
              <w:rPr>
                <w:sz w:val="1"/>
                <w:szCs w:val="1"/>
                <w:color w:val="auto"/>
              </w:rPr>
            </w:pPr>
          </w:p>
        </w:tc>
      </w:tr>
      <w:tr>
        <w:trPr>
          <w:trHeight w:val="248"/>
        </w:trPr>
        <w:tc>
          <w:tcPr>
            <w:tcW w:w="9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12/10/2019</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14,799</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12/10/2029</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rPr>
              <w:t>389</w:t>
            </w:r>
          </w:p>
        </w:tc>
        <w:tc>
          <w:tcPr>
            <w:tcW w:w="36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99"/>
              </w:rPr>
              <w:t>(3)</w:t>
            </w:r>
          </w:p>
        </w:tc>
        <w:tc>
          <w:tcPr>
            <w:tcW w:w="8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39,480</w:t>
            </w: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11/5/2020</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66,667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133,333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98.46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11/5/2030</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9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12/7/2021</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16,616</w:t>
            </w:r>
          </w:p>
        </w:tc>
        <w:tc>
          <w:tcPr>
            <w:tcW w:w="1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16,616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116.08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12/7/2031</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rPr>
              <w:t>1,154</w:t>
            </w:r>
          </w:p>
        </w:tc>
        <w:tc>
          <w:tcPr>
            <w:tcW w:w="36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89"/>
              </w:rPr>
              <w:t>(11)</w:t>
            </w:r>
          </w:p>
        </w:tc>
        <w:tc>
          <w:tcPr>
            <w:tcW w:w="8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117,119</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2"/>
                <w:szCs w:val="12"/>
                <w:color w:val="auto"/>
              </w:rPr>
              <w:t>9,229</w:t>
            </w:r>
          </w:p>
        </w:tc>
        <w:tc>
          <w:tcPr>
            <w:tcW w:w="420" w:type="dxa"/>
            <w:vAlign w:val="bottom"/>
            <w:shd w:val="clear" w:color="auto" w:fill="CCEEFF"/>
          </w:tcPr>
          <w:p>
            <w:pPr>
              <w:jc w:val="center"/>
              <w:ind w:right="22"/>
              <w:spacing w:after="0"/>
              <w:rPr>
                <w:sz w:val="20"/>
                <w:szCs w:val="20"/>
                <w:color w:val="auto"/>
              </w:rPr>
            </w:pPr>
            <w:r>
              <w:rPr>
                <w:rFonts w:ascii="Times New Roman" w:cs="Times New Roman" w:eastAsia="Times New Roman" w:hAnsi="Times New Roman"/>
                <w:sz w:val="12"/>
                <w:szCs w:val="12"/>
                <w:color w:val="auto"/>
                <w:w w:val="89"/>
              </w:rPr>
              <w:t>(11)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936,651</w:t>
            </w:r>
          </w:p>
        </w:tc>
        <w:tc>
          <w:tcPr>
            <w:tcW w:w="0" w:type="dxa"/>
            <w:vAlign w:val="bottom"/>
          </w:tcPr>
          <w:p>
            <w:pPr>
              <w:spacing w:after="0"/>
              <w:rPr>
                <w:sz w:val="1"/>
                <w:szCs w:val="1"/>
                <w:color w:val="auto"/>
              </w:rPr>
            </w:pPr>
          </w:p>
        </w:tc>
      </w:tr>
      <w:tr>
        <w:trPr>
          <w:trHeight w:val="184"/>
        </w:trPr>
        <w:tc>
          <w:tcPr>
            <w:tcW w:w="9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12/6/2022</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10,106</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30,316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12/6/2032</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rPr>
              <w:t>1,644</w:t>
            </w:r>
          </w:p>
        </w:tc>
        <w:tc>
          <w:tcPr>
            <w:tcW w:w="36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2"/>
                <w:szCs w:val="12"/>
                <w:color w:val="auto"/>
                <w:w w:val="89"/>
              </w:rPr>
              <w:t>(13)</w:t>
            </w:r>
          </w:p>
        </w:tc>
        <w:tc>
          <w:tcPr>
            <w:tcW w:w="8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166,850</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2"/>
                <w:szCs w:val="12"/>
                <w:color w:val="auto"/>
              </w:rPr>
              <w:t>14,792</w:t>
            </w:r>
          </w:p>
        </w:tc>
        <w:tc>
          <w:tcPr>
            <w:tcW w:w="42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2"/>
                <w:szCs w:val="12"/>
                <w:color w:val="auto"/>
                <w:w w:val="99"/>
              </w:rPr>
              <w:t>(13)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1,501,240</w:t>
            </w:r>
          </w:p>
        </w:tc>
        <w:tc>
          <w:tcPr>
            <w:tcW w:w="0" w:type="dxa"/>
            <w:vAlign w:val="bottom"/>
          </w:tcPr>
          <w:p>
            <w:pPr>
              <w:spacing w:after="0"/>
              <w:rPr>
                <w:sz w:val="1"/>
                <w:szCs w:val="1"/>
                <w:color w:val="auto"/>
              </w:rPr>
            </w:pPr>
          </w:p>
        </w:tc>
      </w:tr>
      <w:tr>
        <w:trPr>
          <w:trHeight w:val="164"/>
        </w:trPr>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12/12/2023</w:t>
            </w:r>
          </w:p>
        </w:tc>
        <w:tc>
          <w:tcPr>
            <w:tcW w:w="9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37,777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91.66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12/12/2033</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2"/>
                <w:szCs w:val="12"/>
                <w:color w:val="auto"/>
              </w:rPr>
              <w:t>16,185</w:t>
            </w:r>
          </w:p>
        </w:tc>
        <w:tc>
          <w:tcPr>
            <w:tcW w:w="420" w:type="dxa"/>
            <w:vAlign w:val="bottom"/>
            <w:shd w:val="clear" w:color="auto" w:fill="CCEEFF"/>
          </w:tcPr>
          <w:p>
            <w:pPr>
              <w:jc w:val="center"/>
              <w:ind w:right="22"/>
              <w:spacing w:after="0"/>
              <w:rPr>
                <w:sz w:val="20"/>
                <w:szCs w:val="20"/>
                <w:color w:val="auto"/>
              </w:rPr>
            </w:pPr>
            <w:r>
              <w:rPr>
                <w:rFonts w:ascii="Times New Roman" w:cs="Times New Roman" w:eastAsia="Times New Roman" w:hAnsi="Times New Roman"/>
                <w:sz w:val="12"/>
                <w:szCs w:val="12"/>
                <w:color w:val="auto"/>
                <w:w w:val="99"/>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1,642,616</w:t>
            </w:r>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72390</wp:posOffset>
            </wp:positionV>
            <wp:extent cx="718502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53" w:name="page54"/>
    <w:bookmarkEnd w:id="53"/>
    <w:p>
      <w:pPr>
        <w:ind w:left="440" w:hanging="401"/>
        <w:spacing w:after="0"/>
        <w:tabs>
          <w:tab w:leader="none" w:pos="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footnotes to table under “Grants of Plan-Based Awards for 2023” for a description of the vesting schedule for these awards.</w:t>
      </w:r>
    </w:p>
    <w:p>
      <w:pPr>
        <w:spacing w:after="0" w:line="27" w:lineRule="exact"/>
        <w:rPr>
          <w:rFonts w:ascii="Times New Roman" w:cs="Times New Roman" w:eastAsia="Times New Roman" w:hAnsi="Times New Roman"/>
          <w:sz w:val="14"/>
          <w:szCs w:val="14"/>
          <w:color w:val="auto"/>
        </w:rPr>
      </w:pPr>
    </w:p>
    <w:p>
      <w:pPr>
        <w:ind w:left="440" w:hanging="400"/>
        <w:spacing w:after="0" w:line="257" w:lineRule="auto"/>
        <w:tabs>
          <w:tab w:leader="none" w:pos="440" w:val="left"/>
        </w:tabs>
        <w:numPr>
          <w:ilvl w:val="0"/>
          <w:numId w:val="29"/>
        </w:numPr>
        <w:rPr>
          <w:rFonts w:ascii="Calibri" w:cs="Calibri" w:eastAsia="Calibri" w:hAnsi="Calibri"/>
          <w:sz w:val="14"/>
          <w:szCs w:val="14"/>
          <w:color w:val="auto"/>
        </w:rPr>
      </w:pPr>
      <w:r>
        <w:rPr>
          <w:rFonts w:ascii="Times New Roman" w:cs="Times New Roman" w:eastAsia="Times New Roman" w:hAnsi="Times New Roman"/>
          <w:sz w:val="14"/>
          <w:szCs w:val="14"/>
          <w:color w:val="auto"/>
        </w:rPr>
        <w:t>Restricted stock award granted on December 12, 2018. The remaining award will vested in fiscal year 2023, contingent upon the achievement of adjusted operating income of $60 million such year and the Named Executive Officer’s continued employment on the vesting date. The shares earned based on 2023 performance vested on February 22, 2024.</w:t>
      </w:r>
    </w:p>
    <w:p>
      <w:pPr>
        <w:spacing w:after="0" w:line="1" w:lineRule="exact"/>
        <w:rPr>
          <w:rFonts w:ascii="Calibri" w:cs="Calibri" w:eastAsia="Calibri" w:hAnsi="Calibri"/>
          <w:sz w:val="14"/>
          <w:szCs w:val="14"/>
          <w:color w:val="auto"/>
        </w:rPr>
      </w:pPr>
    </w:p>
    <w:p>
      <w:pPr>
        <w:ind w:left="440" w:hanging="401"/>
        <w:spacing w:after="0" w:line="265" w:lineRule="auto"/>
        <w:tabs>
          <w:tab w:leader="none" w:pos="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 granted on December 10, 2019. The remaining award vested in fiscal year 2023, contingent upon the achievement of adjusted operating income of $60 million such year and the Named Executive Officer’s continued employment on the vesting date. The shares earned based on 2023 performance vested on February 22, 2024.</w:t>
      </w:r>
    </w:p>
    <w:p>
      <w:pPr>
        <w:jc w:val="both"/>
        <w:ind w:left="440" w:hanging="401"/>
        <w:spacing w:after="0" w:line="259" w:lineRule="auto"/>
        <w:tabs>
          <w:tab w:leader="none" w:pos="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granted December 8, 2020. Stock option award with 25,000 of the options vesting upon the filing of the Company’s Annual Form 10-K for the year 2022 subject to the Company producing at least $60 million adjusted operating income for the year 2022 or 50,000 of the options, less any options vested in the prior year related to this award, vesting upon the filing of the Company’s Annual Form 10-K for the year 2022 subject to the Company producing at least $120 million cumulative adjusted operating income for the two years ended 2022 and 25,000 of the options vesting upon the filing of the Company’s Annual Form 10-K for the year 2023 subject to the Company producing at least $60 million adjusted operating income for the year 2023 or 75,000 of the options, less any options vested in the prior two years related to this award, vesting upon the filing of the Company’s Annual Form 10-K for the year 2023 subject to the Company producing at least $180 million cumulative adjusted operating income for the three years ended 2023. The stock option awards earned based on 2023 performance vested on February 22, 2024.</w:t>
      </w:r>
    </w:p>
    <w:p>
      <w:pPr>
        <w:spacing w:after="0" w:line="4" w:lineRule="exact"/>
        <w:rPr>
          <w:rFonts w:ascii="Times New Roman" w:cs="Times New Roman" w:eastAsia="Times New Roman" w:hAnsi="Times New Roman"/>
          <w:sz w:val="14"/>
          <w:szCs w:val="14"/>
          <w:color w:val="auto"/>
        </w:rPr>
      </w:pPr>
    </w:p>
    <w:p>
      <w:pPr>
        <w:jc w:val="both"/>
        <w:ind w:left="440" w:hanging="401"/>
        <w:spacing w:after="0" w:line="260" w:lineRule="auto"/>
        <w:tabs>
          <w:tab w:leader="none" w:pos="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granted December 8, 2020. Stock option award with 37,500 of the options vesting upon the filing of the Company’s Annual Form 10-K for the year 2022 subject to the Company producing at least $3.50 adjusted Earnings Per Share (EPS) for either the year 2021 or 2022 and 37,500 of the options vesting upon the filing of the Company’s Annual Form 10-K for the year 2023 subject to the Company producing at least $3.50 adjusted EPS for the year ended 2023 less any amounts vested in the prior year related to this award or 75,000 of the options vesting upon the filing of the Company’s Annual Form 10-K for the year 2023 subject to the Company producing at least $4.00 adjusted EPS for any of the three years ended 2023 less any amounts vested in the prior year related to this award.</w:t>
      </w:r>
    </w:p>
    <w:p>
      <w:pPr>
        <w:spacing w:after="0" w:line="2" w:lineRule="exact"/>
        <w:rPr>
          <w:rFonts w:ascii="Times New Roman" w:cs="Times New Roman" w:eastAsia="Times New Roman" w:hAnsi="Times New Roman"/>
          <w:sz w:val="14"/>
          <w:szCs w:val="14"/>
          <w:color w:val="auto"/>
        </w:rPr>
      </w:pPr>
    </w:p>
    <w:p>
      <w:pPr>
        <w:jc w:val="both"/>
        <w:ind w:left="440" w:hanging="401"/>
        <w:spacing w:after="0" w:line="262" w:lineRule="auto"/>
        <w:tabs>
          <w:tab w:leader="none" w:pos="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granted April 4, 2019. The award vests based on achieving adjusted EPS CAGR equaling or exceeding 3%, measured through the four-year period ending 2022 for 50% of the option award, and through the five-year period ending 2023 for the remaining 50%, contingent upon the Named Executive Officer's continued employment on the vesting dates. Maximum amounts are reported based on performance to date. The stock option awards earned based on 2023 performance vested on February 22, 2024.</w:t>
      </w:r>
    </w:p>
    <w:p>
      <w:pPr>
        <w:spacing w:after="0" w:line="1" w:lineRule="exact"/>
        <w:rPr>
          <w:rFonts w:ascii="Times New Roman" w:cs="Times New Roman" w:eastAsia="Times New Roman" w:hAnsi="Times New Roman"/>
          <w:sz w:val="14"/>
          <w:szCs w:val="14"/>
          <w:color w:val="auto"/>
        </w:rPr>
      </w:pPr>
    </w:p>
    <w:p>
      <w:pPr>
        <w:jc w:val="both"/>
        <w:ind w:left="440" w:hanging="401"/>
        <w:spacing w:after="0" w:line="262" w:lineRule="auto"/>
        <w:tabs>
          <w:tab w:leader="none" w:pos="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 granted April 4, 2019. The award vests based on achieving adjusted EPS CAGR equaling or exceeding 3%, measured through the four-year period ending 2022 for 50% of the stock award, and through the five-year period ending 2023 for the remaining 50%, contingent upon the Named Executive Officer's continued employment on the vesting dates. Maximum amounts are reported based on performance to date. The shares earned based on 2023 performance vested on February 22, 2024.</w:t>
      </w:r>
    </w:p>
    <w:p>
      <w:pPr>
        <w:spacing w:after="0" w:line="1" w:lineRule="exact"/>
        <w:rPr>
          <w:rFonts w:ascii="Times New Roman" w:cs="Times New Roman" w:eastAsia="Times New Roman" w:hAnsi="Times New Roman"/>
          <w:sz w:val="14"/>
          <w:szCs w:val="14"/>
          <w:color w:val="auto"/>
        </w:rPr>
      </w:pPr>
    </w:p>
    <w:p>
      <w:pPr>
        <w:jc w:val="both"/>
        <w:ind w:left="440" w:hanging="401"/>
        <w:spacing w:after="0" w:line="262" w:lineRule="auto"/>
        <w:tabs>
          <w:tab w:leader="none" w:pos="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granted April 4, 2019. The award vests proportionally upon achieving adjusted EPS CAGR ranging from 0 - 25%, with 100% of the awards vesting upon achieving 25%, measured through the four-year period ending 2022 for 50% of the option award, and through the five-year period ending 2023 for the remaining 50%, contingent upon the Named Executive Officer's continued employment on the vesting dates. 15% of the maximum award is reported based on performance to date.</w:t>
      </w:r>
    </w:p>
    <w:p>
      <w:pPr>
        <w:spacing w:after="0" w:line="1" w:lineRule="exact"/>
        <w:rPr>
          <w:rFonts w:ascii="Times New Roman" w:cs="Times New Roman" w:eastAsia="Times New Roman" w:hAnsi="Times New Roman"/>
          <w:sz w:val="14"/>
          <w:szCs w:val="14"/>
          <w:color w:val="auto"/>
        </w:rPr>
      </w:pPr>
    </w:p>
    <w:p>
      <w:pPr>
        <w:jc w:val="both"/>
        <w:ind w:left="440" w:hanging="401"/>
        <w:spacing w:after="0" w:line="261" w:lineRule="auto"/>
        <w:tabs>
          <w:tab w:leader="none" w:pos="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 granted April 4, 2019. The award vests proportionally upon achieving adjusted EPS CAGR ranging from 0 - 25%, with 100% of the awards vesting upon achieving 25%, measured through the four-year period ending 2022 for 50% of the stock award, and through the five-year period ending 2023 for the remaining 50%, contingent upon the Named Executive Officer's continued employment on the vesting dates. 15% of the maximum award is reported based on performance to date. The shares earned based on 2023 performance vested on February 22, 2024.</w:t>
      </w:r>
    </w:p>
    <w:p>
      <w:pPr>
        <w:spacing w:after="0" w:line="2" w:lineRule="exact"/>
        <w:rPr>
          <w:sz w:val="20"/>
          <w:szCs w:val="20"/>
          <w:color w:val="auto"/>
        </w:rPr>
      </w:pPr>
    </w:p>
    <w:p>
      <w:pPr>
        <w:jc w:val="both"/>
        <w:ind w:left="440" w:hanging="436"/>
        <w:spacing w:after="0" w:line="257" w:lineRule="auto"/>
        <w:tabs>
          <w:tab w:leader="none" w:pos="440" w:val="left"/>
        </w:tabs>
        <w:numPr>
          <w:ilvl w:val="0"/>
          <w:numId w:val="30"/>
        </w:numPr>
        <w:rPr>
          <w:rFonts w:ascii="Calibri" w:cs="Calibri" w:eastAsia="Calibri" w:hAnsi="Calibri"/>
          <w:sz w:val="14"/>
          <w:szCs w:val="14"/>
          <w:color w:val="auto"/>
        </w:rPr>
      </w:pPr>
      <w:r>
        <w:rPr>
          <w:rFonts w:ascii="Times New Roman" w:cs="Times New Roman" w:eastAsia="Times New Roman" w:hAnsi="Times New Roman"/>
          <w:sz w:val="14"/>
          <w:szCs w:val="14"/>
          <w:color w:val="auto"/>
        </w:rPr>
        <w:t>Stock option award granted November 5, 2020. The award vests up to 33% in February 2023 upon the achievement of a 15% increase in the share price for a 30 day period within two years of the grant date and a 10% increase in adjusted EPS per year, and the remaining award will vest in February 2024 upon the achievement of 10% growth in adjusted EPS per year. The stock option awards earned based on 2023 performance vested on February 22, 2024.</w:t>
      </w:r>
    </w:p>
    <w:p>
      <w:pPr>
        <w:spacing w:after="0" w:line="1" w:lineRule="exact"/>
        <w:rPr>
          <w:rFonts w:ascii="Calibri" w:cs="Calibri" w:eastAsia="Calibri" w:hAnsi="Calibri"/>
          <w:sz w:val="14"/>
          <w:szCs w:val="14"/>
          <w:color w:val="auto"/>
        </w:rPr>
      </w:pPr>
    </w:p>
    <w:p>
      <w:pPr>
        <w:jc w:val="both"/>
        <w:ind w:left="440" w:hanging="436"/>
        <w:spacing w:after="0" w:line="262" w:lineRule="auto"/>
        <w:tabs>
          <w:tab w:leader="none" w:pos="440" w:val="left"/>
        </w:tabs>
        <w:numPr>
          <w:ilvl w:val="0"/>
          <w:numId w:val="30"/>
        </w:numPr>
        <w:rPr>
          <w:rFonts w:ascii="Calibri" w:cs="Calibri" w:eastAsia="Calibri" w:hAnsi="Calibri"/>
          <w:sz w:val="14"/>
          <w:szCs w:val="14"/>
          <w:color w:val="auto"/>
        </w:rPr>
      </w:pPr>
      <w:r>
        <w:rPr>
          <w:rFonts w:ascii="Times New Roman" w:cs="Times New Roman" w:eastAsia="Times New Roman" w:hAnsi="Times New Roman"/>
          <w:sz w:val="14"/>
          <w:szCs w:val="14"/>
          <w:color w:val="auto"/>
        </w:rPr>
        <w:t>Restricted stock award granted December 7, 2021 that has two components: 1) 40% of the award will vest evenly over four years subject to the Company producing at least $60 million adjusted operating income each year of vesting upon the filing of the Company's annual Form 10-K for the years ending 2022, 2023, 2024 and 2025; and 2) up to 60% of the award will vest at the end of the third calendar year subject to the Company achieving compounded annualized growth rates ("CAGR") in adjusted constant currency earnings per share. 20% of the award will vest if the Company achieves a threshold 5% CAGR, 40% of the award will vest if the Company achieves a target 7.5% CAGR, and 60% of the award will vest if the Company achieves a maximum 10% CAGR vesting upon the filing of the Company's annual Form 10-K for the year ending 2024.</w:t>
      </w:r>
    </w:p>
    <w:p>
      <w:pPr>
        <w:spacing w:after="0" w:line="16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72390</wp:posOffset>
            </wp:positionV>
            <wp:extent cx="718502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000"/>
          </w:cols>
          <w:pgMar w:left="560" w:top="503" w:right="339" w:bottom="1440" w:gutter="0" w:footer="0" w:header="0"/>
        </w:sectPr>
      </w:pPr>
    </w:p>
    <w:bookmarkStart w:id="54" w:name="page55"/>
    <w:bookmarkEnd w:id="54"/>
    <w:p>
      <w:pPr>
        <w:ind w:left="720" w:right="20" w:hanging="452"/>
        <w:spacing w:after="0" w:line="269" w:lineRule="auto"/>
        <w:tabs>
          <w:tab w:leader="none" w:pos="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granted December 7, 2021 that vests evenly over four years upon the achievement of a 10% increase over the share price on the date of the grant for 30 consecutive days. Stock price market performance criteria has been met.</w:t>
      </w:r>
    </w:p>
    <w:p>
      <w:pPr>
        <w:jc w:val="both"/>
        <w:ind w:left="720" w:hanging="452"/>
        <w:spacing w:after="0" w:line="260" w:lineRule="auto"/>
        <w:tabs>
          <w:tab w:leader="none" w:pos="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 granted on December 6, 2022 has two components: 1) 40% of the award will vest evenly over four years subject to the Company producing at least $60 million adjusted operating income each year of vesting upon the filing of the Company's annual Form 10-K for the years ending 2024, 2025, 2026 and 2027; and 2) up to 60% of the award will vest at the end of the third calendar year subject to the Company achieving compounded annualized growth rates ("CAGR") in adjusted constant currency earnings per share. 20% of the award will vest if the Company achieves a threshold 5% CAGR, 40% of the award will vest if the Company achieves a target 7.5% CAGR, and 60% of the award will vest if the Company achieves a maximum 10% CAGR vesting upon the filing of the Company's annual Form 10-K for the year ending 2026.</w:t>
      </w:r>
    </w:p>
    <w:p>
      <w:pPr>
        <w:spacing w:after="0" w:line="2" w:lineRule="exact"/>
        <w:rPr>
          <w:rFonts w:ascii="Times New Roman" w:cs="Times New Roman" w:eastAsia="Times New Roman" w:hAnsi="Times New Roman"/>
          <w:sz w:val="14"/>
          <w:szCs w:val="14"/>
          <w:color w:val="auto"/>
        </w:rPr>
      </w:pPr>
    </w:p>
    <w:p>
      <w:pPr>
        <w:ind w:left="720" w:hanging="452"/>
        <w:spacing w:after="0" w:line="265" w:lineRule="auto"/>
        <w:tabs>
          <w:tab w:leader="none" w:pos="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award granted on December 6, 2022 vests evenly over four years upon the achievement of a 10% increase over the share price on the date of the grant for 30 consecutive days.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 Exercises and Stock Vested for 2023</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following table sets forth certain information concerning options exercised and stock vested for the Named Executive Officers during the fiscal year ended December 31, 2023.</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40" w:type="dxa"/>
            <w:vAlign w:val="bottom"/>
          </w:tcPr>
          <w:p>
            <w:pPr>
              <w:spacing w:after="0"/>
              <w:rPr>
                <w:sz w:val="12"/>
                <w:szCs w:val="1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10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640" w:type="dxa"/>
            <w:vAlign w:val="bottom"/>
          </w:tcPr>
          <w:p>
            <w:pPr>
              <w:spacing w:after="0"/>
              <w:rPr>
                <w:sz w:val="10"/>
                <w:szCs w:val="10"/>
                <w:color w:val="auto"/>
              </w:rPr>
            </w:pPr>
          </w:p>
        </w:tc>
        <w:tc>
          <w:tcPr>
            <w:tcW w:w="142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380" w:type="dxa"/>
            <w:vAlign w:val="bottom"/>
          </w:tcPr>
          <w:p>
            <w:pPr>
              <w:spacing w:after="0"/>
              <w:rPr>
                <w:sz w:val="10"/>
                <w:szCs w:val="10"/>
                <w:color w:val="auto"/>
              </w:rPr>
            </w:pPr>
          </w:p>
        </w:tc>
        <w:tc>
          <w:tcPr>
            <w:tcW w:w="1140" w:type="dxa"/>
            <w:vAlign w:val="bottom"/>
            <w:gridSpan w:val="2"/>
          </w:tcPr>
          <w:p>
            <w:pPr>
              <w:jc w:val="center"/>
              <w:ind w:right="500"/>
              <w:spacing w:after="0" w:line="123" w:lineRule="exact"/>
              <w:rPr>
                <w:sz w:val="20"/>
                <w:szCs w:val="20"/>
                <w:color w:val="auto"/>
              </w:rPr>
            </w:pPr>
            <w:r>
              <w:rPr>
                <w:rFonts w:ascii="Times New Roman" w:cs="Times New Roman" w:eastAsia="Times New Roman" w:hAnsi="Times New Roman"/>
                <w:sz w:val="12"/>
                <w:szCs w:val="12"/>
                <w:b w:val="1"/>
                <w:bCs w:val="1"/>
                <w:color w:val="auto"/>
                <w:w w:val="93"/>
              </w:rPr>
              <w:t>Value</w:t>
            </w:r>
          </w:p>
        </w:tc>
        <w:tc>
          <w:tcPr>
            <w:tcW w:w="1440" w:type="dxa"/>
            <w:vAlign w:val="bottom"/>
            <w:gridSpan w:val="2"/>
          </w:tcPr>
          <w:p>
            <w:pPr>
              <w:jc w:val="center"/>
              <w:ind w:right="140"/>
              <w:spacing w:after="0" w:line="123"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260" w:type="dxa"/>
            <w:vAlign w:val="bottom"/>
          </w:tcPr>
          <w:p>
            <w:pPr>
              <w:spacing w:after="0"/>
              <w:rPr>
                <w:sz w:val="10"/>
                <w:szCs w:val="10"/>
                <w:color w:val="auto"/>
              </w:rPr>
            </w:pPr>
          </w:p>
        </w:tc>
        <w:tc>
          <w:tcPr>
            <w:tcW w:w="1000" w:type="dxa"/>
            <w:vAlign w:val="bottom"/>
            <w:vMerge w:val="restart"/>
          </w:tcPr>
          <w:p>
            <w:pPr>
              <w:jc w:val="center"/>
              <w:ind w:right="193"/>
              <w:spacing w:after="0"/>
              <w:rPr>
                <w:sz w:val="20"/>
                <w:szCs w:val="20"/>
                <w:color w:val="auto"/>
              </w:rPr>
            </w:pPr>
            <w:r>
              <w:rPr>
                <w:rFonts w:ascii="Times New Roman" w:cs="Times New Roman" w:eastAsia="Times New Roman" w:hAnsi="Times New Roman"/>
                <w:sz w:val="12"/>
                <w:szCs w:val="12"/>
                <w:b w:val="1"/>
                <w:bCs w:val="1"/>
                <w:color w:val="auto"/>
                <w:w w:val="86"/>
              </w:rPr>
              <w:t>Value</w:t>
            </w: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142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380" w:type="dxa"/>
            <w:vAlign w:val="bottom"/>
          </w:tcPr>
          <w:p>
            <w:pPr>
              <w:spacing w:after="0"/>
              <w:rPr>
                <w:sz w:val="10"/>
                <w:szCs w:val="10"/>
                <w:color w:val="auto"/>
              </w:rPr>
            </w:pPr>
          </w:p>
        </w:tc>
        <w:tc>
          <w:tcPr>
            <w:tcW w:w="1140" w:type="dxa"/>
            <w:vAlign w:val="bottom"/>
            <w:gridSpan w:val="2"/>
          </w:tcPr>
          <w:p>
            <w:pPr>
              <w:jc w:val="center"/>
              <w:ind w:right="520"/>
              <w:spacing w:after="0" w:line="119" w:lineRule="exact"/>
              <w:rPr>
                <w:sz w:val="20"/>
                <w:szCs w:val="20"/>
                <w:color w:val="auto"/>
              </w:rPr>
            </w:pPr>
            <w:r>
              <w:rPr>
                <w:rFonts w:ascii="Times New Roman" w:cs="Times New Roman" w:eastAsia="Times New Roman" w:hAnsi="Times New Roman"/>
                <w:sz w:val="12"/>
                <w:szCs w:val="12"/>
                <w:b w:val="1"/>
                <w:bCs w:val="1"/>
                <w:color w:val="auto"/>
                <w:w w:val="95"/>
              </w:rPr>
              <w:t>Realized</w:t>
            </w:r>
          </w:p>
        </w:tc>
        <w:tc>
          <w:tcPr>
            <w:tcW w:w="144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2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64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42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b w:val="1"/>
                <w:bCs w:val="1"/>
                <w:color w:val="auto"/>
                <w:w w:val="97"/>
              </w:rPr>
              <w:t>Acquired on</w:t>
            </w:r>
          </w:p>
        </w:tc>
        <w:tc>
          <w:tcPr>
            <w:tcW w:w="380" w:type="dxa"/>
            <w:vAlign w:val="bottom"/>
          </w:tcPr>
          <w:p>
            <w:pPr>
              <w:spacing w:after="0"/>
              <w:rPr>
                <w:sz w:val="10"/>
                <w:szCs w:val="10"/>
                <w:color w:val="auto"/>
              </w:rPr>
            </w:pPr>
          </w:p>
        </w:tc>
        <w:tc>
          <w:tcPr>
            <w:tcW w:w="1140" w:type="dxa"/>
            <w:vAlign w:val="bottom"/>
            <w:gridSpan w:val="2"/>
          </w:tcPr>
          <w:p>
            <w:pPr>
              <w:jc w:val="center"/>
              <w:ind w:right="540"/>
              <w:spacing w:after="0" w:line="119" w:lineRule="exact"/>
              <w:rPr>
                <w:sz w:val="20"/>
                <w:szCs w:val="20"/>
                <w:color w:val="auto"/>
              </w:rPr>
            </w:pPr>
            <w:r>
              <w:rPr>
                <w:rFonts w:ascii="Times New Roman" w:cs="Times New Roman" w:eastAsia="Times New Roman" w:hAnsi="Times New Roman"/>
                <w:sz w:val="12"/>
                <w:szCs w:val="12"/>
                <w:b w:val="1"/>
                <w:bCs w:val="1"/>
                <w:color w:val="auto"/>
                <w:w w:val="94"/>
              </w:rPr>
              <w:t>on Exercise</w:t>
            </w:r>
          </w:p>
        </w:tc>
        <w:tc>
          <w:tcPr>
            <w:tcW w:w="144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2"/>
                <w:szCs w:val="12"/>
                <w:b w:val="1"/>
                <w:bCs w:val="1"/>
                <w:color w:val="auto"/>
                <w:w w:val="97"/>
              </w:rPr>
              <w:t>Acquired on</w:t>
            </w:r>
          </w:p>
        </w:tc>
        <w:tc>
          <w:tcPr>
            <w:tcW w:w="260" w:type="dxa"/>
            <w:vAlign w:val="bottom"/>
          </w:tcPr>
          <w:p>
            <w:pPr>
              <w:spacing w:after="0"/>
              <w:rPr>
                <w:sz w:val="10"/>
                <w:szCs w:val="10"/>
                <w:color w:val="auto"/>
              </w:rPr>
            </w:pPr>
          </w:p>
        </w:tc>
        <w:tc>
          <w:tcPr>
            <w:tcW w:w="1000" w:type="dxa"/>
            <w:vAlign w:val="bottom"/>
          </w:tcPr>
          <w:p>
            <w:pPr>
              <w:jc w:val="center"/>
              <w:ind w:right="193"/>
              <w:spacing w:after="0" w:line="119" w:lineRule="exact"/>
              <w:rPr>
                <w:sz w:val="20"/>
                <w:szCs w:val="20"/>
                <w:color w:val="auto"/>
              </w:rPr>
            </w:pPr>
            <w:r>
              <w:rPr>
                <w:rFonts w:ascii="Times New Roman" w:cs="Times New Roman" w:eastAsia="Times New Roman" w:hAnsi="Times New Roman"/>
                <w:sz w:val="12"/>
                <w:szCs w:val="12"/>
                <w:b w:val="1"/>
                <w:bCs w:val="1"/>
                <w:color w:val="auto"/>
                <w:w w:val="95"/>
              </w:rPr>
              <w:t>Realized</w:t>
            </w:r>
          </w:p>
        </w:tc>
        <w:tc>
          <w:tcPr>
            <w:tcW w:w="0" w:type="dxa"/>
            <w:vAlign w:val="bottom"/>
          </w:tcPr>
          <w:p>
            <w:pPr>
              <w:spacing w:after="0"/>
              <w:rPr>
                <w:sz w:val="1"/>
                <w:szCs w:val="1"/>
                <w:color w:val="auto"/>
              </w:rPr>
            </w:pPr>
          </w:p>
        </w:tc>
      </w:tr>
      <w:tr>
        <w:trPr>
          <w:trHeight w:val="151"/>
        </w:trPr>
        <w:tc>
          <w:tcPr>
            <w:tcW w:w="5640" w:type="dxa"/>
            <w:vAlign w:val="bottom"/>
            <w:vMerge w:val="continue"/>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Exercise (#)</w:t>
            </w:r>
          </w:p>
        </w:tc>
        <w:tc>
          <w:tcPr>
            <w:tcW w:w="380" w:type="dxa"/>
            <w:vAlign w:val="bottom"/>
          </w:tcPr>
          <w:p>
            <w:pPr>
              <w:spacing w:after="0"/>
              <w:rPr>
                <w:sz w:val="13"/>
                <w:szCs w:val="13"/>
                <w:color w:val="auto"/>
              </w:rPr>
            </w:pPr>
          </w:p>
        </w:tc>
        <w:tc>
          <w:tcPr>
            <w:tcW w:w="1000" w:type="dxa"/>
            <w:vAlign w:val="bottom"/>
          </w:tcPr>
          <w:p>
            <w:pPr>
              <w:jc w:val="center"/>
              <w:ind w:right="314"/>
              <w:spacing w:after="0"/>
              <w:rPr>
                <w:sz w:val="20"/>
                <w:szCs w:val="20"/>
                <w:color w:val="auto"/>
              </w:rPr>
            </w:pPr>
            <w:r>
              <w:rPr>
                <w:rFonts w:ascii="Times New Roman" w:cs="Times New Roman" w:eastAsia="Times New Roman" w:hAnsi="Times New Roman"/>
                <w:sz w:val="12"/>
                <w:szCs w:val="12"/>
                <w:b w:val="1"/>
                <w:bCs w:val="1"/>
                <w:color w:val="auto"/>
                <w:w w:val="92"/>
              </w:rPr>
              <w:t>($)(1)</w:t>
            </w:r>
          </w:p>
        </w:tc>
        <w:tc>
          <w:tcPr>
            <w:tcW w:w="140" w:type="dxa"/>
            <w:vAlign w:val="bottom"/>
          </w:tcPr>
          <w:p>
            <w:pPr>
              <w:spacing w:after="0"/>
              <w:rPr>
                <w:sz w:val="13"/>
                <w:szCs w:val="13"/>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Vesting (#)</w:t>
            </w:r>
          </w:p>
        </w:tc>
        <w:tc>
          <w:tcPr>
            <w:tcW w:w="260" w:type="dxa"/>
            <w:vAlign w:val="bottom"/>
          </w:tcPr>
          <w:p>
            <w:pPr>
              <w:spacing w:after="0"/>
              <w:rPr>
                <w:sz w:val="13"/>
                <w:szCs w:val="13"/>
                <w:color w:val="auto"/>
              </w:rPr>
            </w:pPr>
          </w:p>
        </w:tc>
        <w:tc>
          <w:tcPr>
            <w:tcW w:w="1000" w:type="dxa"/>
            <w:vAlign w:val="bottom"/>
          </w:tcPr>
          <w:p>
            <w:pPr>
              <w:jc w:val="center"/>
              <w:ind w:right="193"/>
              <w:spacing w:after="0"/>
              <w:rPr>
                <w:sz w:val="20"/>
                <w:szCs w:val="20"/>
                <w:color w:val="auto"/>
              </w:rPr>
            </w:pPr>
            <w:r>
              <w:rPr>
                <w:rFonts w:ascii="Times New Roman" w:cs="Times New Roman" w:eastAsia="Times New Roman" w:hAnsi="Times New Roman"/>
                <w:sz w:val="12"/>
                <w:szCs w:val="12"/>
                <w:b w:val="1"/>
                <w:bCs w:val="1"/>
                <w:color w:val="auto"/>
                <w:w w:val="92"/>
              </w:rPr>
              <w:t>on Vesting ($)</w:t>
            </w:r>
          </w:p>
        </w:tc>
        <w:tc>
          <w:tcPr>
            <w:tcW w:w="0" w:type="dxa"/>
            <w:vAlign w:val="bottom"/>
          </w:tcPr>
          <w:p>
            <w:pPr>
              <w:spacing w:after="0"/>
              <w:rPr>
                <w:sz w:val="1"/>
                <w:szCs w:val="1"/>
                <w:color w:val="auto"/>
              </w:rPr>
            </w:pPr>
          </w:p>
        </w:tc>
      </w:tr>
      <w:tr>
        <w:trPr>
          <w:trHeight w:val="173"/>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J. Brown</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67,824</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2,781,058</w:t>
            </w:r>
          </w:p>
        </w:tc>
        <w:tc>
          <w:tcPr>
            <w:tcW w:w="14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7,937</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853,704</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Rick L. Weller</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27,130</w:t>
            </w:r>
          </w:p>
        </w:tc>
        <w:tc>
          <w:tcPr>
            <w:tcW w:w="3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1,193,449</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10,476</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1,126,799</w:t>
            </w:r>
          </w:p>
        </w:tc>
        <w:tc>
          <w:tcPr>
            <w:tcW w:w="0" w:type="dxa"/>
            <w:vAlign w:val="bottom"/>
          </w:tcPr>
          <w:p>
            <w:pPr>
              <w:spacing w:after="0"/>
              <w:rPr>
                <w:sz w:val="1"/>
                <w:szCs w:val="1"/>
                <w:color w:val="auto"/>
              </w:rPr>
            </w:pPr>
          </w:p>
        </w:tc>
      </w:tr>
      <w:tr>
        <w:trPr>
          <w:trHeight w:val="17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Nikos Fountas</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18,991</w:t>
            </w:r>
          </w:p>
        </w:tc>
        <w:tc>
          <w:tcPr>
            <w:tcW w:w="3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835,604</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9,502</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1,022,035</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Kevin J. Caponecchi</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9,502</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1,022,035</w:t>
            </w:r>
          </w:p>
        </w:tc>
        <w:tc>
          <w:tcPr>
            <w:tcW w:w="0" w:type="dxa"/>
            <w:vAlign w:val="bottom"/>
          </w:tcPr>
          <w:p>
            <w:pPr>
              <w:spacing w:after="0"/>
              <w:rPr>
                <w:sz w:val="1"/>
                <w:szCs w:val="1"/>
                <w:color w:val="auto"/>
              </w:rPr>
            </w:pPr>
          </w:p>
        </w:tc>
      </w:tr>
      <w:tr>
        <w:trPr>
          <w:trHeight w:val="17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Juan C. Bianchi</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9,502</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1,022,035</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 Market value of underlying securities on the date of exercise, minus the exercise price.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72390</wp:posOffset>
            </wp:positionV>
            <wp:extent cx="7185025"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Employment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Messrs. Brown, Weller, Caponecchi and Bianchi</w:t>
      </w:r>
    </w:p>
    <w:p>
      <w:pPr>
        <w:spacing w:after="0" w:line="189"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Messrs. Brown, Weller, Caponecchi and Bianchi have employment agreements that have substantially the same terms, except with respect to the levels of compensation, and as otherwise discussed below or under “Compensation Tables” above. The agreements with Messrs. Brown and Weller were entered into in October 2003 and were amended and restated in April 2008, principally to bring them into conformity with the provisions of the Jobs Creation Act of 2004</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 agreements with Messrs. Caponecchi and Bianchi were entered into during 2007 in connection with their hiring. Mr. Bianchi's agreement was also amended in April 2008.</w:t>
      </w:r>
    </w:p>
    <w:p>
      <w:pPr>
        <w:spacing w:after="0" w:line="137" w:lineRule="exact"/>
        <w:rPr>
          <w:sz w:val="20"/>
          <w:szCs w:val="20"/>
          <w:color w:val="auto"/>
        </w:rPr>
      </w:pPr>
    </w:p>
    <w:p>
      <w:pPr>
        <w:jc w:val="both"/>
        <w:ind w:firstLine="331"/>
        <w:spacing w:after="0" w:line="263" w:lineRule="auto"/>
        <w:rPr>
          <w:sz w:val="20"/>
          <w:szCs w:val="20"/>
          <w:color w:val="auto"/>
        </w:rPr>
      </w:pPr>
      <w:r>
        <w:rPr>
          <w:rFonts w:ascii="Times New Roman" w:cs="Times New Roman" w:eastAsia="Times New Roman" w:hAnsi="Times New Roman"/>
          <w:sz w:val="14"/>
          <w:szCs w:val="14"/>
          <w:color w:val="auto"/>
        </w:rPr>
        <w:t>The employment agreements have indefinite terms and provide that they may be terminated by the executives at any time upon 60 days’ notice for Messrs. Brown, Weller, and Caponecchi and 30 days' notice for Mr. Bianchi. The agreements may be terminated by Euronet with or without “cause” provided that, in the case of termination due to “cause,” Euronet provides the executive with 14 days’ notice. The agreements define “cause” to mean: (i) conviction of the executive of, or the entry of a plea of guilty or nolo contendere by the executive to, any felony or any misdemeanor involving moral turpitude; (ii) fraud, misappropriation or embezzlement by the executive; (iii) willful failure or gross misconduct in the performance of the executive’s assigned duties; (iv) willful failure by the executive to follow reasonable instructions of any officer to whom the executive reports or the Board of Directors; and (v) the executive’s gross negligence in the performance of his assigned duties. In each case, the employment agreements provide that, in a three-year period following a “change in control,” termination for “cause” is limited to only mean an act of dishonesty by an executive constituting a felony that was intended to or resulted in gain or personal enrichment of the executive at Euronet’s expense. Euronet’s termination of an executive’s employment for cause does not result in separation payments, separation benefits or accelerated or extended vesting of unvested stock option or restricted stock awards.</w:t>
      </w:r>
    </w:p>
    <w:p>
      <w:pPr>
        <w:spacing w:after="0" w:line="144"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If Euronet terminates an executive absent cause and prior to a “change in control” as discussed below, the employment agreements provide that Messrs. Brown, Weller, Caponecchi and Bianchi will be entitled to certain severance benefits for a period of 24 months, including the payment of the executive’s then current base salary, the continuation of the vesting and rights to exercise any then outstanding equity-based awards and the continuation of health and life insurance benefits.</w:t>
      </w:r>
    </w:p>
    <w:p>
      <w:pPr>
        <w:spacing w:after="0" w:line="134" w:lineRule="exact"/>
        <w:rPr>
          <w:sz w:val="20"/>
          <w:szCs w:val="20"/>
          <w:color w:val="auto"/>
        </w:rPr>
      </w:pPr>
    </w:p>
    <w:p>
      <w:pPr>
        <w:jc w:val="both"/>
        <w:ind w:firstLine="331"/>
        <w:spacing w:after="0" w:line="269" w:lineRule="auto"/>
        <w:rPr>
          <w:sz w:val="20"/>
          <w:szCs w:val="20"/>
          <w:color w:val="auto"/>
        </w:rPr>
      </w:pPr>
      <w:r>
        <w:rPr>
          <w:rFonts w:ascii="Times New Roman" w:cs="Times New Roman" w:eastAsia="Times New Roman" w:hAnsi="Times New Roman"/>
          <w:sz w:val="14"/>
          <w:szCs w:val="14"/>
          <w:color w:val="auto"/>
        </w:rPr>
        <w:t>In general, voluntary termination by Messrs. Brown, Weller and Caponecchi does not result in separation payments, separation benefits or accelerated or extended vesting of unvested stock options or restricted stock, except under certain circumstances constituting constructive termination. These circumstances include certain changes in conditions of the executives’ employment, such as a significant diminution in responsibilities or salary or a forced relocation. In such circumstances, these executives are entitled to the same severance benefits as if they were terminated by Euronet absent cause, prior to a “change of control.” Voluntary termination by Mr. Bianchi prior to a "change in control" generally entitles Mr. Bianchi to the same severance benefits as a termination absent cause.</w:t>
      </w:r>
    </w:p>
    <w:p>
      <w:pPr>
        <w:spacing w:after="0" w:line="315" w:lineRule="exact"/>
        <w:rPr>
          <w:sz w:val="20"/>
          <w:szCs w:val="20"/>
          <w:color w:val="auto"/>
        </w:rPr>
      </w:pPr>
    </w:p>
    <w:p>
      <w:pPr>
        <w:jc w:val="both"/>
        <w:ind w:firstLine="664"/>
        <w:spacing w:after="0" w:line="277" w:lineRule="auto"/>
        <w:rPr>
          <w:sz w:val="20"/>
          <w:szCs w:val="20"/>
          <w:color w:val="auto"/>
        </w:rPr>
      </w:pPr>
      <w:r>
        <w:rPr>
          <w:rFonts w:ascii="Times New Roman" w:cs="Times New Roman" w:eastAsia="Times New Roman" w:hAnsi="Times New Roman"/>
          <w:sz w:val="14"/>
          <w:szCs w:val="14"/>
          <w:color w:val="auto"/>
        </w:rPr>
        <w:t>The following table summarizes the severance benefits due Messrs. Brown, Weller and Caponecchi upon their termination by Euronet without cause, or their voluntary termination due to their constructive termination, and, in the case of Mr. Bianchi, the severance benefits due upon his termination without cause by Euronet or upon his voluntary termination for any reason as of December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20" w:type="dxa"/>
            <w:vAlign w:val="bottom"/>
          </w:tcPr>
          <w:p>
            <w:pPr>
              <w:spacing w:after="0"/>
              <w:rPr>
                <w:sz w:val="12"/>
                <w:szCs w:val="12"/>
                <w:color w:val="auto"/>
              </w:rPr>
            </w:pPr>
          </w:p>
        </w:tc>
        <w:tc>
          <w:tcPr>
            <w:tcW w:w="12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Base Salary</w:t>
            </w:r>
          </w:p>
        </w:tc>
        <w:tc>
          <w:tcPr>
            <w:tcW w:w="16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Unvested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7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8"/>
        </w:trPr>
        <w:tc>
          <w:tcPr>
            <w:tcW w:w="5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3"/>
              </w:rPr>
              <w:t>Equity Comp(1)</w:t>
            </w:r>
          </w:p>
        </w:tc>
        <w:tc>
          <w:tcPr>
            <w:tcW w:w="8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J. Brown</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1,700,000</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5,066,031</w:t>
            </w: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24,016</w:t>
            </w: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6,790,047</w:t>
            </w:r>
          </w:p>
        </w:tc>
        <w:tc>
          <w:tcPr>
            <w:tcW w:w="0" w:type="dxa"/>
            <w:vAlign w:val="bottom"/>
          </w:tcPr>
          <w:p>
            <w:pPr>
              <w:spacing w:after="0"/>
              <w:rPr>
                <w:sz w:val="1"/>
                <w:szCs w:val="1"/>
                <w:color w:val="auto"/>
              </w:rPr>
            </w:pPr>
          </w:p>
        </w:tc>
      </w:tr>
      <w:tr>
        <w:trPr>
          <w:trHeight w:val="173"/>
        </w:trPr>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Rick L. Weller</w:t>
            </w:r>
          </w:p>
        </w:tc>
        <w:tc>
          <w:tcPr>
            <w:tcW w:w="2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1,000,000</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2,829,263</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24,016</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3,853,279</w:t>
            </w:r>
          </w:p>
        </w:tc>
        <w:tc>
          <w:tcPr>
            <w:tcW w:w="0" w:type="dxa"/>
            <w:vAlign w:val="bottom"/>
          </w:tcPr>
          <w:p>
            <w:pPr>
              <w:spacing w:after="0"/>
              <w:rPr>
                <w:sz w:val="1"/>
                <w:szCs w:val="1"/>
                <w:color w:val="auto"/>
              </w:rPr>
            </w:pPr>
          </w:p>
        </w:tc>
      </w:tr>
      <w:tr>
        <w:trPr>
          <w:trHeight w:val="173"/>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Kevin J. Caponecchi</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900,000</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2,668,142</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23,126</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3,591,268</w:t>
            </w:r>
          </w:p>
        </w:tc>
        <w:tc>
          <w:tcPr>
            <w:tcW w:w="0" w:type="dxa"/>
            <w:vAlign w:val="bottom"/>
          </w:tcPr>
          <w:p>
            <w:pPr>
              <w:spacing w:after="0"/>
              <w:rPr>
                <w:sz w:val="1"/>
                <w:szCs w:val="1"/>
                <w:color w:val="auto"/>
              </w:rPr>
            </w:pPr>
          </w:p>
        </w:tc>
      </w:tr>
      <w:tr>
        <w:trPr>
          <w:trHeight w:val="188"/>
        </w:trPr>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Juan C. Bianchi</w:t>
            </w: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900,000</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2,668,142</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65,768</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3,633,910</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440" w:hanging="142"/>
        <w:spacing w:after="0" w:line="267" w:lineRule="auto"/>
        <w:tabs>
          <w:tab w:leader="none" w:pos="4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value of unvested awards at December 31, 2023 that would become vested upon a termination without cause or constructive termination. For the purpose of this table, we have assumed the following for restricted stock awards and stock option awards that vest based on various performance measurements: (a) an annual increase in adjusted EPS of 6% each year, which represents a reasonable estimate of average annual long-term equity returns, (b) that adjusted operating income will exceed $60 million each year, (c) that Euronet’s Common Stock price remains at the December 31, 2023 price through the 24-month vesting period, except that we have assumed the vesting of stock options that have a performance measurement equal to a 10% increase in stock price for a 30 day period is achieved.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72390</wp:posOffset>
            </wp:positionV>
            <wp:extent cx="7185025"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58" w:right="319" w:bottom="1440" w:gutter="0" w:footer="0" w:header="0"/>
        </w:sectPr>
      </w:pPr>
    </w:p>
    <w:bookmarkStart w:id="56" w:name="page57"/>
    <w:bookmarkEnd w:id="56"/>
    <w:p>
      <w:pPr>
        <w:jc w:val="both"/>
        <w:ind w:right="40" w:firstLine="331"/>
        <w:spacing w:after="0" w:line="262" w:lineRule="auto"/>
        <w:rPr>
          <w:sz w:val="20"/>
          <w:szCs w:val="20"/>
          <w:color w:val="auto"/>
        </w:rPr>
      </w:pPr>
      <w:r>
        <w:rPr>
          <w:rFonts w:ascii="Times New Roman" w:cs="Times New Roman" w:eastAsia="Times New Roman" w:hAnsi="Times New Roman"/>
          <w:sz w:val="14"/>
          <w:szCs w:val="14"/>
          <w:color w:val="auto"/>
        </w:rPr>
        <w:t>In the event of a “change of control,” all equity incentive awards outstanding held by Messrs. Brown, Weller, Caponecchi and Bianchi will become immediately vested and the term of the employment agreements become fixed at three years from the date of the change of control and they may be terminated without cause only upon payment to the executive of a lump sum within five days of the termination equal to the full amount of base salary that would have been payable during the remaining term of the agreement (or for two years, if the remaining term is less than two years), discounted at a rate of 7.5% per annum. These provisions also apply if the executive resigns for “good reason” following a “change of control.” “Good reason” includes certain changes in conditions of employment, as a result of which the executive can be considered to have been constructively terminated, including a significant diminution in responsibilities or salary or a forced relocation. In general, the employment agreements provide that “change of control” includes: (i) completion of any merger, consolidation or sale of substantially all of our assets and such merger results in our stockholders immediately prior to the merger holding less than 50% of the surviving entity; (ii) replacement of over 25% of our Directors without the approval of at least 75% of the Directors in office as of the effective date of the employment agreement or of Directors so approved; or (iii) the acquisition by any person or group of persons of 40% or more of the voting rights of our outstanding voting securities.</w:t>
      </w:r>
    </w:p>
    <w:p>
      <w:pPr>
        <w:spacing w:after="0" w:line="146" w:lineRule="exact"/>
        <w:rPr>
          <w:sz w:val="20"/>
          <w:szCs w:val="20"/>
          <w:color w:val="auto"/>
        </w:rPr>
      </w:pPr>
    </w:p>
    <w:p>
      <w:pPr>
        <w:jc w:val="both"/>
        <w:ind w:right="40" w:firstLine="331"/>
        <w:spacing w:after="0" w:line="298" w:lineRule="auto"/>
        <w:rPr>
          <w:sz w:val="20"/>
          <w:szCs w:val="20"/>
          <w:color w:val="auto"/>
        </w:rPr>
      </w:pPr>
      <w:r>
        <w:rPr>
          <w:rFonts w:ascii="Times New Roman" w:cs="Times New Roman" w:eastAsia="Times New Roman" w:hAnsi="Times New Roman"/>
          <w:sz w:val="14"/>
          <w:szCs w:val="14"/>
          <w:color w:val="auto"/>
        </w:rPr>
        <w:t>Assuming a "change in control" occurred on December 31, 2023, the remaining term of the agreement was three years and assuming the amounts due under the change of control provisions outlined above would be paid in a lump sum, the following table summarizes amounts that would have accrued to these Named Executive Officers: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Unvested</w:t>
            </w: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1"/>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2"/>
                <w:szCs w:val="12"/>
                <w:b w:val="1"/>
                <w:bCs w:val="1"/>
                <w:color w:val="auto"/>
              </w:rPr>
              <w:t>Base Salary</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2"/>
                <w:szCs w:val="12"/>
                <w:b w:val="1"/>
                <w:bCs w:val="1"/>
                <w:color w:val="auto"/>
              </w:rPr>
              <w:t>Equity Comp(1)</w:t>
            </w: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8"/>
        </w:trPr>
        <w:tc>
          <w:tcPr>
            <w:tcW w:w="4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Michael J. Brown</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2,277,144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17,973,469</w:t>
            </w:r>
          </w:p>
        </w:tc>
        <w:tc>
          <w:tcPr>
            <w:tcW w:w="10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36,024</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20,286,637</w:t>
            </w:r>
          </w:p>
        </w:tc>
      </w:tr>
      <w:tr>
        <w:trPr>
          <w:trHeight w:val="222"/>
        </w:trPr>
        <w:tc>
          <w:tcPr>
            <w:tcW w:w="4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Rick L. Weller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1,339,496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6,758,964</w:t>
            </w:r>
          </w:p>
        </w:tc>
        <w:tc>
          <w:tcPr>
            <w:tcW w:w="10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36,024</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8,134,484</w:t>
            </w:r>
          </w:p>
        </w:tc>
      </w:tr>
      <w:tr>
        <w:trPr>
          <w:trHeight w:val="232"/>
        </w:trPr>
        <w:tc>
          <w:tcPr>
            <w:tcW w:w="4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Kevin J. Caponecchi</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1,205,547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6,369,523</w:t>
            </w:r>
          </w:p>
        </w:tc>
        <w:tc>
          <w:tcPr>
            <w:tcW w:w="10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34,689</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7,609,759</w:t>
            </w:r>
          </w:p>
        </w:tc>
      </w:tr>
      <w:tr>
        <w:trPr>
          <w:trHeight w:val="217"/>
        </w:trPr>
        <w:tc>
          <w:tcPr>
            <w:tcW w:w="4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Juan C. Bianchi</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1,205,547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6,369,523</w:t>
            </w:r>
          </w:p>
        </w:tc>
        <w:tc>
          <w:tcPr>
            <w:tcW w:w="10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98,652</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7,673,722</w:t>
            </w:r>
          </w:p>
        </w:tc>
      </w:tr>
    </w:tbl>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 Represents the value of all unvested equity awards at December 31, 2023.</w:t>
      </w:r>
    </w:p>
    <w:p>
      <w:pPr>
        <w:spacing w:after="0" w:line="185" w:lineRule="exact"/>
        <w:rPr>
          <w:sz w:val="20"/>
          <w:szCs w:val="20"/>
          <w:color w:val="auto"/>
        </w:rPr>
      </w:pPr>
    </w:p>
    <w:p>
      <w:pPr>
        <w:jc w:val="both"/>
        <w:ind w:right="40" w:firstLine="331"/>
        <w:spacing w:after="0" w:line="298" w:lineRule="auto"/>
        <w:rPr>
          <w:sz w:val="20"/>
          <w:szCs w:val="20"/>
          <w:color w:val="auto"/>
        </w:rPr>
      </w:pPr>
      <w:r>
        <w:rPr>
          <w:rFonts w:ascii="Times New Roman" w:cs="Times New Roman" w:eastAsia="Times New Roman" w:hAnsi="Times New Roman"/>
          <w:sz w:val="14"/>
          <w:szCs w:val="14"/>
          <w:color w:val="auto"/>
        </w:rPr>
        <w:t>The Compensation Committee has considered the above “change of control” provisions in the Named Executive Officers' employment agreements, and determined that the provisions offered to executives by Euronet are reasonable and appropriate.</w:t>
      </w:r>
    </w:p>
    <w:p>
      <w:pPr>
        <w:spacing w:after="0" w:line="119" w:lineRule="exact"/>
        <w:rPr>
          <w:sz w:val="20"/>
          <w:szCs w:val="20"/>
          <w:color w:val="auto"/>
        </w:rPr>
      </w:pPr>
    </w:p>
    <w:p>
      <w:pPr>
        <w:jc w:val="both"/>
        <w:ind w:right="40" w:firstLine="331"/>
        <w:spacing w:after="0" w:line="267" w:lineRule="auto"/>
        <w:rPr>
          <w:sz w:val="20"/>
          <w:szCs w:val="20"/>
          <w:color w:val="auto"/>
        </w:rPr>
      </w:pPr>
      <w:r>
        <w:rPr>
          <w:rFonts w:ascii="Times New Roman" w:cs="Times New Roman" w:eastAsia="Times New Roman" w:hAnsi="Times New Roman"/>
          <w:sz w:val="14"/>
          <w:szCs w:val="14"/>
          <w:color w:val="auto"/>
        </w:rPr>
        <w:t>Additionally, the employment agreements entitle the executives to certain rights to income and excise tax gross-up amounts in the event Section 4999 of the Code, or any similar tax law, applies to the change in control payments. If an executive is entitled to such tax gross-up payments, the gross-up payments will be made either to the executive or directly to the Internal Revenue Service. The gross-up amounts are subject to additional conditions and limitations and exclude excise taxes or other penalties under Section 409A of the Code. Assuming calendar year 2023 federal and state income rates, a termination without cause or good reason in connection with a change in control, and in the case of Mr. Bianchi, termination without cause or voluntary termination for any reason, each executive officer would have not been entitled to receive any tax gross-up payment as of December 31, 2023.</w:t>
      </w:r>
    </w:p>
    <w:p>
      <w:pPr>
        <w:spacing w:after="0" w:line="141" w:lineRule="exact"/>
        <w:rPr>
          <w:sz w:val="20"/>
          <w:szCs w:val="20"/>
          <w:color w:val="auto"/>
        </w:rPr>
      </w:pPr>
    </w:p>
    <w:p>
      <w:pPr>
        <w:jc w:val="both"/>
        <w:ind w:right="40" w:firstLine="331"/>
        <w:spacing w:after="0" w:line="277" w:lineRule="auto"/>
        <w:rPr>
          <w:sz w:val="20"/>
          <w:szCs w:val="20"/>
          <w:color w:val="auto"/>
        </w:rPr>
      </w:pPr>
      <w:r>
        <w:rPr>
          <w:rFonts w:ascii="Times New Roman" w:cs="Times New Roman" w:eastAsia="Times New Roman" w:hAnsi="Times New Roman"/>
          <w:sz w:val="14"/>
          <w:szCs w:val="14"/>
          <w:color w:val="auto"/>
        </w:rPr>
        <w:t>The Compensation Committee has considered these tax gross-up clauses and has determined that it would not require elimination of such clauses where they appear in existing executive employment agreements. However, in February 2011, the Committee adopted a policy that from that date forward, it would not renew any existing agreements with tax gross-up clauses nor would it grant tax gross-up clauses in new executive employment agreements entered into by the Company.</w:t>
      </w:r>
    </w:p>
    <w:p>
      <w:pPr>
        <w:spacing w:after="0" w:line="134" w:lineRule="exact"/>
        <w:rPr>
          <w:sz w:val="20"/>
          <w:szCs w:val="20"/>
          <w:color w:val="auto"/>
        </w:rPr>
      </w:pPr>
    </w:p>
    <w:p>
      <w:pPr>
        <w:jc w:val="both"/>
        <w:ind w:right="40" w:firstLine="331"/>
        <w:spacing w:after="0" w:line="277" w:lineRule="auto"/>
        <w:rPr>
          <w:sz w:val="20"/>
          <w:szCs w:val="20"/>
          <w:color w:val="auto"/>
        </w:rPr>
      </w:pPr>
      <w:r>
        <w:rPr>
          <w:rFonts w:ascii="Times New Roman" w:cs="Times New Roman" w:eastAsia="Times New Roman" w:hAnsi="Times New Roman"/>
          <w:sz w:val="14"/>
          <w:szCs w:val="14"/>
          <w:color w:val="auto"/>
        </w:rPr>
        <w:t>In the event of the death of an executive officer, with the exception of Mr. Caponecchi who is discussed below, the provisions of our equity award agreements generally provide that all unvested equity awards outstanding shall vest immediately. As of December 31, 2023, the value of unvested equity awards outstanding that would vest in the event of death was $17,973,469 for Mr. Brown, $6,758,964 for Mr. Weller and $6,369,523 for Mr. Bianchi.</w:t>
      </w:r>
    </w:p>
    <w:p>
      <w:pPr>
        <w:spacing w:after="0" w:line="134" w:lineRule="exact"/>
        <w:rPr>
          <w:sz w:val="20"/>
          <w:szCs w:val="20"/>
          <w:color w:val="auto"/>
        </w:rPr>
      </w:pPr>
    </w:p>
    <w:p>
      <w:pPr>
        <w:jc w:val="both"/>
        <w:ind w:right="40" w:firstLine="331"/>
        <w:spacing w:after="0" w:line="263" w:lineRule="auto"/>
        <w:rPr>
          <w:sz w:val="20"/>
          <w:szCs w:val="20"/>
          <w:color w:val="auto"/>
        </w:rPr>
      </w:pPr>
      <w:r>
        <w:rPr>
          <w:rFonts w:ascii="Times New Roman" w:cs="Times New Roman" w:eastAsia="Times New Roman" w:hAnsi="Times New Roman"/>
          <w:sz w:val="14"/>
          <w:szCs w:val="14"/>
          <w:color w:val="auto"/>
        </w:rPr>
        <w:t>In the event of disability of an executive officer, with the exception of Mr. Caponecchi who is discussed below, the employment agreements with Messrs. Brown, Weller and Bianchi provide for the payment of a lump-sum disability benefit equal to 12 months of the current base salary, which as of December 31, 2023 represented $850,000 for Mr. Brown, $500,000 for Mr. Weller and $450,000 for Mr. Bianchi. In addition, the provisions of our equity award agreements generally provide that all equity awards outstanding shall vest immediately. As of December 31, 2023, the value of unvested equity awards outstanding that would vest in the event of disability was $17,973,469 for Mr. Brown, $6.758.964 for Mr. Weller and $6,369,523 for Mr. Bianchi. The employment agreements with Messrs. Brown, Weller and Bianchi also provide that the executives’ right to exercise any such awards will continue for a period of 12 months after termination due to disability.</w:t>
      </w: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72390</wp:posOffset>
            </wp:positionV>
            <wp:extent cx="7185025"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320"/>
          </w:cols>
          <w:pgMar w:left="300" w:top="470" w:right="279" w:bottom="1440" w:gutter="0" w:footer="0" w:header="0"/>
        </w:sectPr>
      </w:pPr>
    </w:p>
    <w:bookmarkStart w:id="57" w:name="page58"/>
    <w:bookmarkEnd w:id="57"/>
    <w:p>
      <w:pPr>
        <w:jc w:val="both"/>
        <w:ind w:right="40" w:firstLine="331"/>
        <w:spacing w:after="0" w:line="277" w:lineRule="auto"/>
        <w:rPr>
          <w:sz w:val="20"/>
          <w:szCs w:val="20"/>
          <w:color w:val="auto"/>
        </w:rPr>
      </w:pPr>
      <w:r>
        <w:rPr>
          <w:rFonts w:ascii="Times New Roman" w:cs="Times New Roman" w:eastAsia="Times New Roman" w:hAnsi="Times New Roman"/>
          <w:sz w:val="14"/>
          <w:szCs w:val="14"/>
          <w:color w:val="auto"/>
        </w:rPr>
        <w:t>In the event of death or disability of Mr. Caponecchi, his employment agreement provides for a payment of a lump sum benefit equal to 24 months of the current base salary, which as of December 31, 2023 represented a total of $900,000. Mr. Caponecchi’s employment agreement also stipulates that all unvested equity incentive awards shall vest immediately, which represents $6,369,523 as of December 31, 2023. The stock options will remain exercisable pursuant to their terms after the death or disability of Mr. Caponecchi.</w:t>
      </w:r>
    </w:p>
    <w:p>
      <w:pPr>
        <w:spacing w:after="0" w:line="134" w:lineRule="exact"/>
        <w:rPr>
          <w:sz w:val="20"/>
          <w:szCs w:val="20"/>
          <w:color w:val="auto"/>
        </w:rPr>
      </w:pPr>
    </w:p>
    <w:p>
      <w:pPr>
        <w:jc w:val="both"/>
        <w:ind w:right="40" w:firstLine="331"/>
        <w:spacing w:after="0" w:line="277" w:lineRule="auto"/>
        <w:rPr>
          <w:sz w:val="20"/>
          <w:szCs w:val="20"/>
          <w:color w:val="auto"/>
        </w:rPr>
      </w:pPr>
      <w:r>
        <w:rPr>
          <w:rFonts w:ascii="Times New Roman" w:cs="Times New Roman" w:eastAsia="Times New Roman" w:hAnsi="Times New Roman"/>
          <w:sz w:val="14"/>
          <w:szCs w:val="14"/>
          <w:color w:val="auto"/>
        </w:rPr>
        <w:t>Messrs. Brown, Weller, Caponecchi and Bianchi must not disclose confidential information during the term of the employment agreements and following termination. Each of the agreements includes a restriction on the ability of the executive to compete with Euronet or solicit our employees during the severance period following termination. Any severance payments are conditioned on the executive officer complying with these restrictions.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Mr. Fountas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Mr. Fountas entered into an employment agreement in May 2018 as part of his relocation to the U.K. His employment agreement is governed by English law.</w:t>
      </w:r>
    </w:p>
    <w:p>
      <w:pPr>
        <w:spacing w:after="0" w:line="185" w:lineRule="exact"/>
        <w:rPr>
          <w:sz w:val="20"/>
          <w:szCs w:val="20"/>
          <w:color w:val="auto"/>
        </w:rPr>
      </w:pPr>
    </w:p>
    <w:p>
      <w:pPr>
        <w:jc w:val="both"/>
        <w:ind w:right="40" w:firstLine="331"/>
        <w:spacing w:after="0" w:line="267" w:lineRule="auto"/>
        <w:rPr>
          <w:sz w:val="20"/>
          <w:szCs w:val="20"/>
          <w:color w:val="auto"/>
        </w:rPr>
      </w:pPr>
      <w:r>
        <w:rPr>
          <w:rFonts w:ascii="Times New Roman" w:cs="Times New Roman" w:eastAsia="Times New Roman" w:hAnsi="Times New Roman"/>
          <w:sz w:val="14"/>
          <w:szCs w:val="14"/>
          <w:color w:val="auto"/>
        </w:rPr>
        <w:t>Mr. Fountas’ employment agreement has an indefinite term and provides that it may be terminated by Mr. Fountas at any time upon 90 days’ notice. Mr. Fountas’ employment agreement may be terminated by Euronet with 24 months’ notice except in connection with the following circumstances (“cause”) for which no notice is required: (i) any material breach or non-observance of Mr. Fountas’ duties; (ii) any act of fraud, misappropriation or embezzlement in connection with Mr. Fountas’ employment; (iii) conviction of a criminal offence (excluding certain road traffic violations), (iv) willful failure to follow any reasonable instructions of the Board or any Euronet officer to whom Mr. Fountas reports; or (v) any gross negligence or gross misconduct in the performance of Mr. Fountas’ assigned duties.</w:t>
      </w:r>
    </w:p>
    <w:p>
      <w:pPr>
        <w:spacing w:after="0" w:line="141" w:lineRule="exact"/>
        <w:rPr>
          <w:sz w:val="20"/>
          <w:szCs w:val="20"/>
          <w:color w:val="auto"/>
        </w:rPr>
      </w:pPr>
    </w:p>
    <w:p>
      <w:pPr>
        <w:jc w:val="both"/>
        <w:ind w:right="40" w:firstLine="331"/>
        <w:spacing w:after="0" w:line="267" w:lineRule="auto"/>
        <w:rPr>
          <w:sz w:val="20"/>
          <w:szCs w:val="20"/>
          <w:color w:val="auto"/>
        </w:rPr>
      </w:pPr>
      <w:r>
        <w:rPr>
          <w:rFonts w:ascii="Times New Roman" w:cs="Times New Roman" w:eastAsia="Times New Roman" w:hAnsi="Times New Roman"/>
          <w:sz w:val="14"/>
          <w:szCs w:val="14"/>
          <w:color w:val="auto"/>
        </w:rPr>
        <w:t>If Euronet terminates Mr. Fountas absent “cause” as described above and prior to a “change in control” as discussed below and without the required 24 months prior notice, Mr. Fountas’ employment agreements provides that he will be entitled to receive a sum in lieu of notice, either as a lump sum or in 24 equal monthly installments in arrears, equivalent to the fixed salary provided under the agreement, which Mr. Fountas would have been entitled during the 24 month notice period, or if notice has already been given, during any unexpired period of notice (the “Unexpired Notice Period”); provided, however, that Euronet’s obligation to make any further payments ceases if Mr. Fountas commences new employment during the Unexpired Notice Period. In addition, Mr. Fountas will be entitled to the continuation of the vesting and rights to exercise any then outstanding equity-based awards during the Unexpired Notice Period.</w:t>
      </w:r>
    </w:p>
    <w:p>
      <w:pPr>
        <w:spacing w:after="0" w:line="141" w:lineRule="exact"/>
        <w:rPr>
          <w:sz w:val="20"/>
          <w:szCs w:val="20"/>
          <w:color w:val="auto"/>
        </w:rPr>
      </w:pPr>
    </w:p>
    <w:p>
      <w:pPr>
        <w:jc w:val="both"/>
        <w:ind w:right="40" w:firstLine="331"/>
        <w:spacing w:after="0" w:line="298" w:lineRule="auto"/>
        <w:rPr>
          <w:sz w:val="20"/>
          <w:szCs w:val="20"/>
          <w:color w:val="auto"/>
        </w:rPr>
      </w:pPr>
      <w:r>
        <w:rPr>
          <w:rFonts w:ascii="Times New Roman" w:cs="Times New Roman" w:eastAsia="Times New Roman" w:hAnsi="Times New Roman"/>
          <w:sz w:val="14"/>
          <w:szCs w:val="14"/>
          <w:color w:val="auto"/>
        </w:rPr>
        <w:t>The following table summarizes the severance benefits due Mr. Fountas upon his termination by Euronet without “cause” and prior to a “change in control” as of December 31, 2023, assuming no notice was given prior to such termination:</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7"/>
              </w:rPr>
              <w:t>Unvested</w:t>
            </w: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1"/>
        </w:trPr>
        <w:tc>
          <w:tcPr>
            <w:tcW w:w="4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2"/>
                <w:szCs w:val="12"/>
                <w:b w:val="1"/>
                <w:bCs w:val="1"/>
                <w:color w:val="auto"/>
              </w:rPr>
              <w:t>Base Salary(1)</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b w:val="1"/>
                <w:bCs w:val="1"/>
                <w:color w:val="auto"/>
                <w:w w:val="96"/>
              </w:rPr>
              <w:t>Equity Comp(2)</w:t>
            </w:r>
          </w:p>
        </w:tc>
        <w:tc>
          <w:tcPr>
            <w:tcW w:w="1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8"/>
        </w:trPr>
        <w:tc>
          <w:tcPr>
            <w:tcW w:w="4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Nikos Fountas</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852,494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4"/>
                <w:szCs w:val="14"/>
                <w:color w:val="auto"/>
              </w:rPr>
              <w:t>2,668,142</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3,520,636</w:t>
            </w:r>
          </w:p>
        </w:tc>
      </w:tr>
    </w:tbl>
    <w:p>
      <w:pPr>
        <w:spacing w:after="0" w:line="158" w:lineRule="exact"/>
        <w:rPr>
          <w:sz w:val="20"/>
          <w:szCs w:val="20"/>
          <w:color w:val="auto"/>
        </w:rPr>
      </w:pPr>
    </w:p>
    <w:p>
      <w:pPr>
        <w:jc w:val="both"/>
        <w:ind w:left="440" w:right="40" w:hanging="142"/>
        <w:spacing w:after="0" w:line="265" w:lineRule="auto"/>
        <w:tabs>
          <w:tab w:leader="none" w:pos="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Fountas' employment agreement provides for payments in British pounds and the U.S. dollar amounts disclosed for salary and benefits were converted using an annual average foreign currency exchange rate of $1.243 per pound for the year ended December 31, 2023. Restricted stock and option awards are valued in U.S. dollars; therefore, no foreign currency conversion occurs.</w:t>
      </w:r>
    </w:p>
    <w:p>
      <w:pPr>
        <w:jc w:val="both"/>
        <w:ind w:left="440" w:right="40" w:hanging="142"/>
        <w:spacing w:after="0" w:line="262" w:lineRule="auto"/>
        <w:tabs>
          <w:tab w:leader="none" w:pos="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all unvested equity awards at December 31, 2023 that would become vested upon a termination without cause or constructive termination. For the purpose of this table, we have assumed the following for restricted stock awards and stock option awards that vest based on various performance measurements: (a) an annual increase in adjusted EPS of 6% each year, which represents a reasonable estimate of average annual long-term equity returns, (b) that adjusted operating income will exceed $60 million each year, and (c) that Euronet’s Common Stock price remains at the December 31, 2023 price through the 24-month vesting period except that we have assumed the vesting of stock options that have a performance measurement equal to a 10% increase in stock price for a 30 day period.</w:t>
      </w:r>
    </w:p>
    <w:p>
      <w:pPr>
        <w:spacing w:after="0" w:line="143" w:lineRule="exact"/>
        <w:rPr>
          <w:sz w:val="20"/>
          <w:szCs w:val="20"/>
          <w:color w:val="auto"/>
        </w:rPr>
      </w:pPr>
    </w:p>
    <w:p>
      <w:pPr>
        <w:jc w:val="both"/>
        <w:ind w:right="40" w:firstLine="331"/>
        <w:spacing w:after="0" w:line="268" w:lineRule="auto"/>
        <w:rPr>
          <w:sz w:val="20"/>
          <w:szCs w:val="20"/>
          <w:color w:val="auto"/>
        </w:rPr>
      </w:pPr>
      <w:r>
        <w:rPr>
          <w:rFonts w:ascii="Times New Roman" w:cs="Times New Roman" w:eastAsia="Times New Roman" w:hAnsi="Times New Roman"/>
          <w:sz w:val="14"/>
          <w:szCs w:val="14"/>
          <w:color w:val="auto"/>
        </w:rPr>
        <w:t>In the event of a “change of control,” all equity awards outstanding held by Mr. Fountas will become immediately vested. In the event Mr. Fountas is terminated for any reason within one year of a "change of control," he will be entitled to a lump sum equal to the present value (discounted at a rate of 7.5%) of the amount of base salary for the 24 month notice period plus an additional amount equal to the present value (discounted at a rate of 7.5%) of the amount of base salary that he would have been entitled to during the one year after the "change in control” less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72390</wp:posOffset>
            </wp:positionV>
            <wp:extent cx="7185025"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320"/>
          </w:cols>
          <w:pgMar w:left="300" w:top="470" w:right="2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auto"/>
        </w:rPr>
        <w:t>any period of such year that he was employed by Euronet.</w:t>
      </w:r>
    </w:p>
    <w:p>
      <w:pPr>
        <w:spacing w:after="0" w:line="185" w:lineRule="exact"/>
        <w:rPr>
          <w:sz w:val="20"/>
          <w:szCs w:val="20"/>
          <w:color w:val="auto"/>
        </w:rPr>
      </w:pPr>
    </w:p>
    <w:p>
      <w:pPr>
        <w:ind w:right="40" w:firstLine="331"/>
        <w:spacing w:after="0" w:line="298" w:lineRule="auto"/>
        <w:rPr>
          <w:sz w:val="20"/>
          <w:szCs w:val="20"/>
          <w:color w:val="auto"/>
        </w:rPr>
      </w:pPr>
      <w:r>
        <w:rPr>
          <w:rFonts w:ascii="Times New Roman" w:cs="Times New Roman" w:eastAsia="Times New Roman" w:hAnsi="Times New Roman"/>
          <w:sz w:val="14"/>
          <w:szCs w:val="14"/>
          <w:color w:val="auto"/>
        </w:rPr>
        <w:t>Assuming a "change in control" occurred on December 31, 2023, and Mr. Fountas’ employment with Euronet was terminated on that date, the following table summarizes amounts that would have accrued to Mr. Fountas: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2"/>
              </w:rPr>
              <w:t>Unvested</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0"/>
        </w:trPr>
        <w:tc>
          <w:tcPr>
            <w:tcW w:w="5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2"/>
                <w:szCs w:val="12"/>
                <w:b w:val="1"/>
                <w:bCs w:val="1"/>
                <w:color w:val="auto"/>
              </w:rPr>
              <w:t>Base Salary(1)</w:t>
            </w: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2"/>
                <w:szCs w:val="12"/>
                <w:b w:val="1"/>
                <w:bCs w:val="1"/>
                <w:color w:val="auto"/>
                <w:w w:val="96"/>
              </w:rPr>
              <w:t>Equity Comp(2)</w:t>
            </w: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8"/>
        </w:trPr>
        <w:tc>
          <w:tcPr>
            <w:tcW w:w="5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Nikos Fountas</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1,198,778</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6,369,523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7,568,301</w:t>
            </w:r>
          </w:p>
        </w:tc>
      </w:tr>
    </w:tbl>
    <w:p>
      <w:pPr>
        <w:spacing w:after="0" w:line="158" w:lineRule="exact"/>
        <w:rPr>
          <w:sz w:val="20"/>
          <w:szCs w:val="20"/>
          <w:color w:val="auto"/>
        </w:rPr>
      </w:pPr>
    </w:p>
    <w:p>
      <w:pPr>
        <w:ind w:left="440" w:right="40" w:hanging="142"/>
        <w:spacing w:after="0" w:line="269" w:lineRule="auto"/>
        <w:tabs>
          <w:tab w:leader="none" w:pos="4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Fountas' employment agreement provides for payments in British pounds and the U.S. dollar amounts disclosed for salary and benefits were converted using the foreign currency exchange rate of $1.243 per pound as of December 31, 2023. Restricted stock and option awards are valued in U.S. dollars; therefore, no foreign currency conversion occurs.</w:t>
      </w:r>
    </w:p>
    <w:p>
      <w:pPr>
        <w:ind w:left="440" w:hanging="142"/>
        <w:spacing w:after="0"/>
        <w:tabs>
          <w:tab w:leader="none" w:pos="4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all unvested equity awards at December 31, 2023.</w:t>
      </w:r>
    </w:p>
    <w:p>
      <w:pPr>
        <w:spacing w:after="0" w:line="169" w:lineRule="exact"/>
        <w:rPr>
          <w:sz w:val="20"/>
          <w:szCs w:val="20"/>
          <w:color w:val="auto"/>
        </w:rPr>
      </w:pPr>
    </w:p>
    <w:p>
      <w:pPr>
        <w:jc w:val="both"/>
        <w:ind w:right="40" w:firstLine="331"/>
        <w:spacing w:after="0" w:line="298" w:lineRule="auto"/>
        <w:rPr>
          <w:sz w:val="20"/>
          <w:szCs w:val="20"/>
          <w:color w:val="auto"/>
        </w:rPr>
      </w:pPr>
      <w:r>
        <w:rPr>
          <w:rFonts w:ascii="Times New Roman" w:cs="Times New Roman" w:eastAsia="Times New Roman" w:hAnsi="Times New Roman"/>
          <w:sz w:val="14"/>
          <w:szCs w:val="14"/>
          <w:color w:val="auto"/>
        </w:rPr>
        <w:t>The Compensation Committee has considered the above “change of control” provisions in Mr. Fountas’ employment agreement, and determined that the provisions offered to Mr. Fountas by Euronet are reasonable and appropriate.</w:t>
      </w:r>
    </w:p>
    <w:p>
      <w:pPr>
        <w:spacing w:after="0" w:line="119" w:lineRule="exact"/>
        <w:rPr>
          <w:sz w:val="20"/>
          <w:szCs w:val="20"/>
          <w:color w:val="auto"/>
        </w:rPr>
      </w:pPr>
    </w:p>
    <w:p>
      <w:pPr>
        <w:jc w:val="both"/>
        <w:ind w:right="40" w:firstLine="331"/>
        <w:spacing w:after="0" w:line="277" w:lineRule="auto"/>
        <w:rPr>
          <w:sz w:val="20"/>
          <w:szCs w:val="20"/>
          <w:color w:val="auto"/>
        </w:rPr>
      </w:pPr>
      <w:r>
        <w:rPr>
          <w:rFonts w:ascii="Times New Roman" w:cs="Times New Roman" w:eastAsia="Times New Roman" w:hAnsi="Times New Roman"/>
          <w:sz w:val="14"/>
          <w:szCs w:val="14"/>
          <w:color w:val="auto"/>
        </w:rPr>
        <w:t>Under Mr. Fountas’ employment agreement, Euronet may terminate Mr. Fountas' employment immediately by written notice at any time if Mr. Fountas suffers an illness or injury which has caused Mr. Fountas to be incapable of effectively performing his role on a permanent or long-term basis. Mr. Fountas will be entitled to payment of his base salary for 12 months ($426,247), and the continuation of the vesting and rights to exercise any then outstanding equity-based awards for a period of 12 months, which as of December 31, 2023 represented a total of $1,689,699.</w:t>
      </w:r>
    </w:p>
    <w:p>
      <w:pPr>
        <w:spacing w:after="0" w:line="134" w:lineRule="exact"/>
        <w:rPr>
          <w:sz w:val="20"/>
          <w:szCs w:val="20"/>
          <w:color w:val="auto"/>
        </w:rPr>
      </w:pPr>
    </w:p>
    <w:p>
      <w:pPr>
        <w:jc w:val="both"/>
        <w:ind w:right="40" w:firstLine="331"/>
        <w:spacing w:after="0" w:line="298" w:lineRule="auto"/>
        <w:rPr>
          <w:sz w:val="20"/>
          <w:szCs w:val="20"/>
          <w:color w:val="auto"/>
        </w:rPr>
      </w:pPr>
      <w:r>
        <w:rPr>
          <w:rFonts w:ascii="Times New Roman" w:cs="Times New Roman" w:eastAsia="Times New Roman" w:hAnsi="Times New Roman"/>
          <w:sz w:val="14"/>
          <w:szCs w:val="14"/>
          <w:color w:val="auto"/>
        </w:rPr>
        <w:t>Mr. Fountas must not disclose confidential information during the term of his employment agreement and following termination. His agreement includes a restriction on his ability to compete with Euronet for a period of 24 months after the termination of his employment. Any severance payments are conditioned on Mr. Fountas complying with these restrictions.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CEO Pay Ratio</w:t>
      </w:r>
    </w:p>
    <w:p>
      <w:pPr>
        <w:spacing w:after="0" w:line="187" w:lineRule="exact"/>
        <w:rPr>
          <w:sz w:val="20"/>
          <w:szCs w:val="20"/>
          <w:color w:val="auto"/>
        </w:rPr>
      </w:pPr>
    </w:p>
    <w:p>
      <w:pPr>
        <w:jc w:val="both"/>
        <w:ind w:right="40" w:firstLine="331"/>
        <w:spacing w:after="0" w:line="271" w:lineRule="auto"/>
        <w:rPr>
          <w:sz w:val="20"/>
          <w:szCs w:val="20"/>
          <w:color w:val="auto"/>
        </w:rPr>
      </w:pPr>
      <w:r>
        <w:rPr>
          <w:rFonts w:ascii="Times New Roman" w:cs="Times New Roman" w:eastAsia="Times New Roman" w:hAnsi="Times New Roman"/>
          <w:sz w:val="14"/>
          <w:szCs w:val="14"/>
          <w:color w:val="auto"/>
        </w:rPr>
        <w:t>The Company's compensation and benefits philosophy and the overall structure of its compensation and benefit programs are broadly similar across the organization to encourage and reward all employees who contribute to the Company's success. Euronet strives to ensure the pay of every employee reflects the level of their job impact and responsibilities and is competitive within the Company's peer group. Compensation rates are benchmarked and set to be market-competitive in the country in which the jobs are performed. Euronet's ongoing commitment to pay equity is critical to its success in supporting a diverse workforce with opportunities for all employees to grow, develop and contribute. Euronet employs over 10,000 people in more than 62 countries.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ratio of the 2023 total annual compensation of the CEO to that of the median of the Company's other employees was 465:1</w:t>
      </w:r>
    </w:p>
    <w:p>
      <w:pPr>
        <w:spacing w:after="0" w:line="185" w:lineRule="exact"/>
        <w:rPr>
          <w:sz w:val="20"/>
          <w:szCs w:val="20"/>
          <w:color w:val="auto"/>
        </w:rPr>
      </w:pPr>
    </w:p>
    <w:p>
      <w:pPr>
        <w:jc w:val="both"/>
        <w:ind w:right="40" w:firstLine="331"/>
        <w:spacing w:after="0" w:line="269" w:lineRule="auto"/>
        <w:rPr>
          <w:sz w:val="20"/>
          <w:szCs w:val="20"/>
          <w:color w:val="auto"/>
        </w:rPr>
      </w:pPr>
      <w:r>
        <w:rPr>
          <w:rFonts w:ascii="Times New Roman" w:cs="Times New Roman" w:eastAsia="Times New Roman" w:hAnsi="Times New Roman"/>
          <w:sz w:val="14"/>
          <w:szCs w:val="14"/>
          <w:color w:val="auto"/>
        </w:rPr>
        <w:t>The median employee was identified by using the annual base salary of all employees as of December 31, 2023. Amounts stated in foreign currency were converted into U.S. dollars at the average 2023 foreign currency exchange rate. Annual base salary was the compensation measure used as it was the measure which was universally, consistently and reliably available in our employee information system. Total annual compensation was not used because it could not be efficiently and reliably obtained for every employee as our employees work in more than 62 countries using myriad payroll systems. However, our assessment is that the exclusion of compensation elements other than base salary does not materially affect the identification of the median employee.</w:t>
      </w:r>
    </w:p>
    <w:p>
      <w:pPr>
        <w:spacing w:after="0" w:line="315" w:lineRule="exact"/>
        <w:rPr>
          <w:sz w:val="20"/>
          <w:szCs w:val="20"/>
          <w:color w:val="auto"/>
        </w:rPr>
      </w:pPr>
    </w:p>
    <w:p>
      <w:pPr>
        <w:jc w:val="both"/>
        <w:ind w:right="40" w:firstLine="331"/>
        <w:spacing w:after="0" w:line="282" w:lineRule="auto"/>
        <w:rPr>
          <w:sz w:val="20"/>
          <w:szCs w:val="20"/>
          <w:color w:val="auto"/>
        </w:rPr>
      </w:pPr>
      <w:r>
        <w:rPr>
          <w:rFonts w:ascii="Times New Roman" w:cs="Times New Roman" w:eastAsia="Times New Roman" w:hAnsi="Times New Roman"/>
          <w:sz w:val="14"/>
          <w:szCs w:val="14"/>
          <w:color w:val="auto"/>
        </w:rPr>
        <w:t>For 2023, the annual total compensation of the median employee was $29,745 and the annual total compensation of our CEO was $13,816,268. The total annual compensation of the median employee was determined on the same basis as that of the CEO. No cost-of-living adjustment was made.</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72390</wp:posOffset>
            </wp:positionV>
            <wp:extent cx="718502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320"/>
          </w:cols>
          <w:pgMar w:left="300" w:top="298" w:right="2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Shares Issuable under Stockholder Approved Plans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table below sets forth information with respect to shares of Common Stock that may be issued under our equity compensation plans as of December 31, 2023.</w:t>
      </w:r>
    </w:p>
    <w:p>
      <w:pPr>
        <w:sectPr>
          <w:pgSz w:w="11900" w:h="16838" w:orient="portrait"/>
          <w:cols w:equalWidth="0" w:num="1">
            <w:col w:w="11280"/>
          </w:cols>
          <w:pgMar w:left="300" w:top="46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Plan category</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p>
      <w:pPr>
        <w:spacing w:after="0" w:line="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Stock option awards</w:t>
      </w:r>
    </w:p>
    <w:p>
      <w:pPr>
        <w:spacing w:after="0" w:line="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Restricted stock unit awards</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p>
      <w:pPr>
        <w:spacing w:after="0" w:line="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85"/>
              </w:rPr>
              <w:t>(a)</w:t>
            </w:r>
          </w:p>
        </w:tc>
        <w:tc>
          <w:tcPr>
            <w:tcW w:w="240" w:type="dxa"/>
            <w:vAlign w:val="bottom"/>
          </w:tcPr>
          <w:p>
            <w:pPr>
              <w:spacing w:after="0"/>
              <w:rPr>
                <w:sz w:val="13"/>
                <w:szCs w:val="13"/>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(b)</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(c)</w:t>
            </w: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5"/>
              </w:rPr>
              <w:t>Number of Securities</w:t>
            </w:r>
          </w:p>
        </w:tc>
        <w:tc>
          <w:tcPr>
            <w:tcW w:w="0" w:type="dxa"/>
            <w:vAlign w:val="bottom"/>
          </w:tcPr>
          <w:p>
            <w:pPr>
              <w:spacing w:after="0"/>
              <w:rPr>
                <w:sz w:val="1"/>
                <w:szCs w:val="1"/>
                <w:color w:val="auto"/>
              </w:rPr>
            </w:pPr>
          </w:p>
        </w:tc>
      </w:tr>
      <w:tr>
        <w:trPr>
          <w:trHeight w:val="119"/>
        </w:trPr>
        <w:tc>
          <w:tcPr>
            <w:tcW w:w="1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3"/>
              </w:rPr>
              <w:t>Number of</w:t>
            </w:r>
          </w:p>
        </w:tc>
        <w:tc>
          <w:tcPr>
            <w:tcW w:w="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6"/>
              </w:rPr>
              <w:t>Remaining Available</w:t>
            </w:r>
          </w:p>
        </w:tc>
        <w:tc>
          <w:tcPr>
            <w:tcW w:w="0" w:type="dxa"/>
            <w:vAlign w:val="bottom"/>
          </w:tcPr>
          <w:p>
            <w:pPr>
              <w:spacing w:after="0"/>
              <w:rPr>
                <w:sz w:val="1"/>
                <w:szCs w:val="1"/>
                <w:color w:val="auto"/>
              </w:rPr>
            </w:pPr>
          </w:p>
        </w:tc>
      </w:tr>
      <w:tr>
        <w:trPr>
          <w:trHeight w:val="119"/>
        </w:trPr>
        <w:tc>
          <w:tcPr>
            <w:tcW w:w="18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5"/>
              </w:rPr>
              <w:t>for Future Issuance</w:t>
            </w:r>
          </w:p>
        </w:tc>
        <w:tc>
          <w:tcPr>
            <w:tcW w:w="0" w:type="dxa"/>
            <w:vAlign w:val="bottom"/>
          </w:tcPr>
          <w:p>
            <w:pPr>
              <w:spacing w:after="0"/>
              <w:rPr>
                <w:sz w:val="1"/>
                <w:szCs w:val="1"/>
                <w:color w:val="auto"/>
              </w:rPr>
            </w:pPr>
          </w:p>
        </w:tc>
      </w:tr>
      <w:tr>
        <w:trPr>
          <w:trHeight w:val="119"/>
        </w:trPr>
        <w:tc>
          <w:tcPr>
            <w:tcW w:w="1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w w:val="94"/>
              </w:rPr>
              <w:t>Securities to be</w:t>
            </w:r>
          </w:p>
        </w:tc>
        <w:tc>
          <w:tcPr>
            <w:tcW w:w="240" w:type="dxa"/>
            <w:vAlign w:val="bottom"/>
          </w:tcPr>
          <w:p>
            <w:pPr>
              <w:spacing w:after="0"/>
              <w:rPr>
                <w:sz w:val="10"/>
                <w:szCs w:val="10"/>
                <w:color w:val="auto"/>
              </w:rPr>
            </w:pPr>
          </w:p>
        </w:tc>
        <w:tc>
          <w:tcPr>
            <w:tcW w:w="20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2"/>
              </w:rPr>
              <w:t>Weighted Average</w:t>
            </w:r>
          </w:p>
        </w:tc>
        <w:tc>
          <w:tcPr>
            <w:tcW w:w="166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6"/>
              </w:rPr>
              <w:t>Under Equity</w:t>
            </w:r>
          </w:p>
        </w:tc>
        <w:tc>
          <w:tcPr>
            <w:tcW w:w="0" w:type="dxa"/>
            <w:vAlign w:val="bottom"/>
          </w:tcPr>
          <w:p>
            <w:pPr>
              <w:spacing w:after="0"/>
              <w:rPr>
                <w:sz w:val="1"/>
                <w:szCs w:val="1"/>
                <w:color w:val="auto"/>
              </w:rPr>
            </w:pPr>
          </w:p>
        </w:tc>
      </w:tr>
      <w:tr>
        <w:trPr>
          <w:trHeight w:val="119"/>
        </w:trPr>
        <w:tc>
          <w:tcPr>
            <w:tcW w:w="1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w w:val="97"/>
              </w:rPr>
              <w:t>Issued Upon</w:t>
            </w:r>
          </w:p>
        </w:tc>
        <w:tc>
          <w:tcPr>
            <w:tcW w:w="240" w:type="dxa"/>
            <w:vAlign w:val="bottom"/>
          </w:tcPr>
          <w:p>
            <w:pPr>
              <w:spacing w:after="0"/>
              <w:rPr>
                <w:sz w:val="10"/>
                <w:szCs w:val="10"/>
                <w:color w:val="auto"/>
              </w:rPr>
            </w:pPr>
          </w:p>
        </w:tc>
        <w:tc>
          <w:tcPr>
            <w:tcW w:w="2000" w:type="dxa"/>
            <w:vAlign w:val="bottom"/>
            <w:gridSpan w:val="2"/>
            <w:vMerge w:val="continue"/>
          </w:tcPr>
          <w:p>
            <w:pPr>
              <w:spacing w:after="0"/>
              <w:rPr>
                <w:sz w:val="10"/>
                <w:szCs w:val="10"/>
                <w:color w:val="auto"/>
              </w:rPr>
            </w:pPr>
          </w:p>
        </w:tc>
        <w:tc>
          <w:tcPr>
            <w:tcW w:w="166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0" w:type="dxa"/>
            <w:vAlign w:val="bottom"/>
          </w:tcPr>
          <w:p>
            <w:pPr>
              <w:spacing w:after="0"/>
              <w:rPr>
                <w:sz w:val="1"/>
                <w:szCs w:val="1"/>
                <w:color w:val="auto"/>
              </w:rPr>
            </w:pPr>
          </w:p>
        </w:tc>
      </w:tr>
      <w:tr>
        <w:trPr>
          <w:trHeight w:val="119"/>
        </w:trPr>
        <w:tc>
          <w:tcPr>
            <w:tcW w:w="1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w w:val="95"/>
              </w:rPr>
              <w:t>Exercise of</w:t>
            </w:r>
          </w:p>
        </w:tc>
        <w:tc>
          <w:tcPr>
            <w:tcW w:w="240" w:type="dxa"/>
            <w:vAlign w:val="bottom"/>
          </w:tcPr>
          <w:p>
            <w:pPr>
              <w:spacing w:after="0"/>
              <w:rPr>
                <w:sz w:val="10"/>
                <w:szCs w:val="10"/>
                <w:color w:val="auto"/>
              </w:rPr>
            </w:pPr>
          </w:p>
        </w:tc>
        <w:tc>
          <w:tcPr>
            <w:tcW w:w="2000" w:type="dxa"/>
            <w:vAlign w:val="bottom"/>
            <w:gridSpan w:val="2"/>
          </w:tcPr>
          <w:p>
            <w:pPr>
              <w:jc w:val="center"/>
              <w:ind w:right="420"/>
              <w:spacing w:after="0" w:line="119" w:lineRule="exact"/>
              <w:rPr>
                <w:sz w:val="20"/>
                <w:szCs w:val="20"/>
                <w:color w:val="auto"/>
              </w:rPr>
            </w:pPr>
            <w:r>
              <w:rPr>
                <w:rFonts w:ascii="Times New Roman" w:cs="Times New Roman" w:eastAsia="Times New Roman" w:hAnsi="Times New Roman"/>
                <w:sz w:val="12"/>
                <w:szCs w:val="12"/>
                <w:b w:val="1"/>
                <w:bCs w:val="1"/>
                <w:color w:val="auto"/>
                <w:w w:val="95"/>
              </w:rPr>
              <w:t>Exercise Price of</w:t>
            </w:r>
          </w:p>
        </w:tc>
        <w:tc>
          <w:tcPr>
            <w:tcW w:w="166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6"/>
              </w:rPr>
              <w:t>Plans (Excluding</w:t>
            </w:r>
          </w:p>
        </w:tc>
        <w:tc>
          <w:tcPr>
            <w:tcW w:w="0" w:type="dxa"/>
            <w:vAlign w:val="bottom"/>
          </w:tcPr>
          <w:p>
            <w:pPr>
              <w:spacing w:after="0"/>
              <w:rPr>
                <w:sz w:val="1"/>
                <w:szCs w:val="1"/>
                <w:color w:val="auto"/>
              </w:rPr>
            </w:pPr>
          </w:p>
        </w:tc>
      </w:tr>
      <w:tr>
        <w:trPr>
          <w:trHeight w:val="119"/>
        </w:trPr>
        <w:tc>
          <w:tcPr>
            <w:tcW w:w="1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w w:val="96"/>
              </w:rPr>
              <w:t>Outstanding</w:t>
            </w:r>
          </w:p>
        </w:tc>
        <w:tc>
          <w:tcPr>
            <w:tcW w:w="240" w:type="dxa"/>
            <w:vAlign w:val="bottom"/>
          </w:tcPr>
          <w:p>
            <w:pPr>
              <w:spacing w:after="0"/>
              <w:rPr>
                <w:sz w:val="10"/>
                <w:szCs w:val="10"/>
                <w:color w:val="auto"/>
              </w:rPr>
            </w:pPr>
          </w:p>
        </w:tc>
        <w:tc>
          <w:tcPr>
            <w:tcW w:w="2000" w:type="dxa"/>
            <w:vAlign w:val="bottom"/>
            <w:gridSpan w:val="2"/>
          </w:tcPr>
          <w:p>
            <w:pPr>
              <w:jc w:val="center"/>
              <w:ind w:right="440"/>
              <w:spacing w:after="0" w:line="119" w:lineRule="exact"/>
              <w:rPr>
                <w:sz w:val="20"/>
                <w:szCs w:val="20"/>
                <w:color w:val="auto"/>
              </w:rPr>
            </w:pPr>
            <w:r>
              <w:rPr>
                <w:rFonts w:ascii="Times New Roman" w:cs="Times New Roman" w:eastAsia="Times New Roman" w:hAnsi="Times New Roman"/>
                <w:sz w:val="12"/>
                <w:szCs w:val="12"/>
                <w:b w:val="1"/>
                <w:bCs w:val="1"/>
                <w:color w:val="auto"/>
                <w:w w:val="95"/>
              </w:rPr>
              <w:t>Outstanding Options and</w:t>
            </w:r>
          </w:p>
        </w:tc>
        <w:tc>
          <w:tcPr>
            <w:tcW w:w="166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5"/>
              </w:rPr>
              <w:t>Securities Reflected</w:t>
            </w:r>
          </w:p>
        </w:tc>
        <w:tc>
          <w:tcPr>
            <w:tcW w:w="0" w:type="dxa"/>
            <w:vAlign w:val="bottom"/>
          </w:tcPr>
          <w:p>
            <w:pPr>
              <w:spacing w:after="0"/>
              <w:rPr>
                <w:sz w:val="1"/>
                <w:szCs w:val="1"/>
                <w:color w:val="auto"/>
              </w:rPr>
            </w:pPr>
          </w:p>
        </w:tc>
      </w:tr>
      <w:tr>
        <w:trPr>
          <w:trHeight w:val="138"/>
        </w:trPr>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Options and Rights</w:t>
            </w:r>
          </w:p>
        </w:tc>
        <w:tc>
          <w:tcPr>
            <w:tcW w:w="240" w:type="dxa"/>
            <w:vAlign w:val="bottom"/>
          </w:tcPr>
          <w:p>
            <w:pPr>
              <w:spacing w:after="0"/>
              <w:rPr>
                <w:sz w:val="12"/>
                <w:szCs w:val="12"/>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5"/>
              </w:rPr>
              <w:t>Rights (1)</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in Column (a))(2)</w:t>
            </w:r>
          </w:p>
        </w:tc>
        <w:tc>
          <w:tcPr>
            <w:tcW w:w="0" w:type="dxa"/>
            <w:vAlign w:val="bottom"/>
          </w:tcPr>
          <w:p>
            <w:pPr>
              <w:spacing w:after="0"/>
              <w:rPr>
                <w:sz w:val="1"/>
                <w:szCs w:val="1"/>
                <w:color w:val="auto"/>
              </w:rPr>
            </w:pPr>
          </w:p>
        </w:tc>
      </w:tr>
      <w:tr>
        <w:trPr>
          <w:trHeight w:val="218"/>
        </w:trPr>
        <w:tc>
          <w:tcPr>
            <w:tcW w:w="1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color w:val="auto"/>
              </w:rPr>
              <w:t>3,726,775</w:t>
            </w:r>
          </w:p>
        </w:tc>
        <w:tc>
          <w:tcPr>
            <w:tcW w:w="0" w:type="dxa"/>
            <w:vAlign w:val="bottom"/>
          </w:tcPr>
          <w:p>
            <w:pPr>
              <w:spacing w:after="0"/>
              <w:rPr>
                <w:sz w:val="1"/>
                <w:szCs w:val="1"/>
                <w:color w:val="auto"/>
              </w:rPr>
            </w:pPr>
          </w:p>
        </w:tc>
      </w:tr>
      <w:tr>
        <w:trPr>
          <w:trHeight w:val="227"/>
        </w:trPr>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5,118,992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103.66</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766.702</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5,885,694</w:t>
            </w:r>
          </w:p>
        </w:tc>
        <w:tc>
          <w:tcPr>
            <w:tcW w:w="240" w:type="dxa"/>
            <w:vAlign w:val="bottom"/>
            <w:vMerge w:val="continue"/>
          </w:tcPr>
          <w:p>
            <w:pPr>
              <w:spacing w:after="0"/>
              <w:rPr>
                <w:sz w:val="17"/>
                <w:szCs w:val="17"/>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103.66</w:t>
            </w: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4"/>
                <w:szCs w:val="14"/>
                <w:color w:val="auto"/>
              </w:rPr>
              <w:t>3,726,775</w:t>
            </w:r>
          </w:p>
        </w:tc>
        <w:tc>
          <w:tcPr>
            <w:tcW w:w="0" w:type="dxa"/>
            <w:vAlign w:val="bottom"/>
          </w:tcPr>
          <w:p>
            <w:pPr>
              <w:spacing w:after="0"/>
              <w:rPr>
                <w:sz w:val="1"/>
                <w:szCs w:val="1"/>
                <w:color w:val="auto"/>
              </w:rPr>
            </w:pPr>
          </w:p>
        </w:tc>
      </w:tr>
      <w:tr>
        <w:trPr>
          <w:trHeight w:val="20"/>
        </w:trPr>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-445135</wp:posOffset>
            </wp:positionV>
            <wp:extent cx="7159625" cy="144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9625" cy="144145"/>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-156845</wp:posOffset>
            </wp:positionV>
            <wp:extent cx="7159625" cy="144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9625" cy="144145"/>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-739775</wp:posOffset>
            </wp:positionV>
            <wp:extent cx="7159625" cy="1511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15113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4860" w:space="720"/>
            <w:col w:w="5700"/>
          </w:cols>
          <w:pgMar w:left="300" w:top="468" w:right="319" w:bottom="1440" w:gutter="0" w:footer="0" w:header="0"/>
          <w:type w:val="continuous"/>
        </w:sectPr>
      </w:pPr>
    </w:p>
    <w:p>
      <w:pPr>
        <w:ind w:left="440" w:hanging="142"/>
        <w:spacing w:after="0"/>
        <w:tabs>
          <w:tab w:leader="none" w:pos="4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in this column does not take into account the restricted stock unit awards.</w:t>
      </w:r>
    </w:p>
    <w:p>
      <w:pPr>
        <w:spacing w:after="0" w:line="27" w:lineRule="exact"/>
        <w:rPr>
          <w:rFonts w:ascii="Times New Roman" w:cs="Times New Roman" w:eastAsia="Times New Roman" w:hAnsi="Times New Roman"/>
          <w:sz w:val="14"/>
          <w:szCs w:val="14"/>
          <w:color w:val="auto"/>
        </w:rPr>
      </w:pPr>
    </w:p>
    <w:p>
      <w:pPr>
        <w:ind w:left="440" w:hanging="142"/>
        <w:spacing w:after="0" w:line="275" w:lineRule="auto"/>
        <w:tabs>
          <w:tab w:leader="none" w:pos="4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this column are 0.2 million shares remaining under our employee stock purchase plan. During 2023, Euronet issued 31,361 shares to employees under the employee stock purchase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 Versus Performance</w:t>
      </w:r>
    </w:p>
    <w:p>
      <w:pPr>
        <w:spacing w:after="0" w:line="154"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As required by Section 953(a) of the Dodd-Frank Wall Street Reform and Consumer Protection Act, and Item 402(v) of Regulation S-K, we are providing the following information about the relationship between executive compensation actually paid (CAP) and certain financial performance of the Company. For further information concerning the Company’s variable pay-for-performance philosophy and how the Company aligns executive compensation with the Company’s performance, please read "Compensation Discussion and Analysis"..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5"/>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Value of Initial fixed $100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5"/>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investment based on:</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center"/>
              <w:ind w:right="99"/>
              <w:spacing w:after="0"/>
              <w:rPr>
                <w:sz w:val="20"/>
                <w:szCs w:val="20"/>
                <w:color w:val="auto"/>
              </w:rPr>
            </w:pPr>
            <w:r>
              <w:rPr>
                <w:rFonts w:ascii="Times New Roman" w:cs="Times New Roman" w:eastAsia="Times New Roman" w:hAnsi="Times New Roman"/>
                <w:sz w:val="12"/>
                <w:szCs w:val="12"/>
                <w:b w:val="1"/>
                <w:bCs w:val="1"/>
                <w:color w:val="auto"/>
                <w:w w:val="96"/>
              </w:rPr>
              <w:t>Company Selected</w:t>
            </w:r>
          </w:p>
        </w:tc>
        <w:tc>
          <w:tcPr>
            <w:tcW w:w="0" w:type="dxa"/>
            <w:vAlign w:val="bottom"/>
          </w:tcPr>
          <w:p>
            <w:pPr>
              <w:spacing w:after="0"/>
              <w:rPr>
                <w:sz w:val="1"/>
                <w:szCs w:val="1"/>
                <w:color w:val="auto"/>
              </w:rPr>
            </w:pPr>
          </w:p>
        </w:tc>
      </w:tr>
      <w:tr>
        <w:trPr>
          <w:trHeight w:val="79"/>
        </w:trPr>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20" w:type="dxa"/>
            <w:vAlign w:val="bottom"/>
          </w:tcPr>
          <w:p>
            <w:pPr>
              <w:spacing w:after="0"/>
              <w:rPr>
                <w:sz w:val="6"/>
                <w:szCs w:val="6"/>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3"/>
              </w:rPr>
              <w:t>Average</w:t>
            </w:r>
          </w:p>
        </w:tc>
        <w:tc>
          <w:tcPr>
            <w:tcW w:w="120" w:type="dxa"/>
            <w:vAlign w:val="bottom"/>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Summary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6"/>
              </w:rPr>
              <w:t>Peer Group</w:t>
            </w: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center"/>
              <w:ind w:right="119"/>
              <w:spacing w:after="0" w:line="119" w:lineRule="exact"/>
              <w:rPr>
                <w:sz w:val="20"/>
                <w:szCs w:val="20"/>
                <w:color w:val="auto"/>
              </w:rPr>
            </w:pPr>
            <w:r>
              <w:rPr>
                <w:rFonts w:ascii="Times New Roman" w:cs="Times New Roman" w:eastAsia="Times New Roman" w:hAnsi="Times New Roman"/>
                <w:sz w:val="12"/>
                <w:szCs w:val="12"/>
                <w:b w:val="1"/>
                <w:bCs w:val="1"/>
                <w:color w:val="auto"/>
                <w:w w:val="96"/>
              </w:rPr>
              <w:t>Measure (CSM) -</w:t>
            </w: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2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8"/>
              </w:rPr>
              <w:t>Summary</w:t>
            </w:r>
          </w:p>
        </w:tc>
        <w:tc>
          <w:tcPr>
            <w:tcW w:w="120" w:type="dxa"/>
            <w:vAlign w:val="bottom"/>
          </w:tcPr>
          <w:p>
            <w:pPr>
              <w:spacing w:after="0"/>
              <w:rPr>
                <w:sz w:val="10"/>
                <w:szCs w:val="10"/>
                <w:color w:val="auto"/>
              </w:rPr>
            </w:pPr>
          </w:p>
        </w:tc>
        <w:tc>
          <w:tcPr>
            <w:tcW w:w="110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2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center"/>
              <w:ind w:right="99"/>
              <w:spacing w:after="0" w:line="119" w:lineRule="exact"/>
              <w:rPr>
                <w:sz w:val="20"/>
                <w:szCs w:val="20"/>
                <w:color w:val="auto"/>
              </w:rPr>
            </w:pPr>
            <w:r>
              <w:rPr>
                <w:rFonts w:ascii="Times New Roman" w:cs="Times New Roman" w:eastAsia="Times New Roman" w:hAnsi="Times New Roman"/>
                <w:sz w:val="12"/>
                <w:szCs w:val="12"/>
                <w:b w:val="1"/>
                <w:bCs w:val="1"/>
                <w:color w:val="auto"/>
                <w:w w:val="94"/>
              </w:rPr>
              <w:t>Constant</w:t>
            </w: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4"/>
              </w:rPr>
              <w:t>Compensation</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4"/>
              </w:rPr>
              <w:t>Compensation</w:t>
            </w:r>
          </w:p>
        </w:tc>
        <w:tc>
          <w:tcPr>
            <w:tcW w:w="120" w:type="dxa"/>
            <w:vAlign w:val="bottom"/>
          </w:tcPr>
          <w:p>
            <w:pPr>
              <w:spacing w:after="0"/>
              <w:rPr>
                <w:sz w:val="10"/>
                <w:szCs w:val="10"/>
                <w:color w:val="auto"/>
              </w:rPr>
            </w:pPr>
          </w:p>
        </w:tc>
        <w:tc>
          <w:tcPr>
            <w:tcW w:w="110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7"/>
              </w:rPr>
              <w:t>Actually Paid</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Net Income ($</w:t>
            </w:r>
          </w:p>
        </w:tc>
        <w:tc>
          <w:tcPr>
            <w:tcW w:w="140" w:type="dxa"/>
            <w:vAlign w:val="bottom"/>
          </w:tcPr>
          <w:p>
            <w:pPr>
              <w:spacing w:after="0"/>
              <w:rPr>
                <w:sz w:val="10"/>
                <w:szCs w:val="10"/>
                <w:color w:val="auto"/>
              </w:rPr>
            </w:pPr>
          </w:p>
        </w:tc>
        <w:tc>
          <w:tcPr>
            <w:tcW w:w="1240" w:type="dxa"/>
            <w:vAlign w:val="bottom"/>
          </w:tcPr>
          <w:p>
            <w:pPr>
              <w:jc w:val="center"/>
              <w:ind w:right="99"/>
              <w:spacing w:after="0" w:line="119" w:lineRule="exact"/>
              <w:rPr>
                <w:sz w:val="20"/>
                <w:szCs w:val="20"/>
                <w:color w:val="auto"/>
              </w:rPr>
            </w:pPr>
            <w:r>
              <w:rPr>
                <w:rFonts w:ascii="Times New Roman" w:cs="Times New Roman" w:eastAsia="Times New Roman" w:hAnsi="Times New Roman"/>
                <w:sz w:val="12"/>
                <w:szCs w:val="12"/>
                <w:b w:val="1"/>
                <w:bCs w:val="1"/>
                <w:color w:val="auto"/>
                <w:w w:val="97"/>
              </w:rPr>
              <w:t>Currency</w:t>
            </w: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4"/>
              </w:rPr>
              <w:t>Total Table for</w:t>
            </w:r>
          </w:p>
        </w:tc>
        <w:tc>
          <w:tcPr>
            <w:tcW w:w="120" w:type="dxa"/>
            <w:vAlign w:val="bottom"/>
          </w:tcPr>
          <w:p>
            <w:pPr>
              <w:spacing w:after="0"/>
              <w:rPr>
                <w:sz w:val="10"/>
                <w:szCs w:val="10"/>
                <w:color w:val="auto"/>
              </w:rPr>
            </w:pPr>
          </w:p>
        </w:tc>
        <w:tc>
          <w:tcPr>
            <w:tcW w:w="110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7"/>
              </w:rPr>
              <w:t>Actually Paid</w:t>
            </w:r>
          </w:p>
        </w:tc>
        <w:tc>
          <w:tcPr>
            <w:tcW w:w="12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4"/>
              </w:rPr>
              <w:t>Table Total for</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w w:val="93"/>
              </w:rPr>
              <w:t>to Non-</w:t>
            </w:r>
          </w:p>
        </w:tc>
        <w:tc>
          <w:tcPr>
            <w:tcW w:w="12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7"/>
              </w:rPr>
              <w:t>Shareholder</w:t>
            </w: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2"/>
                <w:szCs w:val="12"/>
                <w:b w:val="1"/>
                <w:bCs w:val="1"/>
                <w:color w:val="auto"/>
                <w:w w:val="97"/>
              </w:rPr>
              <w:t>Shareholder</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center"/>
              <w:ind w:right="99"/>
              <w:spacing w:after="0" w:line="119" w:lineRule="exact"/>
              <w:rPr>
                <w:sz w:val="20"/>
                <w:szCs w:val="20"/>
                <w:color w:val="auto"/>
              </w:rPr>
            </w:pPr>
            <w:r>
              <w:rPr>
                <w:rFonts w:ascii="Times New Roman" w:cs="Times New Roman" w:eastAsia="Times New Roman" w:hAnsi="Times New Roman"/>
                <w:sz w:val="12"/>
                <w:szCs w:val="12"/>
                <w:b w:val="1"/>
                <w:bCs w:val="1"/>
                <w:color w:val="auto"/>
                <w:w w:val="95"/>
              </w:rPr>
              <w:t>Adjusted Earnings</w:t>
            </w: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PEO</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to PEO</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Non-PEO NEO</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PEO NEOs</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Return (TSR)</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Return</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millions)</w:t>
            </w:r>
          </w:p>
        </w:tc>
        <w:tc>
          <w:tcPr>
            <w:tcW w:w="140" w:type="dxa"/>
            <w:vAlign w:val="bottom"/>
          </w:tcPr>
          <w:p>
            <w:pPr>
              <w:spacing w:after="0"/>
              <w:rPr>
                <w:sz w:val="13"/>
                <w:szCs w:val="13"/>
                <w:color w:val="auto"/>
              </w:rPr>
            </w:pPr>
          </w:p>
        </w:tc>
        <w:tc>
          <w:tcPr>
            <w:tcW w:w="1240" w:type="dxa"/>
            <w:vAlign w:val="bottom"/>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w w:val="95"/>
              </w:rPr>
              <w:t>per Share</w:t>
            </w:r>
          </w:p>
        </w:tc>
        <w:tc>
          <w:tcPr>
            <w:tcW w:w="0" w:type="dxa"/>
            <w:vAlign w:val="bottom"/>
          </w:tcPr>
          <w:p>
            <w:pPr>
              <w:spacing w:after="0"/>
              <w:rPr>
                <w:sz w:val="1"/>
                <w:szCs w:val="1"/>
                <w:color w:val="auto"/>
              </w:rPr>
            </w:pPr>
          </w:p>
        </w:tc>
      </w:tr>
      <w:tr>
        <w:trPr>
          <w:trHeight w:val="15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 (1)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(3)</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(4)</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b w:val="1"/>
                <w:bCs w:val="1"/>
                <w:color w:val="auto"/>
              </w:rPr>
              <w:t>(5)</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(6)</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2"/>
                <w:szCs w:val="12"/>
                <w:b w:val="1"/>
                <w:bCs w:val="1"/>
                <w:color w:val="auto"/>
              </w:rPr>
              <w:t>(7)</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2"/>
                <w:szCs w:val="12"/>
                <w:b w:val="1"/>
                <w:bCs w:val="1"/>
                <w:color w:val="auto"/>
              </w:rPr>
              <w:t>(8)</w:t>
            </w:r>
          </w:p>
        </w:tc>
        <w:tc>
          <w:tcPr>
            <w:tcW w:w="0" w:type="dxa"/>
            <w:vAlign w:val="bottom"/>
          </w:tcPr>
          <w:p>
            <w:pPr>
              <w:spacing w:after="0"/>
              <w:rPr>
                <w:sz w:val="1"/>
                <w:szCs w:val="1"/>
                <w:color w:val="auto"/>
              </w:rPr>
            </w:pPr>
          </w:p>
        </w:tc>
      </w:tr>
      <w:tr>
        <w:trPr>
          <w:trHeight w:val="153"/>
        </w:trPr>
        <w:tc>
          <w:tcPr>
            <w:tcW w:w="760" w:type="dxa"/>
            <w:vAlign w:val="bottom"/>
          </w:tcPr>
          <w:p>
            <w:pPr>
              <w:spacing w:after="0"/>
              <w:rPr>
                <w:sz w:val="20"/>
                <w:szCs w:val="20"/>
                <w:color w:val="auto"/>
              </w:rPr>
            </w:pPr>
            <w:r>
              <w:rPr>
                <w:rFonts w:ascii="Times New Roman" w:cs="Times New Roman" w:eastAsia="Times New Roman" w:hAnsi="Times New Roman"/>
                <w:sz w:val="12"/>
                <w:szCs w:val="12"/>
                <w:color w:val="auto"/>
              </w:rPr>
              <w:t>(a)</w:t>
            </w:r>
          </w:p>
        </w:tc>
        <w:tc>
          <w:tcPr>
            <w:tcW w:w="620" w:type="dxa"/>
            <w:vAlign w:val="bottom"/>
          </w:tcPr>
          <w:p>
            <w:pPr>
              <w:spacing w:after="0"/>
              <w:rPr>
                <w:sz w:val="13"/>
                <w:szCs w:val="13"/>
                <w:color w:val="auto"/>
              </w:rPr>
            </w:pP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(b)</w:t>
            </w:r>
          </w:p>
        </w:tc>
        <w:tc>
          <w:tcPr>
            <w:tcW w:w="120" w:type="dxa"/>
            <w:vAlign w:val="bottom"/>
          </w:tcPr>
          <w:p>
            <w:pPr>
              <w:spacing w:after="0"/>
              <w:rPr>
                <w:sz w:val="13"/>
                <w:szCs w:val="13"/>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(c)</w:t>
            </w:r>
          </w:p>
        </w:tc>
        <w:tc>
          <w:tcPr>
            <w:tcW w:w="120" w:type="dxa"/>
            <w:vAlign w:val="bottom"/>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(d)</w:t>
            </w:r>
          </w:p>
        </w:tc>
        <w:tc>
          <w:tcPr>
            <w:tcW w:w="120" w:type="dxa"/>
            <w:vAlign w:val="bottom"/>
          </w:tcPr>
          <w:p>
            <w:pPr>
              <w:spacing w:after="0"/>
              <w:rPr>
                <w:sz w:val="13"/>
                <w:szCs w:val="13"/>
                <w:color w:val="auto"/>
              </w:rPr>
            </w:pP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(e)</w:t>
            </w:r>
          </w:p>
        </w:tc>
        <w:tc>
          <w:tcPr>
            <w:tcW w:w="120" w:type="dxa"/>
            <w:vAlign w:val="bottom"/>
          </w:tcPr>
          <w:p>
            <w:pPr>
              <w:spacing w:after="0"/>
              <w:rPr>
                <w:sz w:val="13"/>
                <w:szCs w:val="13"/>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(f)</w:t>
            </w:r>
          </w:p>
        </w:tc>
        <w:tc>
          <w:tcPr>
            <w:tcW w:w="160" w:type="dxa"/>
            <w:vAlign w:val="bottom"/>
          </w:tcPr>
          <w:p>
            <w:pPr>
              <w:spacing w:after="0"/>
              <w:rPr>
                <w:sz w:val="13"/>
                <w:szCs w:val="13"/>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(g)</w:t>
            </w:r>
          </w:p>
        </w:tc>
        <w:tc>
          <w:tcPr>
            <w:tcW w:w="140" w:type="dxa"/>
            <w:vAlign w:val="bottom"/>
          </w:tcPr>
          <w:p>
            <w:pPr>
              <w:spacing w:after="0"/>
              <w:rPr>
                <w:sz w:val="13"/>
                <w:szCs w:val="13"/>
                <w:color w:val="auto"/>
              </w:rPr>
            </w:pP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(h)</w:t>
            </w:r>
          </w:p>
        </w:tc>
        <w:tc>
          <w:tcPr>
            <w:tcW w:w="140" w:type="dxa"/>
            <w:vAlign w:val="bottom"/>
          </w:tcPr>
          <w:p>
            <w:pPr>
              <w:spacing w:after="0"/>
              <w:rPr>
                <w:sz w:val="13"/>
                <w:szCs w:val="13"/>
                <w:color w:val="auto"/>
              </w:rPr>
            </w:pPr>
          </w:p>
        </w:tc>
        <w:tc>
          <w:tcPr>
            <w:tcW w:w="1240" w:type="dxa"/>
            <w:vAlign w:val="bottom"/>
          </w:tcPr>
          <w:p>
            <w:pPr>
              <w:jc w:val="right"/>
              <w:ind w:right="519"/>
              <w:spacing w:after="0"/>
              <w:rPr>
                <w:sz w:val="20"/>
                <w:szCs w:val="20"/>
                <w:color w:val="auto"/>
              </w:rPr>
            </w:pPr>
            <w:r>
              <w:rPr>
                <w:rFonts w:ascii="Times New Roman" w:cs="Times New Roman" w:eastAsia="Times New Roman" w:hAnsi="Times New Roman"/>
                <w:sz w:val="12"/>
                <w:szCs w:val="12"/>
                <w:color w:val="auto"/>
              </w:rPr>
              <w:t>(i)</w:t>
            </w: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13,816,268</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16,275,105</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4,509,404</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5,434,412</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64.41</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139.05</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279.7</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2022</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13,817,351</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11,540,240</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4,511,334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3,949,725</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59.90</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117.58</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231.0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11,680,872</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8,155,437</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3,910,371</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822,983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75.63</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135.32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70.7</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2020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10,533,666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10,336,215</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6,267,505</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8,741,455</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91.98</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132.61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40" w:right="40" w:hanging="233"/>
        <w:spacing w:after="0" w:line="289"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(b) are the amounts reported for Mr. Brown, our CEO (referred to in the table and related information as the “PEO” or principal executive officer), for each corresponding year in the Total column of the Summary Compensation Table in each applicable year.</w:t>
      </w:r>
    </w:p>
    <w:p>
      <w:pPr>
        <w:spacing w:after="0" w:line="1" w:lineRule="exact"/>
        <w:rPr>
          <w:rFonts w:ascii="Times New Roman" w:cs="Times New Roman" w:eastAsia="Times New Roman" w:hAnsi="Times New Roman"/>
          <w:sz w:val="14"/>
          <w:szCs w:val="14"/>
          <w:color w:val="auto"/>
        </w:rPr>
      </w:pPr>
    </w:p>
    <w:p>
      <w:pPr>
        <w:jc w:val="both"/>
        <w:ind w:left="640" w:right="40" w:hanging="233"/>
        <w:spacing w:after="0" w:line="27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(c) represent the amount of “compensation actually paid to Mr. Brown, as computed in accordance with Item 402(v) of Regulation S-K and do not reflect the total compensation realized or received by Mr. Brown. In accordance with these rules, these amounts reflect Total compensation as set forth in the Summary Compensation Table for each year, adjusted as shown below. Equity values are calculated in accordance with FASB ASC Topic 718, and the valuation assumptions used to calculate fair values did not materially differ from those disclosed at the time of the grant.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68" w:right="31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89"/>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 to PEO</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Borders>
              <w:bottom w:val="single" w:sz="8" w:color="CCEEFF"/>
            </w:tcBorders>
          </w:tcPr>
          <w:p>
            <w:pPr>
              <w:spacing w:after="0"/>
              <w:rPr>
                <w:sz w:val="16"/>
                <w:szCs w:val="16"/>
                <w:color w:val="auto"/>
              </w:rPr>
            </w:pPr>
          </w:p>
        </w:tc>
      </w:tr>
      <w:tr>
        <w:trPr>
          <w:trHeight w:val="16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13,816,268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13,817,351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11,680,872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10,533,666</w:t>
            </w:r>
          </w:p>
        </w:tc>
        <w:tc>
          <w:tcPr>
            <w:tcW w:w="100" w:type="dxa"/>
            <w:vAlign w:val="bottom"/>
            <w:shd w:val="clear" w:color="auto" w:fill="CCEEFF"/>
          </w:tcPr>
          <w:p>
            <w:pPr>
              <w:spacing w:after="0"/>
              <w:rPr>
                <w:sz w:val="14"/>
                <w:szCs w:val="14"/>
                <w:color w:val="auto"/>
              </w:rPr>
            </w:pPr>
          </w:p>
        </w:tc>
      </w:tr>
      <w:tr>
        <w:trPr>
          <w:trHeight w:val="173"/>
        </w:trPr>
        <w:tc>
          <w:tcPr>
            <w:tcW w:w="6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Less, value of Stock Awards reported in Summary Compensation Table</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(10,404,260)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(10,404,250)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(9,135,727)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(9,673,424)</w:t>
            </w:r>
          </w:p>
        </w:tc>
        <w:tc>
          <w:tcPr>
            <w:tcW w:w="100" w:type="dxa"/>
            <w:vAlign w:val="bottom"/>
          </w:tcPr>
          <w:p>
            <w:pPr>
              <w:spacing w:after="0"/>
              <w:rPr>
                <w:sz w:val="15"/>
                <w:szCs w:val="15"/>
                <w:color w:val="auto"/>
              </w:rPr>
            </w:pPr>
          </w:p>
        </w:tc>
      </w:tr>
      <w:tr>
        <w:trPr>
          <w:trHeight w:val="173"/>
        </w:trPr>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Less, Change in Pension Value reported in Summary Compensation Table</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6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Plus, year-end fair value of outstanding and unvested equity awards granted in the year</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11,492,042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10,910,614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9,384,222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10,381,368</w:t>
            </w:r>
          </w:p>
        </w:tc>
        <w:tc>
          <w:tcPr>
            <w:tcW w:w="100" w:type="dxa"/>
            <w:vAlign w:val="bottom"/>
          </w:tcPr>
          <w:p>
            <w:pPr>
              <w:spacing w:after="0"/>
              <w:rPr>
                <w:sz w:val="15"/>
                <w:szCs w:val="15"/>
                <w:color w:val="auto"/>
              </w:rPr>
            </w:pPr>
          </w:p>
        </w:tc>
      </w:tr>
      <w:tr>
        <w:trPr>
          <w:trHeight w:val="158"/>
        </w:trPr>
        <w:tc>
          <w:tcPr>
            <w:tcW w:w="6320" w:type="dxa"/>
            <w:vAlign w:val="bottom"/>
            <w:shd w:val="clear" w:color="auto" w:fill="CCEEFF"/>
          </w:tcPr>
          <w:p>
            <w:pPr>
              <w:ind w:left="80"/>
              <w:spacing w:after="0" w:line="158" w:lineRule="exact"/>
              <w:rPr>
                <w:sz w:val="20"/>
                <w:szCs w:val="20"/>
                <w:color w:val="auto"/>
              </w:rPr>
            </w:pPr>
            <w:r>
              <w:rPr>
                <w:rFonts w:ascii="Times New Roman" w:cs="Times New Roman" w:eastAsia="Times New Roman" w:hAnsi="Times New Roman"/>
                <w:sz w:val="14"/>
                <w:szCs w:val="14"/>
                <w:color w:val="auto"/>
              </w:rPr>
              <w:t>Plus (less), year over year change in fair value of outstanding and unvested equity awards granted in prior</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7"/>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years</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1,210,527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(1,648,612)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(2,369,813)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353,655</w:t>
            </w:r>
          </w:p>
        </w:tc>
        <w:tc>
          <w:tcPr>
            <w:tcW w:w="100" w:type="dxa"/>
            <w:vAlign w:val="bottom"/>
            <w:shd w:val="clear" w:color="auto" w:fill="CCEEFF"/>
          </w:tcPr>
          <w:p>
            <w:pPr>
              <w:spacing w:after="0"/>
              <w:rPr>
                <w:sz w:val="16"/>
                <w:szCs w:val="16"/>
                <w:color w:val="auto"/>
              </w:rPr>
            </w:pPr>
          </w:p>
        </w:tc>
      </w:tr>
      <w:tr>
        <w:trPr>
          <w:trHeight w:val="173"/>
        </w:trPr>
        <w:tc>
          <w:tcPr>
            <w:tcW w:w="6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Plus fair value as of the vesting date of equity awards granted and vested in the year</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Plus (less), year over year change in fair value of equity awards granted in prior years that vested in the year</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160,528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272,517</w:t>
            </w:r>
          </w:p>
        </w:tc>
        <w:tc>
          <w:tcPr>
            <w:tcW w:w="100" w:type="dxa"/>
            <w:vAlign w:val="bottom"/>
            <w:shd w:val="clear" w:color="auto" w:fill="CCEEFF"/>
          </w:tcPr>
          <w:p>
            <w:pPr>
              <w:spacing w:after="0"/>
              <w:rPr>
                <w:sz w:val="15"/>
                <w:szCs w:val="15"/>
                <w:color w:val="auto"/>
              </w:rPr>
            </w:pPr>
          </w:p>
        </w:tc>
      </w:tr>
      <w:tr>
        <w:trPr>
          <w:trHeight w:val="173"/>
        </w:trPr>
        <w:tc>
          <w:tcPr>
            <w:tcW w:w="6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Less, prior year-end fair value for any equity awards forfeited in the year</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(1,158,690)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(1,170,229)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(1,541,567)</w:t>
            </w:r>
          </w:p>
        </w:tc>
        <w:tc>
          <w:tcPr>
            <w:tcW w:w="100" w:type="dxa"/>
            <w:vAlign w:val="bottom"/>
          </w:tcPr>
          <w:p>
            <w:pPr>
              <w:spacing w:after="0"/>
              <w:rPr>
                <w:sz w:val="15"/>
                <w:szCs w:val="15"/>
                <w:color w:val="auto"/>
              </w:rPr>
            </w:pPr>
          </w:p>
        </w:tc>
      </w:tr>
      <w:tr>
        <w:trPr>
          <w:trHeight w:val="173"/>
        </w:trPr>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Plus, pension service cost for services rendered during the year</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 to PEO as calculated</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16,275,105</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11,540,240</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8,155,437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10,326,215</w:t>
            </w:r>
          </w:p>
        </w:tc>
        <w:tc>
          <w:tcPr>
            <w:tcW w:w="100" w:type="dxa"/>
            <w:vAlign w:val="bottom"/>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640" w:right="20" w:hanging="373"/>
        <w:spacing w:after="0" w:line="277"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(d) represent the average of the amounts reported for the Company’s NEOs as a group (excluding Mr. Brown in the Total column of the Summary Compensation Table in each applicable year. The names of each of the NEOs included for these purposes in each applicable year are as follows: Rick L. Weller, Nikos Fountas, Kevin J. Caponecchi, and Juan C. Bianchi.</w:t>
      </w:r>
    </w:p>
    <w:p>
      <w:pPr>
        <w:spacing w:after="0" w:line="4" w:lineRule="exact"/>
        <w:rPr>
          <w:rFonts w:ascii="Times New Roman" w:cs="Times New Roman" w:eastAsia="Times New Roman" w:hAnsi="Times New Roman"/>
          <w:sz w:val="14"/>
          <w:szCs w:val="14"/>
          <w:color w:val="auto"/>
        </w:rPr>
      </w:pPr>
    </w:p>
    <w:p>
      <w:pPr>
        <w:ind w:left="640" w:right="120" w:hanging="373"/>
        <w:spacing w:after="0" w:line="298"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(e) represent the average amount of “compensation actually paid” to NEOs as a group (excluding Mr. Brown), as computed in accordance with item 402(v) of Regulation S-K and do not reflect the total compensation realized or received by such persons.</w:t>
      </w:r>
    </w:p>
    <w:p>
      <w:pPr>
        <w:spacing w:after="0" w:line="151" w:lineRule="exact"/>
        <w:rPr>
          <w:sz w:val="20"/>
          <w:szCs w:val="20"/>
          <w:color w:val="auto"/>
        </w:rPr>
      </w:pPr>
    </w:p>
    <w:p>
      <w:pPr>
        <w:ind w:firstLine="331"/>
        <w:spacing w:after="0" w:line="298" w:lineRule="auto"/>
        <w:rPr>
          <w:sz w:val="20"/>
          <w:szCs w:val="20"/>
          <w:color w:val="auto"/>
        </w:rPr>
      </w:pPr>
      <w:r>
        <w:rPr>
          <w:rFonts w:ascii="Times New Roman" w:cs="Times New Roman" w:eastAsia="Times New Roman" w:hAnsi="Times New Roman"/>
          <w:sz w:val="14"/>
          <w:szCs w:val="14"/>
          <w:color w:val="auto"/>
        </w:rPr>
        <w:t>In accordance with these rules, these amounts reflect Total compensation as set forth in the Summary Compensation Table for each year, adjusted as shown below. Equity values are calculated in accordance with FASB ASC Topic 718, and the valuation assumptions used to calculate fair values did not materially differ from those disclosed at the time of the grant.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Average Compensation Paid to Non-PEO NEOs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Borders>
              <w:bottom w:val="single" w:sz="8" w:color="CCEEFF"/>
            </w:tcBorders>
          </w:tcPr>
          <w:p>
            <w:pPr>
              <w:spacing w:after="0"/>
              <w:rPr>
                <w:sz w:val="16"/>
                <w:szCs w:val="16"/>
                <w:color w:val="auto"/>
              </w:rPr>
            </w:pPr>
          </w:p>
        </w:tc>
      </w:tr>
      <w:tr>
        <w:trPr>
          <w:trHeight w:val="16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4,509,404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4,511,334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3,910,371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6,267,505</w:t>
            </w:r>
          </w:p>
        </w:tc>
        <w:tc>
          <w:tcPr>
            <w:tcW w:w="100" w:type="dxa"/>
            <w:vAlign w:val="bottom"/>
            <w:shd w:val="clear" w:color="auto" w:fill="CCEEFF"/>
          </w:tcPr>
          <w:p>
            <w:pPr>
              <w:spacing w:after="0"/>
              <w:rPr>
                <w:sz w:val="14"/>
                <w:szCs w:val="14"/>
                <w:color w:val="auto"/>
              </w:rPr>
            </w:pPr>
          </w:p>
        </w:tc>
      </w:tr>
      <w:tr>
        <w:trPr>
          <w:trHeight w:val="173"/>
        </w:trPr>
        <w:tc>
          <w:tcPr>
            <w:tcW w:w="6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Less, value of Stock Awards reported in Summary Compensation Table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(3,016,741)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(3,016,730)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(2,702,164)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(5,721,164)</w:t>
            </w:r>
          </w:p>
        </w:tc>
        <w:tc>
          <w:tcPr>
            <w:tcW w:w="100" w:type="dxa"/>
            <w:vAlign w:val="bottom"/>
          </w:tcPr>
          <w:p>
            <w:pPr>
              <w:spacing w:after="0"/>
              <w:rPr>
                <w:sz w:val="15"/>
                <w:szCs w:val="15"/>
                <w:color w:val="auto"/>
              </w:rPr>
            </w:pPr>
          </w:p>
        </w:tc>
      </w:tr>
      <w:tr>
        <w:trPr>
          <w:trHeight w:val="173"/>
        </w:trPr>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Less, Change in Pension Value reported in Summary Compensation Table</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6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Plus, year-end fair value of outstanding and unvested equity awards granted in the year</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3,238,180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3,163,551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2,772,164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8,827,358</w:t>
            </w:r>
          </w:p>
        </w:tc>
        <w:tc>
          <w:tcPr>
            <w:tcW w:w="100" w:type="dxa"/>
            <w:vAlign w:val="bottom"/>
          </w:tcPr>
          <w:p>
            <w:pPr>
              <w:spacing w:after="0"/>
              <w:rPr>
                <w:sz w:val="15"/>
                <w:szCs w:val="15"/>
                <w:color w:val="auto"/>
              </w:rPr>
            </w:pPr>
          </w:p>
        </w:tc>
      </w:tr>
      <w:tr>
        <w:trPr>
          <w:trHeight w:val="158"/>
        </w:trPr>
        <w:tc>
          <w:tcPr>
            <w:tcW w:w="6320" w:type="dxa"/>
            <w:vAlign w:val="bottom"/>
            <w:shd w:val="clear" w:color="auto" w:fill="CCEEFF"/>
          </w:tcPr>
          <w:p>
            <w:pPr>
              <w:ind w:left="80"/>
              <w:spacing w:after="0" w:line="158" w:lineRule="exact"/>
              <w:rPr>
                <w:sz w:val="20"/>
                <w:szCs w:val="20"/>
                <w:color w:val="auto"/>
              </w:rPr>
            </w:pPr>
            <w:r>
              <w:rPr>
                <w:rFonts w:ascii="Times New Roman" w:cs="Times New Roman" w:eastAsia="Times New Roman" w:hAnsi="Times New Roman"/>
                <w:sz w:val="14"/>
                <w:szCs w:val="14"/>
                <w:color w:val="auto"/>
              </w:rPr>
              <w:t>Plus (less), year over year change in fair value of outstanding and unvested equity awards granted in the</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7"/>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304,426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(629,997)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(2,555,345)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(167,623)</w:t>
            </w:r>
          </w:p>
        </w:tc>
        <w:tc>
          <w:tcPr>
            <w:tcW w:w="100" w:type="dxa"/>
            <w:vAlign w:val="bottom"/>
            <w:shd w:val="clear" w:color="auto" w:fill="CCEEFF"/>
          </w:tcPr>
          <w:p>
            <w:pPr>
              <w:spacing w:after="0"/>
              <w:rPr>
                <w:sz w:val="16"/>
                <w:szCs w:val="16"/>
                <w:color w:val="auto"/>
              </w:rPr>
            </w:pPr>
          </w:p>
        </w:tc>
      </w:tr>
      <w:tr>
        <w:trPr>
          <w:trHeight w:val="173"/>
        </w:trPr>
        <w:tc>
          <w:tcPr>
            <w:tcW w:w="6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Plus fair value as of the vesting date of equity awards granted and vested prior years</w:t>
            </w: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Plus (less), year over year change in fair value of equity awards granted in prior years that vested in the year</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399,143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(85,149)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81,324</w:t>
            </w:r>
          </w:p>
        </w:tc>
        <w:tc>
          <w:tcPr>
            <w:tcW w:w="100" w:type="dxa"/>
            <w:vAlign w:val="bottom"/>
            <w:shd w:val="clear" w:color="auto" w:fill="CCEEFF"/>
          </w:tcPr>
          <w:p>
            <w:pPr>
              <w:spacing w:after="0"/>
              <w:rPr>
                <w:sz w:val="15"/>
                <w:szCs w:val="15"/>
                <w:color w:val="auto"/>
              </w:rPr>
            </w:pPr>
          </w:p>
        </w:tc>
      </w:tr>
      <w:tr>
        <w:trPr>
          <w:trHeight w:val="173"/>
        </w:trPr>
        <w:tc>
          <w:tcPr>
            <w:tcW w:w="6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Less, prior year-end fair value for any equity awards forfeited in the year</w:t>
            </w: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(545,945)</w:t>
            </w:r>
          </w:p>
        </w:tc>
        <w:tc>
          <w:tcPr>
            <w:tcW w:w="100" w:type="dxa"/>
            <w:vAlign w:val="bottom"/>
          </w:tcPr>
          <w:p>
            <w:pPr>
              <w:spacing w:after="0"/>
              <w:rPr>
                <w:sz w:val="15"/>
                <w:szCs w:val="15"/>
                <w:color w:val="auto"/>
              </w:rPr>
            </w:pPr>
          </w:p>
        </w:tc>
      </w:tr>
      <w:tr>
        <w:trPr>
          <w:trHeight w:val="173"/>
        </w:trPr>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Plus, pension service cost for services rendered during the year</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Average Compensation Actually Paid to Non-PEO NEOs</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5,434,412</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3,949,725</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822,983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8,741,455</w:t>
            </w:r>
          </w:p>
        </w:tc>
        <w:tc>
          <w:tcPr>
            <w:tcW w:w="100" w:type="dxa"/>
            <w:vAlign w:val="bottom"/>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640" w:right="40" w:hanging="373"/>
        <w:spacing w:after="0" w:line="289"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TSR is calculated by dividing the difference between the Company’s share price at the end of each fiscal year shown and the beginning of the measurement period by the Company’s share price at the beginning of the measurement period. The beginning of the measurement period for each year in the table is the closing price on December 31, 2019</w:t>
      </w:r>
    </w:p>
    <w:p>
      <w:pPr>
        <w:spacing w:after="0" w:line="1" w:lineRule="exact"/>
        <w:rPr>
          <w:rFonts w:ascii="Times New Roman" w:cs="Times New Roman" w:eastAsia="Times New Roman" w:hAnsi="Times New Roman"/>
          <w:sz w:val="14"/>
          <w:szCs w:val="14"/>
          <w:color w:val="auto"/>
        </w:rPr>
      </w:pPr>
    </w:p>
    <w:p>
      <w:pPr>
        <w:ind w:left="640" w:hanging="373"/>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peer group used for calculating Peer Group Total Shareholder Return is the same peer group used by the Company for benchmarking compensation.</w:t>
      </w:r>
    </w:p>
    <w:p>
      <w:pPr>
        <w:spacing w:after="0" w:line="55" w:lineRule="exact"/>
        <w:rPr>
          <w:rFonts w:ascii="Times New Roman" w:cs="Times New Roman" w:eastAsia="Times New Roman" w:hAnsi="Times New Roman"/>
          <w:sz w:val="14"/>
          <w:szCs w:val="14"/>
          <w:color w:val="auto"/>
        </w:rPr>
      </w:pPr>
    </w:p>
    <w:p>
      <w:pPr>
        <w:ind w:left="640" w:hanging="373"/>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are from the Company’s audited financial statements for the applicable year.</w:t>
      </w:r>
    </w:p>
    <w:p>
      <w:pPr>
        <w:spacing w:after="0" w:line="55" w:lineRule="exact"/>
        <w:rPr>
          <w:rFonts w:ascii="Times New Roman" w:cs="Times New Roman" w:eastAsia="Times New Roman" w:hAnsi="Times New Roman"/>
          <w:sz w:val="14"/>
          <w:szCs w:val="14"/>
          <w:color w:val="auto"/>
        </w:rPr>
      </w:pPr>
    </w:p>
    <w:p>
      <w:pPr>
        <w:ind w:left="640" w:right="40" w:hanging="373"/>
        <w:spacing w:after="0" w:line="298"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Earnings per Share on a constant currency basis is a non-GAAP financial measure. For additional information including a corresponding reconciliation to GAAP financial measures, see Appendix A Reconciliation of Adjusted Earnings per Share on a constant currency basis.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85025"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47"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color w:val="auto"/>
        </w:rPr>
        <w:t>Pay versus Performance: Most Important Measures</w:t>
      </w:r>
    </w:p>
    <w:p>
      <w:pPr>
        <w:spacing w:after="0" w:line="230"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The most important financial performance measure used by the Company to link executive compensation actually paid to the Company’s NEOs, for the most recently completed fiscal year, to the Company’s performance is Adjusted Earnings per Share on a constant currency basis, adjusted operating income and increases in the Company's stock prices. These performance measures are included and considered in the evaluation of Company performance as part of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 Versus Performance: Graphical Description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illustrations below provide a graphical description of CAP and the following measures: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Company’s cumulative TSR and Peer Group’s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-64135</wp:posOffset>
            </wp:positionV>
            <wp:extent cx="52705" cy="52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4"/>
          <w:szCs w:val="14"/>
          <w:color w:val="auto"/>
        </w:rPr>
        <w:t>the Company’s Net Income;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-67945</wp:posOffset>
            </wp:positionV>
            <wp:extent cx="52705" cy="52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4"/>
          <w:szCs w:val="14"/>
          <w:color w:val="auto"/>
        </w:rPr>
        <w:t>the Company Selected Measure, which for Euronet is Adjusted Earnings per Share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-74295</wp:posOffset>
            </wp:positionV>
            <wp:extent cx="6315075" cy="3571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15075" cy="3571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180"/>
          </w:cols>
          <w:pgMar w:left="300" w:top="447" w:right="41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839470</wp:posOffset>
            </wp:positionH>
            <wp:positionV relativeFrom="page">
              <wp:posOffset>301625</wp:posOffset>
            </wp:positionV>
            <wp:extent cx="5877560" cy="6755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77560" cy="675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59055</wp:posOffset>
            </wp:positionV>
            <wp:extent cx="7185025"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7"/>
          <w:szCs w:val="17"/>
          <w:b w:val="1"/>
          <w:bCs w:val="1"/>
          <w:color w:val="006EBF"/>
        </w:rPr>
        <w:t>DIRECTOR COMPENSATION</w:t>
      </w:r>
    </w:p>
    <w:p>
      <w:pPr>
        <w:spacing w:after="0" w:line="182" w:lineRule="exact"/>
        <w:rPr>
          <w:sz w:val="20"/>
          <w:szCs w:val="20"/>
          <w:color w:val="auto"/>
        </w:rPr>
      </w:pPr>
    </w:p>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In 2023, non-management Directors received $250,000 annually for serving on the Board. The Board fee consisted of annual cash compensation in the amount of $100,000 paid at the beginning of the term and common stock valued at $150,000 that is granted on the date of our annual meeting of stockholders and vests immediately. Non-management Directors received additional annual compensation for serving in certain Board leadership roles as follows: (i) the Lead Independent Director received cash compensation of $30,000, (ii) the Chairperson of the Audit Committee received cash compensation of $25,000, (iii) the Chairman of the Compensation Committee received cash compensation of $20,000, and (iv) the Chairman of the Nominating and Corporate Governance Committee received cash compensation of $15,000. Directors may elect to take all of their Board fees as an award of common stock.</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We believe that the compensation paid to non-management Directors in 2023 was appropriate.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During 2023, in addition to reimbursement of out-of-pocket expenses, each non-management Director was compensated as summarized in the table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 for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Fees Earned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or Paid in</w:t>
            </w:r>
          </w:p>
        </w:tc>
        <w:tc>
          <w:tcPr>
            <w:tcW w:w="2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2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Awards(5)</w:t>
            </w:r>
          </w:p>
        </w:tc>
        <w:tc>
          <w:tcPr>
            <w:tcW w:w="320" w:type="dxa"/>
            <w:vAlign w:val="bottom"/>
          </w:tcPr>
          <w:p>
            <w:pPr>
              <w:spacing w:after="0"/>
              <w:rPr>
                <w:sz w:val="14"/>
                <w:szCs w:val="14"/>
                <w:color w:val="auto"/>
              </w:rPr>
            </w:pPr>
          </w:p>
        </w:tc>
        <w:tc>
          <w:tcPr>
            <w:tcW w:w="1020" w:type="dxa"/>
            <w:vAlign w:val="bottom"/>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Thomas A. McDonnell (1)</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130,000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280,000</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 Jeannine Strandjord (2)</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125,000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275,000</w:t>
            </w:r>
          </w:p>
        </w:tc>
        <w:tc>
          <w:tcPr>
            <w:tcW w:w="0" w:type="dxa"/>
            <w:vAlign w:val="bottom"/>
          </w:tcPr>
          <w:p>
            <w:pPr>
              <w:spacing w:after="0"/>
              <w:rPr>
                <w:sz w:val="1"/>
                <w:szCs w:val="1"/>
                <w:color w:val="auto"/>
              </w:rPr>
            </w:pPr>
          </w:p>
        </w:tc>
      </w:tr>
      <w:tr>
        <w:trPr>
          <w:trHeight w:val="227"/>
        </w:trPr>
        <w:tc>
          <w:tcPr>
            <w:tcW w:w="2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B. Schmitt (3)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270,000</w:t>
            </w: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S. Althasen (4)</w:t>
            </w:r>
          </w:p>
        </w:tc>
        <w:tc>
          <w:tcPr>
            <w:tcW w:w="22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115,000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265,000</w:t>
            </w:r>
          </w:p>
        </w:tc>
        <w:tc>
          <w:tcPr>
            <w:tcW w:w="0" w:type="dxa"/>
            <w:vAlign w:val="bottom"/>
          </w:tcPr>
          <w:p>
            <w:pPr>
              <w:spacing w:after="0"/>
              <w:rPr>
                <w:sz w:val="1"/>
                <w:szCs w:val="1"/>
                <w:color w:val="auto"/>
              </w:rPr>
            </w:pPr>
          </w:p>
        </w:tc>
      </w:tr>
      <w:tr>
        <w:trPr>
          <w:trHeight w:val="43"/>
        </w:trPr>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N. Frumkin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Andrzej Olechowski</w:t>
            </w:r>
          </w:p>
        </w:tc>
        <w:tc>
          <w:tcPr>
            <w:tcW w:w="22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100,000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43"/>
        </w:trPr>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Ligia Torres Fentanes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440" w:hanging="142"/>
        <w:spacing w:after="0"/>
        <w:tabs>
          <w:tab w:leader="none" w:pos="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 in cash for his role as Lead Independent Director.</w:t>
      </w:r>
    </w:p>
    <w:p>
      <w:pPr>
        <w:spacing w:after="0" w:line="27" w:lineRule="exact"/>
        <w:rPr>
          <w:rFonts w:ascii="Times New Roman" w:cs="Times New Roman" w:eastAsia="Times New Roman" w:hAnsi="Times New Roman"/>
          <w:sz w:val="14"/>
          <w:szCs w:val="14"/>
          <w:color w:val="auto"/>
        </w:rPr>
      </w:pPr>
    </w:p>
    <w:p>
      <w:pPr>
        <w:ind w:left="440" w:hanging="142"/>
        <w:spacing w:after="0"/>
        <w:tabs>
          <w:tab w:leader="none" w:pos="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$25,000 in cash for her role as Chairperson of the Audit Committee.</w:t>
      </w:r>
    </w:p>
    <w:p>
      <w:pPr>
        <w:spacing w:after="0" w:line="11" w:lineRule="exact"/>
        <w:rPr>
          <w:rFonts w:ascii="Times New Roman" w:cs="Times New Roman" w:eastAsia="Times New Roman" w:hAnsi="Times New Roman"/>
          <w:sz w:val="14"/>
          <w:szCs w:val="14"/>
          <w:color w:val="auto"/>
        </w:rPr>
      </w:pPr>
    </w:p>
    <w:p>
      <w:pPr>
        <w:ind w:left="440" w:hanging="142"/>
        <w:spacing w:after="0"/>
        <w:tabs>
          <w:tab w:leader="none" w:pos="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$20,000 in cash for his role as Chairperson of the Compensation Committee.</w:t>
      </w:r>
    </w:p>
    <w:p>
      <w:pPr>
        <w:spacing w:after="0" w:line="11" w:lineRule="exact"/>
        <w:rPr>
          <w:rFonts w:ascii="Times New Roman" w:cs="Times New Roman" w:eastAsia="Times New Roman" w:hAnsi="Times New Roman"/>
          <w:sz w:val="14"/>
          <w:szCs w:val="14"/>
          <w:color w:val="auto"/>
        </w:rPr>
      </w:pPr>
    </w:p>
    <w:p>
      <w:pPr>
        <w:ind w:left="440" w:hanging="142"/>
        <w:spacing w:after="0"/>
        <w:tabs>
          <w:tab w:leader="none" w:pos="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$15,000 in cash for his role as Chairperson of the Nominating and Corporate Governance Committee.</w:t>
      </w:r>
    </w:p>
    <w:p>
      <w:pPr>
        <w:spacing w:after="0" w:line="11" w:lineRule="exact"/>
        <w:rPr>
          <w:rFonts w:ascii="Times New Roman" w:cs="Times New Roman" w:eastAsia="Times New Roman" w:hAnsi="Times New Roman"/>
          <w:sz w:val="14"/>
          <w:szCs w:val="14"/>
          <w:color w:val="auto"/>
        </w:rPr>
      </w:pPr>
    </w:p>
    <w:p>
      <w:pPr>
        <w:jc w:val="both"/>
        <w:ind w:left="440" w:hanging="142"/>
        <w:spacing w:after="0" w:line="275" w:lineRule="auto"/>
        <w:tabs>
          <w:tab w:leader="none" w:pos="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awards granted to Directors as compensation vest immediately on the grant date. For 2023, the value per share at the grant date (May 18, 2023, the date of last year's annual meeting) was $117.49 per share for each non-management Director. The aggregate grant date fair value is computed in accordance with FASB Accounting Standards Codification Topic 718.</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06EBF"/>
        </w:rPr>
        <w:t>COMPENSATION COMMITTEE INTERLOCKS AND INSIDER PARTICIPATION</w:t>
      </w:r>
    </w:p>
    <w:p>
      <w:pPr>
        <w:spacing w:after="0" w:line="149"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None of the persons who served on the Company’s Compensation Committee during the last completed fiscal year (Thomas A. McDonnell, M. Jeannine Strandjord, Andrzej Olechowski, Andrew B. Schmitt, Paul S. Althasen, Michael N. Frumkin, and Ligia Torres Fentanes) (i) during the last three fiscal years, was an officer or employee of the Company; or (ii) had any relationship requiring disclosure under Item 404 of Regulation S-K.</w:t>
      </w:r>
    </w:p>
    <w:p>
      <w:pPr>
        <w:spacing w:after="0" w:line="134" w:lineRule="exact"/>
        <w:rPr>
          <w:sz w:val="20"/>
          <w:szCs w:val="20"/>
          <w:color w:val="auto"/>
        </w:rPr>
      </w:pPr>
    </w:p>
    <w:p>
      <w:pPr>
        <w:jc w:val="both"/>
        <w:ind w:firstLine="331"/>
        <w:spacing w:after="0" w:line="269" w:lineRule="auto"/>
        <w:rPr>
          <w:sz w:val="20"/>
          <w:szCs w:val="20"/>
          <w:color w:val="auto"/>
        </w:rPr>
      </w:pPr>
      <w:r>
        <w:rPr>
          <w:rFonts w:ascii="Times New Roman" w:cs="Times New Roman" w:eastAsia="Times New Roman" w:hAnsi="Times New Roman"/>
          <w:sz w:val="14"/>
          <w:szCs w:val="14"/>
          <w:color w:val="auto"/>
        </w:rPr>
        <w:t>None of the Company’s executive officers, during the last completed fiscal year, served as a (i) member of the compensation committee (or equivalent) of another entity, one of whose executive officers served on the Company’s Compensation Committee; (ii) director of another entity, one of whose executive officers served on the Company’s Compensation Committee; or</w:t>
      </w:r>
    </w:p>
    <w:p>
      <w:pPr>
        <w:ind w:left="5580" w:right="2920" w:hanging="5574"/>
        <w:spacing w:after="0" w:line="402" w:lineRule="auto"/>
        <w:tabs>
          <w:tab w:leader="none" w:pos="26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 (or equivalent) of another entity, one of whose executive officers served as the Company’s Director.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220345</wp:posOffset>
            </wp:positionV>
            <wp:extent cx="7185025"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64" w:name="page65"/>
    <w:bookmarkEnd w:id="64"/>
    <w:p>
      <w:pPr>
        <w:ind w:left="2620"/>
        <w:spacing w:after="0"/>
        <w:rPr>
          <w:sz w:val="20"/>
          <w:szCs w:val="20"/>
          <w:color w:val="auto"/>
        </w:rPr>
      </w:pPr>
      <w:r>
        <w:rPr>
          <w:rFonts w:ascii="Times New Roman" w:cs="Times New Roman" w:eastAsia="Times New Roman" w:hAnsi="Times New Roman"/>
          <w:sz w:val="17"/>
          <w:szCs w:val="17"/>
          <w:b w:val="1"/>
          <w:bCs w:val="1"/>
          <w:color w:val="006EBF"/>
        </w:rPr>
        <w:t>CERTAIN RELATIONSHIPS AND RELATED TRANSACTIONS AND DIRECTOR</w:t>
      </w:r>
    </w:p>
    <w:p>
      <w:pPr>
        <w:spacing w:after="0" w:line="3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b w:val="1"/>
          <w:bCs w:val="1"/>
          <w:color w:val="006EBF"/>
        </w:rPr>
        <w:t>INDEPENDENCE</w:t>
      </w:r>
    </w:p>
    <w:p>
      <w:pPr>
        <w:spacing w:after="0" w:line="138"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On January 1, 2014, we entered into a Non-Continuous Aircraft Dry Lease (the "M+M Lease") with M+M X, LLC, a company that is owned by our Chief Executive Officer, President and Chairman of the Board of Directors, Mr. Brown. The M+M Lease makes a Cessna Model 750 aircraft available to Euronet for transportation of executives with no minimum usage requirements, in consideration of payment of a fee of $3,611.00 per hour. The Audit Committee of the Board examined the M+M Lease and determined that those terms were fair to Euronet. The total amount paid to M+M X, LLC under the lease agreement during the year 2023 was $0.2 million.</w:t>
      </w:r>
    </w:p>
    <w:p>
      <w:pPr>
        <w:spacing w:after="0" w:line="137"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Our Code of Conduct provides that no related party transaction that would require disclosure under the U.S. securities laws may be consummated or continued unless the transaction is approved or ratified by the Audit Committee. In determining whether to approve or ratify a related party transaction, the Audit Committee will take into account, among other factors it deems appropriate, whether the related party transaction is on terms no less favorable than terms generally available to an unaffiliated third-party under the same or similar circumstances and the extent of the related person’s interest in the transaction. The M+M Lease was ratified by the Audit Committee in accordance with this policy.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our Directors, with the exception of Mr. Brown, are independent under the listing standards of The Nasdaq Stock Market LLC.</w:t>
      </w:r>
    </w:p>
    <w:p>
      <w:pPr>
        <w:spacing w:after="0" w:line="185"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7"/>
          <w:szCs w:val="17"/>
          <w:b w:val="1"/>
          <w:bCs w:val="1"/>
          <w:color w:val="006EBF"/>
        </w:rPr>
        <w:t>AUDIT MATTERS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the Audit Committee</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Audit Committee reviewed and discussed Euronet’s audited consolidated financial statements for fiscal year 2023 with management. The Audit Committee has also discussed with the independent registered public accounting firm the matters required to be discussed by the applicable requirements of the Public Company Accounting Oversight Board (PCAOB) and the SEC.</w:t>
      </w:r>
    </w:p>
    <w:p>
      <w:pPr>
        <w:spacing w:after="0" w:line="119"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134"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Based on the reviews and discussions referred to above, the Audit Committee recommended to the Board of Directors that Euronet’s audited consolidated financial statements be included in the Annual Report on Form 10-K for the year ended December 31, 2023 for filing with the SEC.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Audit Committee</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M. Jeannine Strandjord, Chair</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Thomas A. McDonnell</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Andrew B. Schmitt</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Ligia Torres Fentanes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Audit Committee Report is not deemed “soliciting material” and is not deemed filed with the SEC or subject to Regulation 14A or the liabilities under Section 18 of the Exchange Act.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Fees of the Company’s Independent Auditors</w:t>
      </w:r>
    </w:p>
    <w:p>
      <w:pPr>
        <w:spacing w:after="0" w:line="18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KPMG LLP served as Euronet’s independent registered public accounting firm as of and for the year ended December 31, 2023. As such, KPMG LLP performed professional services in connection with the audit of the consolidated financial statements of Euronet and the review of reports filed with the SEC, and performed an audit of the effectiveness of our internal control over financial reporting as of December 31, 2023.</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Audit Fees</w:t>
      </w:r>
    </w:p>
    <w:p>
      <w:pPr>
        <w:spacing w:after="0" w:line="189" w:lineRule="exact"/>
        <w:rPr>
          <w:sz w:val="20"/>
          <w:szCs w:val="20"/>
          <w:color w:val="auto"/>
        </w:rPr>
      </w:pPr>
    </w:p>
    <w:p>
      <w:pPr>
        <w:jc w:val="both"/>
        <w:ind w:firstLine="331"/>
        <w:spacing w:after="0" w:line="265" w:lineRule="auto"/>
        <w:rPr>
          <w:sz w:val="20"/>
          <w:szCs w:val="20"/>
          <w:color w:val="auto"/>
        </w:rPr>
      </w:pPr>
      <w:r>
        <w:rPr>
          <w:rFonts w:ascii="Times New Roman" w:cs="Times New Roman" w:eastAsia="Times New Roman" w:hAnsi="Times New Roman"/>
          <w:sz w:val="14"/>
          <w:szCs w:val="14"/>
          <w:color w:val="auto"/>
        </w:rPr>
        <w:t>Audit fees for financial statement audits were $3,173,295 during 2023 and $2,909,431 during 2022. Audit fees include fees for services performed to comply with the standards of the Public Company Accounting Oversight Board (United States) and Generally Accepted Auditing Standards, including the recurring audit of Euronet’s consolidated financial statements and fees related to the audit of the effectiveness of our internal control over financial reporting as required by the Sarbanes-Oxley Act of 2002. This category also includes fees for audits provided in connection with integrated audits and statutory filings, comfort letters, consents and assistance with and review of documents filed with the SEC.</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Audit-Related Fees</w:t>
      </w:r>
    </w:p>
    <w:p>
      <w:pPr>
        <w:spacing w:after="0" w:line="189"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There were no audit-related fees in 2023 and 2022. This category includes fees related to reporting on controls at a service organization, assistance in financial due diligence related to mergers and acquisitions, consultations regarding Generally Accepted Accounting Principles, reviews and evaluations of the impact of new regulatory pronouncements, general assistance with implementation of new SEC guidance, audit services not required by statute or regulation and other attest services.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Tax Fees</w:t>
      </w:r>
    </w:p>
    <w:p>
      <w:pPr>
        <w:spacing w:after="0" w:line="189"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There were $192,292 in tax fees during 2023 and $65,800 during 2022. This category includes fees associated with tax compliance and other services related to tax disclosure and filing requirements.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All Other Fees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 other fees were paid to KPMG LLP during both 2023 and 2022.</w:t>
      </w:r>
    </w:p>
    <w:p>
      <w:pPr>
        <w:spacing w:after="0" w:line="185"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Audit Committee has concluded that the provision by KPMG LLP of the services described under the captions “Audit-Related Fees,” “Tax Fees” and “All Other Fees” above is compatible with maintaining the independence of KPMG LLP.</w:t>
      </w:r>
    </w:p>
    <w:p>
      <w:pPr>
        <w:sectPr>
          <w:pgSz w:w="11900" w:h="16838" w:orient="portrait"/>
          <w:cols w:equalWidth="0" w:num="1">
            <w:col w:w="11280"/>
          </w:cols>
          <w:pgMar w:left="300" w:top="414"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color w:val="auto"/>
        </w:rPr>
        <w:t>Audit Committee Pre-Approval Policy</w:t>
      </w:r>
    </w:p>
    <w:p>
      <w:pPr>
        <w:sectPr>
          <w:pgSz w:w="11900" w:h="16838" w:orient="portrait"/>
          <w:cols w:equalWidth="0" w:num="1">
            <w:col w:w="10159"/>
          </w:cols>
          <w:pgMar w:left="300" w:top="123" w:right="1440" w:bottom="1440" w:gutter="0" w:footer="0" w:header="0"/>
        </w:sectPr>
      </w:pPr>
    </w:p>
    <w:bookmarkStart w:id="67" w:name="page68"/>
    <w:bookmarkEnd w:id="67"/>
    <w:p>
      <w:pPr>
        <w:jc w:val="both"/>
        <w:ind w:firstLine="331"/>
        <w:spacing w:after="0" w:line="267" w:lineRule="auto"/>
        <w:rPr>
          <w:sz w:val="20"/>
          <w:szCs w:val="20"/>
          <w:color w:val="auto"/>
        </w:rPr>
      </w:pPr>
      <w:r>
        <w:rPr>
          <w:rFonts w:ascii="Times New Roman" w:cs="Times New Roman" w:eastAsia="Times New Roman" w:hAnsi="Times New Roman"/>
          <w:sz w:val="14"/>
          <w:szCs w:val="14"/>
          <w:color w:val="auto"/>
        </w:rPr>
        <w:t>The Audit Committee has adopted policies that prohibit us from engaging our independent registered public accounting firm to perform any service that the independent registered public accounting firm is prohibited by the securities laws from providing. Such procedures require the Audit Committee to pre-approve or reject any audit or non-audit services. The Chairperson, with the assistance of Euronet’s Chief Financial Officer, presents and describes at regularly scheduled Audit Committee meetings all services that are subject to pre-approval. The authority to pre-approve permitted services may be delegated to one or more members of the Audit Committee and pre-approval may be granted between meetings, as long as any such pre-approval of services is presented to the full Audit Committee at its next scheduled meeting. The Audit Committee regularly examines whether the fees for auditor services exceed estimates.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Audit Committee pre-approved all services that KPMG LLP rendered to Euronet for 2023.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b w:val="1"/>
          <w:bCs w:val="1"/>
          <w:color w:val="006EBF"/>
        </w:rPr>
        <w:t>OTHER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Business</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The Board knows of no other business which may come before the Annual Meeting. If, however, any other matters are properly presented at the Annual Meeting, it is the intention of the persons named in the accompanying proxy to vote, or otherwise act, in accordance with their judgment on such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Householding</w:t>
      </w:r>
    </w:p>
    <w:p>
      <w:pPr>
        <w:spacing w:after="0" w:line="187" w:lineRule="exact"/>
        <w:rPr>
          <w:sz w:val="20"/>
          <w:szCs w:val="20"/>
          <w:color w:val="auto"/>
        </w:rPr>
      </w:pPr>
    </w:p>
    <w:p>
      <w:pPr>
        <w:jc w:val="both"/>
        <w:ind w:firstLine="331"/>
        <w:spacing w:after="0" w:line="263" w:lineRule="auto"/>
        <w:rPr>
          <w:sz w:val="20"/>
          <w:szCs w:val="20"/>
          <w:color w:val="auto"/>
        </w:rPr>
      </w:pPr>
      <w:r>
        <w:rPr>
          <w:rFonts w:ascii="Times New Roman" w:cs="Times New Roman" w:eastAsia="Times New Roman" w:hAnsi="Times New Roman"/>
          <w:sz w:val="14"/>
          <w:szCs w:val="14"/>
          <w:color w:val="auto"/>
        </w:rPr>
        <w:t>If you and other residents at your mailing address own shares in street name, your broker, bank or other nominee may have sent you a notice that your household will receive only one Annual Report and Proxy Statement for each company in which you hold shares through that broker, bank or nominee. This practice is called “householding.” If you did not respond that you did not want to participate in householding, you are deemed to have consented to that process. If these procedures apply to you, your broker, bank or other nominee will have sent one copy of the Notice and, if applicable, our Annual Report to stockholders and Proxy Statement to your address. You may revoke your consent to householding at any time by contacting your broker, bank or other nominee. If you did not receive an individual copy of the Notice and, if applicable, our Annual Report to stockholders and/or Proxy Statement, we will send copies to you if you contact us by writing to the Secretary of Euronet, 11400 Tomahawk Creek Parkway, Suite 300, Leawood, Kansas 66211 or by calling (913) 327-4200. If you and other residents at your address have been receiving multiple copies of the Notice and, if applicable, our Annual Report to stockholders and Proxy Statement and desire to receive only a single copy of these materials, you may contact your broker, bank or other nominee or contact us at the above address or telephone number.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Proposals for Inclusion in Euronet’s Proxy Statement</w:t>
      </w:r>
    </w:p>
    <w:p>
      <w:pPr>
        <w:spacing w:after="0" w:line="187" w:lineRule="exact"/>
        <w:rPr>
          <w:sz w:val="20"/>
          <w:szCs w:val="20"/>
          <w:color w:val="auto"/>
        </w:rPr>
      </w:pPr>
    </w:p>
    <w:p>
      <w:pPr>
        <w:jc w:val="both"/>
        <w:ind w:firstLine="331"/>
        <w:spacing w:after="0" w:line="265" w:lineRule="auto"/>
        <w:rPr>
          <w:sz w:val="20"/>
          <w:szCs w:val="20"/>
          <w:color w:val="auto"/>
        </w:rPr>
      </w:pPr>
      <w:r>
        <w:rPr>
          <w:rFonts w:ascii="Times New Roman" w:cs="Times New Roman" w:eastAsia="Times New Roman" w:hAnsi="Times New Roman"/>
          <w:sz w:val="14"/>
          <w:szCs w:val="14"/>
          <w:color w:val="auto"/>
        </w:rPr>
        <w:t>You may submit proposals for consideration at future stockholder meetings. For a stockholder proposal to be considered for inclusion in Euronet’s Proxy Statement for the annual stockholder meeting next year, the Secretary must receive the written proposal at our principal executive offices no later than December 6, 2024. Such proposals also must comply with SEC regulations under Rule 14a-8 regarding the inclusion of stockholder proposals in company-sponsored proxy materials. Proposals should be addressed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Secretary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Euronet Worldwide,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11400 Tomahawk Creek Parkway, Suite 300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Leawood, Kansas 66211</w:t>
      </w:r>
    </w:p>
    <w:p>
      <w:pPr>
        <w:spacing w:after="0" w:line="169"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If Euronet intends to exclude such a stockholder proposal from its Proxy Statement, it must file its reasons with the SEC no later than 80 calendar days before the filing date of its definitive Proxy Statement and simultaneously provide the stockholder with a copy of Euronet’s submission.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Proposals Not Intended for Inclusion in Euronet’s Proxy Statement</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For a stockholder proposal that is not intended to be included in Euronet’s Proxy Statement for the annual meeting next year under Rule 14a-8, the stockholder must provide the information required by our Bylaws and give timely notice to the Secretary in accordance with our Bylaws, which, in general, require that the notice be received by the Secretary:</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earlier than the close of business on January 16, 2025;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-64135</wp:posOffset>
            </wp:positionV>
            <wp:extent cx="52705" cy="52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later than the close of business on February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-73660</wp:posOffset>
            </wp:positionV>
            <wp:extent cx="52705" cy="52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1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If the date of the stockholder meeting is moved more than 30 days before or 60 days after the anniversary of Euronet’s Annual Meeting for 2024, then notice of a stockholder proposal that is not intended to be included in Euronet’s Proxy Statement under Rule 14a-8 must be received not earlier than the close of business 120 days prior to the meeting and not later than the close of business 90 days prior to the meeting, or if later, the tenth day following the day on which the notice of the annual meeting was first publicly disclosed.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Recommendations or Nominations of Individuals to Serve as Directors</w:t>
      </w:r>
    </w:p>
    <w:p>
      <w:pPr>
        <w:spacing w:after="0" w:line="18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You may propose Director candidates for consideration by the Board’s Nominating &amp; Corporate Governance Committee. Any such written recommendations should include: (a) the name of the proposing stockholder and proof of ownership of the Company’s common stock; (b) consents signed by the potential Director candidate and the proposing stockholder authorizing the Company to conduct a background check on the potential Director candidate and to disclose the information provided in the recommendation in its proxy materials or otherwise; (c)</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supporting information regarding the potential Director candidate; and (d) such other information required by our Bylaws.</w:t>
      </w:r>
    </w:p>
    <w:p>
      <w:pPr>
        <w:spacing w:after="0" w:line="185"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You may send a proposed Director candidate’s name and other required information to the Board at anytime. Generally, such proposed candidates are considered at the Board meeting prior to the next annual meeting subject to the advance notice provisions in our Bylaws.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Deadline to Propose or Nominate Individuals to Serve as Directors</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Our Bylaws permit stockholders to nominate Directors for election at an annual stockholder meeting. To nominate a Director, the stockholder must deliver the information required by our Bylaws.</w:t>
      </w:r>
    </w:p>
    <w:p>
      <w:pPr>
        <w:spacing w:after="0" w:line="119" w:lineRule="exact"/>
        <w:rPr>
          <w:sz w:val="20"/>
          <w:szCs w:val="20"/>
          <w:color w:val="auto"/>
        </w:rPr>
      </w:pPr>
    </w:p>
    <w:p>
      <w:pPr>
        <w:jc w:val="both"/>
        <w:ind w:firstLine="331"/>
        <w:spacing w:after="0" w:line="271" w:lineRule="auto"/>
        <w:rPr>
          <w:sz w:val="20"/>
          <w:szCs w:val="20"/>
          <w:color w:val="auto"/>
        </w:rPr>
      </w:pPr>
      <w:r>
        <w:rPr>
          <w:rFonts w:ascii="Times New Roman" w:cs="Times New Roman" w:eastAsia="Times New Roman" w:hAnsi="Times New Roman"/>
          <w:sz w:val="14"/>
          <w:szCs w:val="14"/>
          <w:color w:val="auto"/>
        </w:rPr>
        <w:t>To nominate an individual for election at the 2025 Annual Meeting, the stockholder must give timely notice to the Secretary in accordance with our Bylaws, which, in general, require that the notice be received by the Secretary between the close of business on January 16, 2025 and the close of business on February 14, 2025, unless the date of the stockholder meeting is moved more than 30 days before or 60 days after the anniversary of our Annual Meeting for 2024, then the nomination must be received not earlier than the close of business 120 days prior to the meeting and not later than the close of business 90 days prior to the meeting or, if later, the tenth day following the day on which the 2025 Annual Meeting was first publicly disclosed.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14a-19</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Exchange Act no later than March 17,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Availability of Euronet’s Bylaws</w:t>
      </w:r>
    </w:p>
    <w:p>
      <w:pPr>
        <w:spacing w:after="0" w:line="187" w:lineRule="exact"/>
        <w:rPr>
          <w:sz w:val="20"/>
          <w:szCs w:val="20"/>
          <w:color w:val="auto"/>
        </w:rPr>
      </w:pPr>
    </w:p>
    <w:p>
      <w:pPr>
        <w:jc w:val="both"/>
        <w:ind w:firstLine="331"/>
        <w:spacing w:after="0" w:line="298" w:lineRule="auto"/>
        <w:rPr>
          <w:sz w:val="20"/>
          <w:szCs w:val="20"/>
          <w:color w:val="auto"/>
        </w:rPr>
      </w:pPr>
      <w:r>
        <w:rPr>
          <w:rFonts w:ascii="Times New Roman" w:cs="Times New Roman" w:eastAsia="Times New Roman" w:hAnsi="Times New Roman"/>
          <w:sz w:val="14"/>
          <w:szCs w:val="14"/>
          <w:color w:val="auto"/>
        </w:rPr>
        <w:t>You may contact the Secretary at our principal executive offices for a copy of the relevant Bylaw provisions regarding the requirements for making stockholder proposals and nominating Director candidates. A copy of our Amended and Restated Bylaws is filed as Exhibit 3.2 to our Current Report on Form 8-K filed on February 28, 2017.</w:t>
      </w:r>
    </w:p>
    <w:p>
      <w:pPr>
        <w:spacing w:after="0" w:line="37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99060</wp:posOffset>
            </wp:positionV>
            <wp:extent cx="960120" cy="247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60120" cy="24701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Scott D. Claassen</w:t>
      </w:r>
    </w:p>
    <w:p>
      <w:pPr>
        <w:spacing w:after="0" w:line="6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i w:val="1"/>
          <w:iCs w:val="1"/>
          <w:color w:val="auto"/>
        </w:rPr>
        <w:t>General Counsel and Secretary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5, 2024</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85025"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70"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006EBF"/>
        </w:rPr>
        <w:t>APPENDIX 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Measures</w:t>
      </w:r>
    </w:p>
    <w:p>
      <w:pPr>
        <w:spacing w:after="0" w:line="187"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4"/>
          <w:szCs w:val="14"/>
          <w:color w:val="auto"/>
        </w:rPr>
        <w:t>Adjusted operating income, adjusted EPS, revenue on a constant currency basis, adjusted operating income on a constant currency basis, and adjusted EPS on a constant currency basis are non-GAAP financial measures that exclude certain items noted below. However, we believe investors should consider these measures as they are indicative of our ongoing performance and reflect how management evaluates our operational results and trends.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Net Income to Operating Income and Adjusted Operating Income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4"/>
        </w:trPr>
        <w:tc>
          <w:tcPr>
            <w:tcW w:w="44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27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Add: Income tax expense</w:t>
            </w: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120.9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Total other expense, net</w:t>
            </w:r>
          </w:p>
        </w:tc>
        <w:tc>
          <w:tcPr>
            <w:tcW w:w="2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62.8</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74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CCEEFF"/>
            </w:tcBorders>
            <w:gridSpan w:val="2"/>
          </w:tcPr>
          <w:p>
            <w:pPr>
              <w:jc w:val="right"/>
              <w:ind w:right="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operating income</w:t>
            </w:r>
          </w:p>
        </w:tc>
        <w:tc>
          <w:tcPr>
            <w:tcW w:w="27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460" w:type="dxa"/>
            <w:vAlign w:val="bottom"/>
            <w:tcBorders>
              <w:bottom w:val="single" w:sz="8" w:color="CCEEFF"/>
            </w:tcBorders>
          </w:tcPr>
          <w:p>
            <w:pPr>
              <w:spacing w:after="0" w:line="145" w:lineRule="exact"/>
              <w:rPr>
                <w:sz w:val="20"/>
                <w:szCs w:val="20"/>
                <w:color w:val="auto"/>
              </w:rPr>
            </w:pPr>
            <w:r>
              <w:rPr>
                <w:rFonts w:ascii="Times New Roman" w:cs="Times New Roman" w:eastAsia="Times New Roman" w:hAnsi="Times New Roman"/>
                <w:sz w:val="14"/>
                <w:szCs w:val="14"/>
                <w:color w:val="auto"/>
              </w:rPr>
              <w:t>Impact of foreign currency</w:t>
            </w:r>
          </w:p>
        </w:tc>
        <w:tc>
          <w:tcPr>
            <w:tcW w:w="274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(0.7)</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Constant currency adjusted operating income</w:t>
            </w:r>
          </w:p>
        </w:tc>
        <w:tc>
          <w:tcPr>
            <w:tcW w:w="27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revenue on a constant currency basis</w:t>
            </w:r>
          </w:p>
        </w:tc>
        <w:tc>
          <w:tcPr>
            <w:tcW w:w="2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46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gridSpan w:val="7"/>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Borders>
              <w:bottom w:val="single" w:sz="8" w:color="auto"/>
            </w:tcBorders>
            <w:gridSpan w:val="7"/>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2760" w:type="dxa"/>
            <w:vAlign w:val="bottom"/>
            <w:gridSpan w:val="2"/>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2760" w:type="dxa"/>
            <w:vAlign w:val="bottom"/>
            <w:tcBorders>
              <w:top w:val="single" w:sz="8" w:color="CCEEFF"/>
            </w:tcBorders>
            <w:gridSpan w:val="2"/>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3.688.0</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3,358.8</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4"/>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Estimated foreign currency impact</w:t>
            </w: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(29.4)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4"/>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 on a constant currency basis</w:t>
            </w:r>
          </w:p>
        </w:tc>
        <w:tc>
          <w:tcPr>
            <w:tcW w:w="27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740" w:type="dxa"/>
            <w:vAlign w:val="bottom"/>
            <w:vMerge w:val="restart"/>
          </w:tcPr>
          <w:p>
            <w:pPr>
              <w:jc w:val="right"/>
              <w:ind w:right="1408"/>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4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46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Reconciliation of Adjusted Earnings per Share (EPS)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(in millions, except share and per share data)</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4"/>
        </w:trPr>
        <w:tc>
          <w:tcPr>
            <w:tcW w:w="5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2023</w:t>
            </w: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income attributable to Euronet Worldwide, Inc.</w:t>
            </w:r>
          </w:p>
        </w:tc>
        <w:tc>
          <w:tcPr>
            <w:tcW w:w="2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1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exchange (gain) loss</w:t>
            </w: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(8.0)</w:t>
            </w: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28.2</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Acquired intangible asset amortization</w:t>
            </w:r>
          </w:p>
        </w:tc>
        <w:tc>
          <w:tcPr>
            <w:tcW w:w="2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24.4</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27.0</w:t>
            </w: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53.7</w:t>
            </w: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44.0</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gain</w:t>
            </w:r>
          </w:p>
        </w:tc>
        <w:tc>
          <w:tcPr>
            <w:tcW w:w="2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Non-cash purchase accounting expense adjustment</w:t>
            </w: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effect of above adjustments</w:t>
            </w:r>
          </w:p>
        </w:tc>
        <w:tc>
          <w:tcPr>
            <w:tcW w:w="2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12.7</w:t>
            </w: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Non-cash GAAP tax expense (benefit)</w:t>
            </w: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19.7</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earnings</w:t>
            </w:r>
          </w:p>
        </w:tc>
        <w:tc>
          <w:tcPr>
            <w:tcW w:w="21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Adjusted earnings per share - diluted</w:t>
            </w:r>
          </w:p>
        </w:tc>
        <w:tc>
          <w:tcPr>
            <w:tcW w:w="21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line="20" w:lineRule="exact"/>
              <w:rPr>
                <w:sz w:val="1"/>
                <w:szCs w:val="1"/>
                <w:color w:val="auto"/>
              </w:rPr>
            </w:pPr>
          </w:p>
        </w:tc>
      </w:tr>
      <w:tr>
        <w:trPr>
          <w:trHeight w:val="145"/>
        </w:trPr>
        <w:tc>
          <w:tcPr>
            <w:tcW w:w="508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300" w:type="dxa"/>
            <w:vAlign w:val="bottom"/>
          </w:tcPr>
          <w:p>
            <w:pPr>
              <w:jc w:val="right"/>
              <w:ind w:right="148"/>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7.46</w:t>
            </w:r>
          </w:p>
        </w:tc>
        <w:tc>
          <w:tcPr>
            <w:tcW w:w="160" w:type="dxa"/>
            <w:vAlign w:val="bottom"/>
            <w:vMerge w:val="continue"/>
          </w:tcPr>
          <w:p>
            <w:pPr>
              <w:spacing w:after="0"/>
              <w:rPr>
                <w:sz w:val="12"/>
                <w:szCs w:val="12"/>
                <w:color w:val="auto"/>
              </w:rPr>
            </w:pPr>
          </w:p>
        </w:tc>
        <w:tc>
          <w:tcPr>
            <w:tcW w:w="300" w:type="dxa"/>
            <w:vAlign w:val="bottom"/>
          </w:tcPr>
          <w:p>
            <w:pPr>
              <w:jc w:val="right"/>
              <w:ind w:right="148"/>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6.51</w:t>
            </w:r>
          </w:p>
        </w:tc>
        <w:tc>
          <w:tcPr>
            <w:tcW w:w="16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Estimated foreign currency impact</w:t>
            </w:r>
          </w:p>
        </w:tc>
        <w:tc>
          <w:tcPr>
            <w:tcW w:w="2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(0.01)</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Adjusted earnings per share - diluted - on a constant currency basis</w:t>
            </w:r>
          </w:p>
        </w:tc>
        <w:tc>
          <w:tcPr>
            <w:tcW w:w="2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508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Diluted weighted average shares outstanding (GAAP)</w:t>
            </w: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51,599,633</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53,463,308</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adjusted EPS dilution of convertible notes</w:t>
            </w:r>
          </w:p>
        </w:tc>
        <w:tc>
          <w:tcPr>
            <w:tcW w:w="2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(2,781,818)</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(2,781,818)</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Effect of unrecognized share-based compensation on diluted shares outstanding</w:t>
            </w: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230,000</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216,060</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diluted weighted average shares outstanding</w:t>
            </w:r>
          </w:p>
        </w:tc>
        <w:tc>
          <w:tcPr>
            <w:tcW w:w="21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49,047,815</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50,897,550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120" w:type="dxa"/>
            <w:vAlign w:val="bottom"/>
            <w:vMerge w:val="restart"/>
          </w:tcPr>
          <w:p>
            <w:pPr>
              <w:jc w:val="right"/>
              <w:ind w:right="1408"/>
              <w:spacing w:after="0"/>
              <w:rPr>
                <w:sz w:val="20"/>
                <w:szCs w:val="20"/>
                <w:color w:val="auto"/>
              </w:rPr>
            </w:pPr>
            <w:r>
              <w:rPr>
                <w:rFonts w:ascii="Times New Roman" w:cs="Times New Roman" w:eastAsia="Times New Roman" w:hAnsi="Times New Roman"/>
                <w:sz w:val="14"/>
                <w:szCs w:val="14"/>
                <w:color w:val="auto"/>
              </w:rPr>
              <w:t>67</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0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08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468" w:right="31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308610</wp:posOffset>
            </wp:positionV>
            <wp:extent cx="5143500" cy="66522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5143500" cy="665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59055</wp:posOffset>
            </wp:positionV>
            <wp:extent cx="718502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205740</wp:posOffset>
            </wp:positionV>
            <wp:extent cx="5486400" cy="70980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5486400" cy="709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66040</wp:posOffset>
            </wp:positionV>
            <wp:extent cx="7185025" cy="39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2"/>
      <w:numFmt w:val="bullet"/>
      <w:start w:val="1"/>
    </w:lvl>
  </w:abstractNum>
  <w:abstractNum w:abstractNumId="6">
    <w:nsid w:val="6763845E"/>
    <w:multiLevelType w:val="hybridMultilevel"/>
    <w:lvl w:ilvl="0">
      <w:lvlJc w:val="left"/>
      <w:lvlText w:val="3"/>
      <w:numFmt w:val="bullet"/>
      <w:start w:val="1"/>
    </w:lvl>
  </w:abstractNum>
  <w:abstractNum w:abstractNumId="7">
    <w:nsid w:val="75A2A8D4"/>
    <w:multiLevelType w:val="hybridMultilevel"/>
    <w:lvl w:ilvl="0">
      <w:lvlJc w:val="left"/>
      <w:lvlText w:val="☐"/>
      <w:numFmt w:val="bullet"/>
      <w:start w:val="1"/>
    </w:lvl>
    <w:lvl w:ilvl="1">
      <w:lvlJc w:val="left"/>
      <w:lvlText w:val="4"/>
      <w:numFmt w:val="bullet"/>
      <w:start w:val="1"/>
    </w:lvl>
  </w:abstractNum>
  <w:abstractNum w:abstractNumId="8">
    <w:nsid w:val="8EDBDAB"/>
    <w:multiLevelType w:val="hybridMultilevel"/>
    <w:lvl w:ilvl="0">
      <w:lvlJc w:val="left"/>
      <w:lvlText w:val="1"/>
      <w:numFmt w:val="bullet"/>
      <w:start w:val="1"/>
    </w:lvl>
  </w:abstractNum>
  <w:abstractNum w:abstractNumId="9">
    <w:nsid w:val="79838CB2"/>
    <w:multiLevelType w:val="hybridMultilevel"/>
    <w:lvl w:ilvl="0">
      <w:lvlJc w:val="left"/>
      <w:lvlText w:val="2"/>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lvl w:ilvl="1">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lvl w:ilvl="1">
      <w:lvlJc w:val="left"/>
      <w:lvlText w:val="(%2)"/>
      <w:numFmt w:val="decimal"/>
      <w:start w:val="1"/>
    </w:lvl>
  </w:abstractNum>
  <w:abstractNum w:abstractNumId="20">
    <w:nsid w:val="1E7FF521"/>
    <w:multiLevelType w:val="hybridMultilevel"/>
    <w:lvl w:ilvl="0">
      <w:lvlJc w:val="left"/>
      <w:lvlText w:val="(%1)"/>
      <w:numFmt w:val="decimal"/>
      <w:start w:val="4"/>
    </w:lvl>
    <w:lvl w:ilvl="1">
      <w:lvlJc w:val="left"/>
      <w:lvlText w:val="(%2)"/>
      <w:numFmt w:val="decimal"/>
      <w:start w:val="5"/>
    </w:lvl>
  </w:abstractNum>
  <w:abstractNum w:abstractNumId="21">
    <w:nsid w:val="7C3DBD3D"/>
    <w:multiLevelType w:val="hybridMultilevel"/>
    <w:lvl w:ilvl="0">
      <w:lvlJc w:val="left"/>
      <w:lvlText w:val="(%1)"/>
      <w:numFmt w:val="decimal"/>
      <w:start w:val="10"/>
    </w:lvl>
  </w:abstractNum>
  <w:abstractNum w:abstractNumId="22">
    <w:nsid w:val="737B8DDC"/>
    <w:multiLevelType w:val="hybridMultilevel"/>
    <w:lvl w:ilvl="0">
      <w:lvlJc w:val="left"/>
      <w:lvlText w:val="(%1)"/>
      <w:numFmt w:val="lowerRoman"/>
      <w:start w:val="6"/>
    </w:lvl>
  </w:abstractNum>
  <w:abstractNum w:abstractNumId="23">
    <w:nsid w:val="6CEAF087"/>
    <w:multiLevelType w:val="hybridMultilevel"/>
    <w:lvl w:ilvl="0">
      <w:lvlJc w:val="left"/>
      <w:lvlText w:val="&gt;"/>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lowerLetter"/>
      <w:start w:val="1"/>
    </w:lvl>
    <w:lvl w:ilvl="1">
      <w:lvlJc w:val="left"/>
      <w:lvlText w:val="%2."/>
      <w:numFmt w:val="decimal"/>
      <w:start w:val="4"/>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0"/>
    </w:lvl>
  </w:abstractNum>
  <w:abstractNum w:abstractNumId="30">
    <w:nsid w:val="440BADFC"/>
    <w:multiLevelType w:val="hybridMultilevel"/>
    <w:lvl w:ilvl="0">
      <w:lvlJc w:val="left"/>
      <w:lvlText w:val="%1."/>
      <w:numFmt w:val="decimal"/>
      <w:start w:val="12"/>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3"/>
    </w:lvl>
  </w:abstractNum>
  <w:abstractNum w:abstractNumId="37">
    <w:nsid w:val="5E884ADC"/>
    <w:multiLevelType w:val="hybridMultilevel"/>
    <w:lvl w:ilvl="0">
      <w:lvlJc w:val="left"/>
      <w:lvlText w:val="(%1)"/>
      <w:numFmt w:val="decimal"/>
      <w:start w:val="5"/>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2024-04-05T15:53:31Z</dcterms:created>
  <dcterms:modified xsi:type="dcterms:W3CDTF">2024-04-05T15:53:31Z</dcterms:modified>
</cp:coreProperties>
</file>