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ectPr>
          <w:pgSz w:w="11900" w:h="16838" w:orient="portrait"/>
          <w:cols w:equalWidth="0" w:num="1">
            <w:col w:w="11120"/>
          </w:cols>
          <w:pgMar w:left="240" w:top="927" w:right="53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(State or other jurisdiction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0"/>
          <w:szCs w:val="20"/>
          <w:color w:val="auto"/>
        </w:rPr>
      </w:pPr>
    </w:p>
    <w:p>
      <w:pPr>
        <w:sectPr>
          <w:pgSz w:w="11900" w:h="16838" w:orient="portrait"/>
          <w:cols w:equalWidth="0" w:num="2">
            <w:col w:w="7300" w:space="720"/>
            <w:col w:w="3100"/>
          </w:cols>
          <w:pgMar w:left="240" w:top="927" w:right="539" w:bottom="1440" w:gutter="0" w:footer="0" w:header="0"/>
          <w:type w:val="continuous"/>
        </w:sectPr>
      </w:pPr>
    </w:p>
    <w:p>
      <w:pPr>
        <w:spacing w:after="0" w:line="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4601 COLLEGE BOULEVARD, SUITE 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120"/>
          </w:cols>
          <w:pgMar w:left="240" w:top="927" w:right="539" w:bottom="1440" w:gutter="0" w:footer="0" w:header="0"/>
          <w:type w:val="continuous"/>
        </w:sectPr>
      </w:pPr>
    </w:p>
    <w:p>
      <w:pPr>
        <w:spacing w:after="0" w:line="126" w:lineRule="exact"/>
        <w:rPr>
          <w:sz w:val="20"/>
          <w:szCs w:val="20"/>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40"/>
        <w:spacing w:after="0" w:line="207" w:lineRule="exact"/>
        <w:tabs>
          <w:tab w:leader="none" w:pos="510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October 31, 2007 was 48,711,295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27"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392"/>
        </w:trPr>
        <w:tc>
          <w:tcPr>
            <w:tcW w:w="100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 MANAGEMENT’S DISCUSSION AND ANALYSIS OF FINANCIAL CONDITION AND RESULTS OF</w:t>
              </w:r>
            </w:hyperlink>
          </w:p>
        </w:tc>
        <w:tc>
          <w:tcPr>
            <w:tcW w:w="13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OPERATIONS</w:t>
              </w:r>
            </w:hyperlink>
          </w:p>
        </w:tc>
        <w:tc>
          <w:tcPr>
            <w:tcW w:w="7400" w:type="dxa"/>
            <w:vAlign w:val="bottom"/>
            <w:tcBorders>
              <w:top w:val="single" w:sz="8" w:color="0000EE"/>
            </w:tcBorders>
            <w:gridSpan w:val="9"/>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37</w:t>
            </w: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4. CONTROLS AND PROCEDURES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PART II—OTHER INFORMATION</w:t>
              </w:r>
            </w:hyperlink>
          </w:p>
        </w:tc>
        <w:tc>
          <w:tcPr>
            <w:tcW w:w="7380" w:type="dxa"/>
            <w:vAlign w:val="bottom"/>
            <w:gridSpan w:val="7"/>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w:t>
            </w:r>
          </w:p>
        </w:tc>
      </w:tr>
      <w:tr>
        <w:trPr>
          <w:trHeight w:val="196"/>
        </w:trPr>
        <w:tc>
          <w:tcPr>
            <w:tcW w:w="24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 LEGAL PROCEEDINGS</w:t>
              </w:r>
            </w:hyperlink>
          </w:p>
        </w:tc>
        <w:tc>
          <w:tcPr>
            <w:tcW w:w="7080" w:type="dxa"/>
            <w:vAlign w:val="bottom"/>
            <w:gridSpan w:val="6"/>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w:t>
            </w:r>
          </w:p>
        </w:tc>
      </w:tr>
      <w:tr>
        <w:trPr>
          <w:trHeight w:val="196"/>
        </w:trPr>
        <w:tc>
          <w:tcPr>
            <w:tcW w:w="24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ITEM 1A. RISK FACTORS</w:t>
              </w:r>
            </w:hyperlink>
          </w:p>
        </w:tc>
        <w:tc>
          <w:tcPr>
            <w:tcW w:w="7680" w:type="dxa"/>
            <w:vAlign w:val="bottom"/>
            <w:gridSpan w:val="8"/>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38</w:t>
            </w:r>
          </w:p>
        </w:tc>
      </w:tr>
      <w:tr>
        <w:trPr>
          <w:trHeight w:val="196"/>
        </w:trPr>
        <w:tc>
          <w:tcPr>
            <w:tcW w:w="240" w:type="dxa"/>
            <w:vAlign w:val="bottom"/>
          </w:tcPr>
          <w:p>
            <w:pPr>
              <w:spacing w:after="0"/>
              <w:rPr>
                <w:sz w:val="17"/>
                <w:szCs w:val="17"/>
                <w:color w:val="auto"/>
              </w:rPr>
            </w:pPr>
          </w:p>
        </w:tc>
        <w:tc>
          <w:tcPr>
            <w:tcW w:w="70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ITEM 2. UNREGISTERED SALES OF EQUITY SECURITES AND USE OF PROCEEDS</w:t>
              </w:r>
            </w:hyperlink>
          </w:p>
        </w:tc>
        <w:tc>
          <w:tcPr>
            <w:tcW w:w="2820" w:type="dxa"/>
            <w:vAlign w:val="bottom"/>
            <w:gridSpan w:val="3"/>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w:t>
            </w: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6. EXHIBITS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43</w:t>
            </w:r>
          </w:p>
        </w:tc>
      </w:tr>
      <w:tr>
        <w:trPr>
          <w:trHeight w:val="426"/>
        </w:trPr>
        <w:tc>
          <w:tcPr>
            <w:tcW w:w="240" w:type="dxa"/>
            <w:vAlign w:val="bottom"/>
          </w:tcPr>
          <w:p>
            <w:pPr>
              <w:spacing w:after="0"/>
              <w:rPr>
                <w:sz w:val="24"/>
                <w:szCs w:val="24"/>
                <w:color w:val="auto"/>
              </w:rPr>
            </w:pPr>
          </w:p>
        </w:tc>
        <w:tc>
          <w:tcPr>
            <w:tcW w:w="1540" w:type="dxa"/>
            <w:vAlign w:val="bottom"/>
            <w:tcBorders>
              <w:top w:val="single" w:sz="8" w:color="0000EE"/>
            </w:tcBorders>
            <w:gridSpan w:val="3"/>
          </w:tcPr>
          <w:p>
            <w:pPr>
              <w:spacing w:after="0"/>
              <w:rPr>
                <w:sz w:val="24"/>
                <w:szCs w:val="24"/>
                <w:color w:val="auto"/>
              </w:rPr>
            </w:pPr>
          </w:p>
        </w:tc>
        <w:tc>
          <w:tcPr>
            <w:tcW w:w="5460" w:type="dxa"/>
            <w:vAlign w:val="bottom"/>
            <w:gridSpan w:val="6"/>
          </w:tcPr>
          <w:p>
            <w:pPr>
              <w:jc w:val="right"/>
              <w:ind w:right="14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As of September</w:t>
            </w:r>
          </w:p>
        </w:tc>
        <w:tc>
          <w:tcPr>
            <w:tcW w:w="1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71"/>
              <w:spacing w:after="0" w:line="149" w:lineRule="exact"/>
              <w:rPr>
                <w:sz w:val="20"/>
                <w:szCs w:val="20"/>
                <w:color w:val="auto"/>
              </w:rPr>
            </w:pPr>
            <w:r>
              <w:rPr>
                <w:rFonts w:ascii="Arial" w:cs="Arial" w:eastAsia="Arial" w:hAnsi="Arial"/>
                <w:sz w:val="14"/>
                <w:szCs w:val="14"/>
                <w:b w:val="1"/>
                <w:bCs w:val="1"/>
                <w:color w:val="auto"/>
              </w:rPr>
              <w:t>30, 2007</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251,435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321,058</w:t>
            </w:r>
          </w:p>
        </w:tc>
        <w:tc>
          <w:tcPr>
            <w:tcW w:w="0" w:type="dxa"/>
            <w:vAlign w:val="bottom"/>
          </w:tcPr>
          <w:p>
            <w:pPr>
              <w:spacing w:after="0"/>
              <w:rPr>
                <w:sz w:val="1"/>
                <w:szCs w:val="1"/>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107,538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80,703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41,071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02"/>
        </w:trPr>
        <w:tc>
          <w:tcPr>
            <w:tcW w:w="8780" w:type="dxa"/>
            <w:vAlign w:val="bottom"/>
          </w:tcPr>
          <w:p>
            <w:pPr>
              <w:ind w:left="220"/>
              <w:spacing w:after="0" w:line="201" w:lineRule="exact"/>
              <w:rPr>
                <w:sz w:val="20"/>
                <w:szCs w:val="20"/>
                <w:color w:val="auto"/>
              </w:rPr>
            </w:pPr>
            <w:r>
              <w:rPr>
                <w:rFonts w:ascii="Arial" w:cs="Arial" w:eastAsia="Arial" w:hAnsi="Arial"/>
                <w:sz w:val="18"/>
                <w:szCs w:val="18"/>
                <w:color w:val="auto"/>
              </w:rPr>
              <w:t>Trade accounts receivable, net of allowances for doubtful accounts of $6,023 at September 30, 2007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420"/>
              <w:spacing w:after="0"/>
              <w:rPr>
                <w:sz w:val="20"/>
                <w:szCs w:val="20"/>
                <w:color w:val="auto"/>
              </w:rPr>
            </w:pPr>
            <w:r>
              <w:rPr>
                <w:rFonts w:ascii="Arial" w:cs="Arial" w:eastAsia="Arial" w:hAnsi="Arial"/>
                <w:sz w:val="18"/>
                <w:szCs w:val="18"/>
                <w:color w:val="auto"/>
              </w:rPr>
              <w:t>$2,137 at December 31, 2006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312,075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212,631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27,686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25,656</w:t>
            </w:r>
          </w:p>
        </w:tc>
        <w:tc>
          <w:tcPr>
            <w:tcW w:w="6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765,461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688,471</w:t>
            </w: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$116,359 at September 30, 2007 and $91,883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76,864</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55,174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756,173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297,134</w:t>
            </w: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w w:val="99"/>
              </w:rPr>
              <w:t>Acquired intangible assets, net of accumulated amortization of $39,316 at September 30, 2007 and $23,073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220"/>
              <w:spacing w:after="0"/>
              <w:rPr>
                <w:sz w:val="20"/>
                <w:szCs w:val="20"/>
                <w:color w:val="auto"/>
              </w:rPr>
            </w:pPr>
            <w:r>
              <w:rPr>
                <w:rFonts w:ascii="Arial" w:cs="Arial" w:eastAsia="Arial" w:hAnsi="Arial"/>
                <w:sz w:val="18"/>
                <w:szCs w:val="18"/>
                <w:color w:val="auto"/>
              </w:rPr>
              <w:t>December 31, 2006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162,043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50,649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19,718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w w:val="98"/>
              </w:rPr>
              <w:t>Other assets, net of accumulated amortization of $13,431 at September 30, 2007 and $10,542 at 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780" w:type="dxa"/>
            <w:vAlign w:val="bottom"/>
          </w:tcPr>
          <w:p>
            <w:pPr>
              <w:ind w:left="22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24,644</w:t>
            </w:r>
          </w:p>
        </w:tc>
        <w:tc>
          <w:tcPr>
            <w:tcW w:w="6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1,804,903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1,129,640</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274,163</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269,212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186,818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99,039</w:t>
            </w:r>
          </w:p>
        </w:tc>
        <w:tc>
          <w:tcPr>
            <w:tcW w:w="0" w:type="dxa"/>
            <w:vAlign w:val="bottom"/>
          </w:tcPr>
          <w:p>
            <w:pPr>
              <w:spacing w:after="0"/>
              <w:rPr>
                <w:sz w:val="1"/>
                <w:szCs w:val="1"/>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Current installments on capital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5,514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20,415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w:t>
            </w:r>
          </w:p>
        </w:tc>
        <w:tc>
          <w:tcPr>
            <w:tcW w:w="6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511,689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501,633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349,073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installments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12,260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75,825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44,094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1,113,217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820,847</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8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$0.02 par value. 90,000,000 shares authorized; 48,823,598 and 37,647,782 issued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420"/>
              <w:spacing w:after="0"/>
              <w:rPr>
                <w:sz w:val="20"/>
                <w:szCs w:val="20"/>
                <w:color w:val="auto"/>
              </w:rPr>
            </w:pPr>
            <w:r>
              <w:rPr>
                <w:rFonts w:ascii="Arial" w:cs="Arial" w:eastAsia="Arial" w:hAnsi="Arial"/>
                <w:sz w:val="18"/>
                <w:szCs w:val="18"/>
                <w:color w:val="auto"/>
              </w:rPr>
              <w:t>September 30, 2007 and December 31, 2006,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653,087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338,216</w:t>
            </w:r>
          </w:p>
        </w:tc>
        <w:tc>
          <w:tcPr>
            <w:tcW w:w="0" w:type="dxa"/>
            <w:vAlign w:val="bottom"/>
          </w:tcPr>
          <w:p>
            <w:pPr>
              <w:spacing w:after="0"/>
              <w:rPr>
                <w:sz w:val="1"/>
                <w:szCs w:val="1"/>
                <w:color w:val="auto"/>
              </w:rPr>
            </w:pPr>
          </w:p>
        </w:tc>
      </w:tr>
      <w:tr>
        <w:trPr>
          <w:trHeight w:val="202"/>
        </w:trPr>
        <w:tc>
          <w:tcPr>
            <w:tcW w:w="8780" w:type="dxa"/>
            <w:vAlign w:val="bottom"/>
          </w:tcPr>
          <w:p>
            <w:pPr>
              <w:ind w:left="220"/>
              <w:spacing w:after="0" w:line="201" w:lineRule="exact"/>
              <w:rPr>
                <w:sz w:val="20"/>
                <w:szCs w:val="20"/>
                <w:color w:val="auto"/>
              </w:rPr>
            </w:pPr>
            <w:r>
              <w:rPr>
                <w:rFonts w:ascii="Arial" w:cs="Arial" w:eastAsia="Arial" w:hAnsi="Arial"/>
                <w:sz w:val="18"/>
                <w:szCs w:val="18"/>
                <w:color w:val="auto"/>
              </w:rPr>
              <w:t>Treasury stock, at cost, 205,919 and 207,755 shares at September 30, 2007 and December 31, 2006,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(25,531)</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(59,409)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62,631</w:t>
            </w:r>
          </w:p>
        </w:tc>
        <w:tc>
          <w:tcPr>
            <w:tcW w:w="6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691,686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308,793</w:t>
            </w:r>
          </w:p>
        </w:tc>
        <w:tc>
          <w:tcPr>
            <w:tcW w:w="0" w:type="dxa"/>
            <w:vAlign w:val="bottom"/>
          </w:tcPr>
          <w:p>
            <w:pPr>
              <w:spacing w:after="0"/>
              <w:rPr>
                <w:sz w:val="1"/>
                <w:szCs w:val="1"/>
                <w:color w:val="auto"/>
              </w:rPr>
            </w:pP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1,804,903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1,129,640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4"/>
                <w:szCs w:val="14"/>
                <w:color w:val="auto"/>
              </w:rPr>
            </w:pPr>
          </w:p>
        </w:tc>
        <w:tc>
          <w:tcPr>
            <w:tcW w:w="2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EFT Processing Segment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48,113</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40,539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135,844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Processing Segment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414,442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Money Transfer Segment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53,573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103,581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246,317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653,867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462,426</w:t>
            </w:r>
          </w:p>
        </w:tc>
        <w:tc>
          <w:tcPr>
            <w:tcW w:w="0" w:type="dxa"/>
            <w:vAlign w:val="bottom"/>
          </w:tcPr>
          <w:p>
            <w:pPr>
              <w:spacing w:after="0"/>
              <w:rPr>
                <w:sz w:val="1"/>
                <w:szCs w:val="1"/>
                <w:color w:val="auto"/>
              </w:rPr>
            </w:pPr>
          </w:p>
        </w:tc>
      </w:tr>
      <w:tr>
        <w:trPr>
          <w:trHeight w:val="439"/>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165,079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112,488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446,154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32,437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18,676</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82,155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45,104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13,478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34,333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227,883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148,647</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607,746</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18,434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46,121</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4,053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(18,837)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Income from unconsolidated affiliates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early retirement of debt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Foreign currency exchange gain,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8,561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10,302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w w:val="99"/>
              </w:rPr>
              <w:t>Income from continuing operations before income taxes and</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600"/>
              <w:spacing w:after="0"/>
              <w:rPr>
                <w:sz w:val="20"/>
                <w:szCs w:val="20"/>
                <w:color w:val="auto"/>
              </w:rPr>
            </w:pPr>
            <w:r>
              <w:rPr>
                <w:rFonts w:ascii="Arial" w:cs="Arial" w:eastAsia="Arial" w:hAnsi="Arial"/>
                <w:sz w:val="18"/>
                <w:szCs w:val="18"/>
                <w:color w:val="auto"/>
              </w:rPr>
              <w:t>minority interest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23,154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14,173</w:t>
            </w:r>
          </w:p>
        </w:tc>
        <w:tc>
          <w:tcPr>
            <w:tcW w:w="10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50,536</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15,921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33,534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15,921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33,878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22,395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interest rate swaps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Comprehensive income</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67,686</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weighted average shares outstanding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48,523,643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37,230,518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44,222,453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36,938,652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Diluted weighted average shares outstanding</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54,439,296</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42,525,511</w:t>
            </w: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49,905,599</w:t>
            </w: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42,463,401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760" w:type="dxa"/>
            <w:vAlign w:val="bottom"/>
            <w:gridSpan w:val="9"/>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60" w:type="dxa"/>
            <w:vAlign w:val="bottom"/>
            <w:gridSpan w:val="3"/>
          </w:tcPr>
          <w:p>
            <w:pPr>
              <w:jc w:val="right"/>
              <w:ind w:right="69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260" w:type="dxa"/>
            <w:vAlign w:val="bottom"/>
            <w:gridSpan w:val="6"/>
          </w:tcPr>
          <w:p>
            <w:pPr>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33,878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34,333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Loss (gain) on disposal of property and equipment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discontinued operations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assigned to minority interest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obligations issuance expense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17,198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12,177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(33,931)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28,529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12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59,307</w:t>
            </w:r>
          </w:p>
        </w:tc>
        <w:tc>
          <w:tcPr>
            <w:tcW w:w="7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90"/>
              </w:rPr>
              <w:t>(352,573)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escrow</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(21,781)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12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90"/>
              </w:rPr>
              <w:t>(403,051)</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(20,272)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165,389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short-term debt obligations and revolving credit agreements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639,119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Payments on short-term debt obligations and revolving credit agreements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90"/>
              </w:rPr>
              <w:t>(687,515)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190,000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received from minority interest stockholders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12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269,294</w:t>
            </w:r>
          </w:p>
        </w:tc>
        <w:tc>
          <w:tcPr>
            <w:tcW w:w="7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12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(69,623)</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321,058</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251,435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255,366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tcPr>
          <w:p>
            <w:pPr>
              <w:spacing w:after="0"/>
              <w:rPr>
                <w:sz w:val="20"/>
                <w:szCs w:val="20"/>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81"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Euronet Worldwide, Inc. and its subsidiaries (the “Company” or “Euronet”) is an industry leader in processing secure electronic financial transactions. Euronet’s Prepaid Processing Segment is one of the world’s largest providers of “top-up” services for prepaid products, primarily prepaid mobile airtime. The EFT Processing Segment provides end-to-end solutions relating to operations of automated teller machine (“ATM”) and Point of Sale (“POS”) networks, and debit and credit card processing in Europe, the Middle East and Asia. The Money Transfer Segment, comprised primarily of the Company’s subsidiary, RIA Envia, Inc. (“RIA”), and its operating subsidiaries, is the third-largest global money transfer company based upon revenues and volumes and provides services through a sending network of agents and Company-owned stores in the U.S., the Caribbean, Europe and Asia, disbursing money transfers through a worldwide payer network.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September 30, 2007, the results of its operations for the three- and nine-month periods ended September 30, 2007 and 2006 and cash flows for the nine-month periods ended September 30, 2007 and 2006.</w:t>
      </w:r>
    </w:p>
    <w:p>
      <w:pPr>
        <w:spacing w:after="0" w:line="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unaudited consolidated financial statements should be read in conjunction with the audited consolidated financial statements of Euronet for the year ended December 31, 2006, including the notes thereto, set forth in the Company’s Annual Report on Form 10-K.</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 and nine-month periods ended September 30, 2007 are not necessarily indicative of the results to be expected for the full year ending December 31, 2007. Certain amounts in prior years have been reclassified to conform to current period presentation.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translation adjustment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2007 the Company corrected an immaterial error related to foreign currency translation adjustments for goodwill and acquired intangible assets recorded in connection with acquisitions completed in periods prior to December 31, 2006. The impact of this adjustment increased goodwill by $18.4 million, acquired intangible assets by $3.1 million, deferred income tax liabilities by $1.0 million and accumulated other comprehensive income by $21.4 million as of December 31, 2006. Additionally, the adjustment increased intangible amortization expense by $0.1 million and $0.3 million for the three-and nine-month periods ended September 30, 2006, respectively, and increased comprehensive income by $3.0 million and $10.1 million for the three- and nine-month periods ended September 30, 2006, respectively. This correction did not impact the Company’s cash flows from operating, financing or investing activities.</w:t>
      </w:r>
    </w:p>
    <w:p>
      <w:pPr>
        <w:spacing w:after="0" w:line="185" w:lineRule="exact"/>
        <w:rPr>
          <w:sz w:val="20"/>
          <w:szCs w:val="20"/>
          <w:color w:val="auto"/>
        </w:rPr>
      </w:pPr>
    </w:p>
    <w:p>
      <w:pPr>
        <w:ind w:right="492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Money transfer settlement obligations</w:t>
      </w:r>
    </w:p>
    <w:p>
      <w:pPr>
        <w:jc w:val="both"/>
        <w:ind w:right="10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 and consist of amounts owed by Euronet to money transfer recipients. As of September 30, 2007, the Company’s money transfer settlement obligations were $43.0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accounts for derivative instruments and hedging activities in accordance with Financial Accounting Standards Board (“FASB”) Statement of Financial Accounting Standards (“SFAS”) No. 133, “Accounting for Derivative Instruments and Hedging Activities,” as amended (“SFAS No. 133”), which requires that all derivative instruments be recognized as either assets or liabilities on the balance sheet at fair value. During the second quarter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as a component of other comprehensive income and then recognized as an adjustment to interest expense over the term of the hedging instrument.</w:t>
      </w:r>
    </w:p>
    <w:p>
      <w:pPr>
        <w:spacing w:after="0" w:line="5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Money Transfer Segment, the Company enters into foreign currency forward contracts to offset foreign currency exposure related to the notional value of money transfer transactions collected in currencies other than the U.S. dollar. These forward contracts are considered derivative instruments under the provisions of SFAS No. 133, however, the Company does not designate such instruments as hedges. Accordingly, changes in the value of these contracts are recognized immediately as a component of foreign currency exchange gain, net in the unaudited consolidated statement of income and comprehensive income. The impact of changes in value of these forward contracts, together with the impact of the change in value of the related foreign currency denominated receivable, on the Company’s unaudited consolidated statement of income and comprehensive income is not significant.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7" w:name="page8"/>
    <w:bookmarkEnd w:id="7"/>
    <w:p>
      <w:pPr>
        <w:ind w:right="100"/>
        <w:spacing w:after="0" w:line="312" w:lineRule="auto"/>
        <w:rPr>
          <w:sz w:val="20"/>
          <w:szCs w:val="20"/>
          <w:color w:val="auto"/>
        </w:rPr>
      </w:pPr>
      <w:r>
        <w:rPr>
          <w:rFonts w:ascii="Arial" w:cs="Arial" w:eastAsia="Arial" w:hAnsi="Arial"/>
          <w:sz w:val="16"/>
          <w:szCs w:val="16"/>
          <w:color w:val="auto"/>
        </w:rPr>
        <w:t>Cash flows resulting from derivative instruments are classified as cash flows from operating activities in the Company’s unaudited consolidated statement of cash flows. The Company enters into derivative instruments with highly credit-worthy financial institutions and does not use derivative instruments for trading or speculative purposes. See Note 9, Derivative Instruments and Hedging Activities, for further discussion of derivative instruments.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taxes collected and remitted to governmental authorities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2006, the Emerging Issues Task Force (“EITF”) issued EITF 06-3, “How Taxes Collected and Remitted to Governmental Authorities Should Be Presented in the Income Statement (That Is, Gross versus Net Presentation).” The Company presents taxes collected and remitted to governmental authorities on a net basis in the accompanying consolidated statements of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January 1, 2007, the Company adopted the provisions of FASB Interpretation No. 48, “Accounting for Uncertainty in Income Taxes” (“FIN 48”), an interpretation of SFAS No. 109, “Accounting for Income Taxes.” FIN 48 seeks to reduce the diversity in practice associated with certain aspects of the measurement and recognition related to accounting for income taxes.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policy is to record estimated interest and penalties related to the underpayment of income taxes as income tax expense in the consolidated statements of income. See Note 14, Income Taxes, for further discussion regarding the adoption of FIN 48.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No. 159”). SFAS No. 159 expands the use of fair value accounting but does not affect existing standards which require assets or liabilities to be carried at fair value. Under SFAS No.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No. 159, changes in fair value are recognized in earnings. SFAS No. 159 is effective for Euronet beginning in the first quarter 2008. Euronet is currently determining whether fair value accounting is appropriate for any of its eligible items and cannot estimate the impact, if any, which SFAS No. 159 will have on its consolidated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The following table provides a reconciliation of net income to earnings available to common stockholders and the computation of diluted weighted average number of common shares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5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Reconciliation of net income to earnings available to earnings</w:t>
            </w: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to common stockholders: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15,921</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10,331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33,878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Add: interest expense of 1.625% convertible debentures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Earnings available to common stockholders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16,757</w:t>
            </w:r>
          </w:p>
        </w:tc>
        <w:tc>
          <w:tcPr>
            <w:tcW w:w="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11,128</w:t>
            </w:r>
          </w:p>
        </w:tc>
        <w:tc>
          <w:tcPr>
            <w:tcW w:w="1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36,248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4"/>
              </w:rPr>
              <w:t>Computation of diluted weighted average shares outstanding: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48,523,643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w w:val="90"/>
              </w:rPr>
              <w:t>37,230,518</w:t>
            </w: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44,222,453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36,938,652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Additional shares from assumed conversion of 1.625%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debentures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4,163,488</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4,163,488</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4,163,488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4,163,488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200"/>
              <w:spacing w:after="0" w:line="201" w:lineRule="exact"/>
              <w:rPr>
                <w:sz w:val="20"/>
                <w:szCs w:val="20"/>
                <w:color w:val="auto"/>
              </w:rPr>
            </w:pPr>
            <w:r>
              <w:rPr>
                <w:rFonts w:ascii="Arial" w:cs="Arial" w:eastAsia="Arial" w:hAnsi="Arial"/>
                <w:sz w:val="18"/>
                <w:szCs w:val="18"/>
                <w:color w:val="auto"/>
              </w:rPr>
              <w:t>Weighted average shares issuable in connection with</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acquisition obligations (See Note 4 - Acquisitions)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714,644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467,672</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48,685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Incremental shares from assumed conversion of stock options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restricted stock</w:t>
            </w:r>
          </w:p>
        </w:tc>
        <w:tc>
          <w:tcPr>
            <w:tcW w:w="4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1,037,521</w:t>
            </w:r>
          </w:p>
        </w:tc>
        <w:tc>
          <w:tcPr>
            <w:tcW w:w="7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1,131,505</w:t>
            </w:r>
          </w:p>
        </w:tc>
        <w:tc>
          <w:tcPr>
            <w:tcW w:w="10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1,051,986</w:t>
            </w:r>
          </w:p>
        </w:tc>
        <w:tc>
          <w:tcPr>
            <w:tcW w:w="7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1,312,576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54,439,296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w w:val="90"/>
              </w:rPr>
              <w:t>42,525,511</w:t>
            </w:r>
          </w:p>
        </w:tc>
        <w:tc>
          <w:tcPr>
            <w:tcW w:w="100" w:type="dxa"/>
            <w:vAlign w:val="bottom"/>
          </w:tcPr>
          <w:p>
            <w:pPr>
              <w:spacing w:after="0"/>
              <w:rPr>
                <w:sz w:val="24"/>
                <w:szCs w:val="2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49,905,599</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42,463,401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table includes all stock options and restricted stock that are dilutive to Euronet’s weighted average common shares outstanding during the period. For both the three- and nine-month periods ended September 30, 2007, the table does not include 567,093 stock options or shares of restricted stock that are anti-dilutive to the Company’s weighted average common shares outstanding. For the three-month period ended September 30, 2006, the table does not include 592,400 stock options or shares of restricted stock that are anti-dilutive to the Company’s weighted average common shares outstanding. For the nine-month period ended September 30, 2006, the table does not include 55,000 stock options or shares of restricted stock that are anti-dilutive to the Company’s weighted average common shares outstanding.</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only upon the occurrence of certain conditions. As required by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three- and nine-month periods ended September 30, 2007 and 2006. Under the if-converted method, the assumed conversion of the 3.50% convertible debentures was anti-dilutive for the three- and nine-month periods ended September 30, 2007 and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Any excess purchase price over those fair values is recorded as goodwill. The fair value assigned to intangible assets acquired is supported by valuations using estimates and assumptions provided by management. For certain acquisitions, management engages an appraiser to assist in the valuation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RIA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April 2007, the Company completed the acquisition of the common stock of RIA, which expanded the Company’s money transfer operations in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internationally. The purchase price of $504.3 million was comprised of $358.3 million in cash, 4,053,606 shares of Euronet Common Stock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$108.9 million, 3,685,098 contingent value rights (“CVRs”) and stock appreciation rights (“SARs”) valued at a total of $32.1 million and transaction costs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$5.0 million. The Company financed the cash portion of the purchase price through a combination of cash on hand and $190 million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debt obligations. The following table summarizes the allocation of the purchase price to the fair values of the acquired tangible and intangible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at the acquisition date, which remains preliminary while management completes its valuation of the fair value of the net assets acquired.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2"/>
              </w:rPr>
              <w:t>Estimated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4"/>
                <w:szCs w:val="14"/>
                <w:b w:val="1"/>
                <w:bCs w:val="1"/>
                <w:color w:val="auto"/>
                <w:w w:val="96"/>
              </w:rPr>
              <w:t>Life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78,220</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various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10,854</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9"/>
              </w:rPr>
              <w:t>3 - 8 years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73,280</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6"/>
              </w:rPr>
              <w:t>20 years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36,760</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8"/>
              </w:rPr>
              <w:t>5 years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tcPr>
          <w:p>
            <w:pPr>
              <w:spacing w:after="0"/>
              <w:rPr>
                <w:sz w:val="18"/>
                <w:szCs w:val="18"/>
                <w:color w:val="auto"/>
              </w:rPr>
            </w:pPr>
          </w:p>
        </w:tc>
        <w:tc>
          <w:tcPr>
            <w:tcW w:w="1480" w:type="dxa"/>
            <w:vAlign w:val="bottom"/>
            <w:gridSpan w:val="3"/>
          </w:tcPr>
          <w:p>
            <w:pPr>
              <w:jc w:val="center"/>
              <w:ind w:right="590"/>
              <w:spacing w:after="0"/>
              <w:rPr>
                <w:sz w:val="20"/>
                <w:szCs w:val="20"/>
                <w:color w:val="auto"/>
              </w:rPr>
            </w:pPr>
            <w:r>
              <w:rPr>
                <w:rFonts w:ascii="Arial" w:cs="Arial" w:eastAsia="Arial" w:hAnsi="Arial"/>
                <w:sz w:val="18"/>
                <w:szCs w:val="18"/>
                <w:color w:val="auto"/>
                <w:w w:val="88"/>
              </w:rPr>
              <w:t>3 years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9"/>
                <w:szCs w:val="19"/>
                <w:color w:val="auto"/>
              </w:rPr>
            </w:pPr>
          </w:p>
        </w:tc>
        <w:tc>
          <w:tcPr>
            <w:tcW w:w="1360" w:type="dxa"/>
            <w:vAlign w:val="bottom"/>
            <w:gridSpan w:val="2"/>
          </w:tcPr>
          <w:p>
            <w:pPr>
              <w:jc w:val="center"/>
              <w:ind w:right="450"/>
              <w:spacing w:after="0"/>
              <w:rPr>
                <w:sz w:val="20"/>
                <w:szCs w:val="20"/>
                <w:color w:val="auto"/>
              </w:rPr>
            </w:pPr>
            <w:r>
              <w:rPr>
                <w:rFonts w:ascii="Arial" w:cs="Arial" w:eastAsia="Arial" w:hAnsi="Arial"/>
                <w:sz w:val="18"/>
                <w:szCs w:val="18"/>
                <w:color w:val="auto"/>
                <w:w w:val="95"/>
              </w:rPr>
              <w:t>Indefinite</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403,523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605,913</w:t>
            </w: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(85,190)</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w:t>
            </w: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(14,852)</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920" w:type="dxa"/>
            <w:vAlign w:val="bottom"/>
            <w:gridSpan w:val="3"/>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504,297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terms of the Stock Purchase Agreement in the RIA acquisition (as amended, the “Stock Purchase Agreement”), $35.0 million in cash and 276,382 shares of Euronet Common Stock valued at $7.4 million are being held in escrow to secure certain obligations of the sellers under the Stock Purchase Agreement. These amounts have been reflected in the purchase price because the Company has determined beyond a reasonable doubt that the obligations will be met. The 3,685,098 CVRs mature on October 1, 2008 and will result in the issuance of up to $20 million of additional shares of Euronet Common Stock or payment of additional cash, at the Company’s option, if the price of Euronet Common Stock is less than $32.56 on the maturity date. The 3,685,098 SARs entitle the sellers to acquire additional shares of Euronet Common Stock at an exercise price of $27.14 at any time through October 1, 2008. Combined, the CVRs and SARs entitle the sellers to additional consideration of at least $20 million in Euronet Common Stock or cash. Management has initially estimated the total fair value of the CVRs and SARs at approximately $32.1 million using a Black Scholes pricing model. These and other terms and conditions applicable to the CVRs and SARs are set forth in the agreements governing these instruments.</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in April 2007, the Company combined its previous money transfer business with RIA and incurred total exit costs of approximately $0.9 million during the second quarter 2007. These costs were recorded as operating expenses and represent the accelerated depreciation and amortization of property and equipment, software and leasehold improvements that were disposed of during the second quarter 2007; the write off of marketing materials and trademarks that have been discontinued or will not be used; the write off of accounts receivable from agents that did not meet RIA’s credit requirements; and severance and retention payments made to certain employees. Additional costs incurred in association with exiting the Company’s previous money transfer business, if any, are not expected to be significant.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During the nine-months ended September 30, 2007, the Company completed three other acquisitions described below for an aggregate purchase price of $26.5 million, comprised of $18.1 million in cash, 275,429 shares of Euronet Common Stock valued at $7.6 million and notes payable of $0.8 million. In connection with one of these acquisitions, the Company agreed to certain contingent consideration arrangements based on the value of Euronet Common Stock and the achievement of certain performance criteria. Upon the achievement of certain performance criteria, during 2009 and 2010, the Company may have to pay a total of $2.5 million in cash or 75,489 shares of Euronet Common Stock, at the option of the seller.</w:t>
      </w:r>
    </w:p>
    <w:p>
      <w:pPr>
        <w:spacing w:after="0" w:line="64" w:lineRule="exact"/>
        <w:rPr>
          <w:sz w:val="20"/>
          <w:szCs w:val="20"/>
          <w:color w:val="auto"/>
        </w:rPr>
      </w:pPr>
    </w:p>
    <w:p>
      <w:pPr>
        <w:ind w:left="660" w:right="140" w:hanging="436"/>
        <w:spacing w:after="0" w:line="286"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During January 2007, EFT Services Holding BV and Euronet Adminisztracios Kft, both wholly-owned subsidiaries of Euronet, completed the acquisition of a total of 100% of the share capital of Brodos SRL in Romania (“Brodos Romania”). Brodos Romania is a leading electronic prepaid mobile airtime processor that expanded the Company’s Prepaid Processing Segment business to Romania.</w:t>
      </w:r>
    </w:p>
    <w:p>
      <w:pPr>
        <w:spacing w:after="0" w:line="70" w:lineRule="exact"/>
        <w:rPr>
          <w:rFonts w:ascii="Arial" w:cs="Arial" w:eastAsia="Arial" w:hAnsi="Arial"/>
          <w:sz w:val="17"/>
          <w:szCs w:val="17"/>
          <w:b w:val="1"/>
          <w:bCs w:val="1"/>
          <w:color w:val="auto"/>
        </w:rPr>
      </w:pPr>
    </w:p>
    <w:p>
      <w:pPr>
        <w:jc w:val="both"/>
        <w:ind w:left="660" w:right="52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February 2007, e-pay Holdings Limited, a wholly-owned subsidiary of Euronet, completed the acquisition of all of the share capital of Omega Logic, Ltd. (“Omega Logic”). Omega Logic is a prepaid top-up company based, and primarily operating, in the U.K. This acquisition enhanced our Prepaid Processing Segment business in the U.K.</w:t>
      </w:r>
    </w:p>
    <w:p>
      <w:pPr>
        <w:spacing w:after="0" w:line="86" w:lineRule="exact"/>
        <w:rPr>
          <w:rFonts w:ascii="Arial" w:cs="Arial" w:eastAsia="Arial" w:hAnsi="Arial"/>
          <w:sz w:val="18"/>
          <w:szCs w:val="18"/>
          <w:b w:val="1"/>
          <w:bCs w:val="1"/>
          <w:color w:val="auto"/>
        </w:rPr>
      </w:pPr>
    </w:p>
    <w:p>
      <w:pPr>
        <w:jc w:val="both"/>
        <w:ind w:left="660" w:right="8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April 2007, PaySpot, Inc. (a wholly-owned subsidiary of Euronet) acquired customer relationships from Synergy Telecom, Inc. (“Synergy”) and Synergy agreed not to compete with PaySpot in the prepaid mobile phone top-up business in the U.S. for a period of five years. This acquisition enhances the Company’s Prepaid Processing Segment business in the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0" w:name="page11"/>
    <w:bookmarkEnd w:id="10"/>
    <w:p>
      <w:pPr>
        <w:ind w:right="800"/>
        <w:spacing w:after="0" w:line="264" w:lineRule="auto"/>
        <w:rPr>
          <w:sz w:val="20"/>
          <w:szCs w:val="20"/>
          <w:color w:val="auto"/>
        </w:rPr>
      </w:pPr>
      <w:r>
        <w:rPr>
          <w:rFonts w:ascii="Arial" w:cs="Arial" w:eastAsia="Arial" w:hAnsi="Arial"/>
          <w:sz w:val="18"/>
          <w:szCs w:val="18"/>
          <w:color w:val="auto"/>
        </w:rPr>
        <w:t>As of September 30, 2007, 75,743 shares of Euronet Common Stock issued in connection with these acquisitions remains in escrow subject to the achievement of certain performance criteria. These shares have been reflected in the purchase price because the Company has determined beyond a reasonable doubt that the performance criteria will be met.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acquire La Nacional</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January 2007, the Company signed a stock purchase agreement to acquire Envios de Valores La Nacional Corp. and its U.S. based affiliates (“La Nacional”), a money transfer company originating transactions through a network of sending agents and company-owned stores. See Note 12, Commitments, Litigation and Contingencies, for further disclosure regarding the agreement to acquire La Nacional.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January 2006, the Company completed the acquisition of the assets of Essentis Limited (“Essentis”) for approximately $2.9 million, which was comprised of $0.9 million in cash and approximately $2.0 million in assumed liabilities. Essentis is a U.K. company that owns and develops software packages that enhance Euronet’s outsourcing and software offerings to banks. Essentis is reported with our software business in the Company’s EFT Processing Segment. There are no potential additional purchase price or escrow arrangements associated with the acquisition of Essentis.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and Condensed Statements of Net Income:</w:t>
      </w:r>
    </w:p>
    <w:p>
      <w:pPr>
        <w:spacing w:after="0" w:line="1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following unaudited pro forma financial information presents the condensed combined results of operations of Euronet for the three-months ended September 30, 2006 and nine-months ended September 30, 2007 and 2006, as if the acquisition of RIA described above had occurred January 1, 2006. Adjustments were made to reflect the impact of events that are a direct result of the acquisition and are expected to have a continuing impact on the Company’s combined results of operations, including amortization of purchased intangible assets that would have been recorded if the acquisition had occurred at the beginning of the periods presented. The pro forma financial information is not intended to represent, or be indicative of, the consolidated results of operations or financial condition of Euronet that would have been reported had the acquisitions been completed as of the beginning of the periods presented. Moreover, the pro forma financial information should not be considered as representative of the future consolidated results of operations or financial condition of Euronet.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4"/>
                <w:szCs w:val="14"/>
                <w:b w:val="1"/>
                <w:bCs w:val="1"/>
                <w:color w:val="auto"/>
              </w:rPr>
              <w:t>Pro Forma</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6260" w:type="dxa"/>
            <w:vAlign w:val="bottom"/>
            <w:gridSpan w:val="3"/>
          </w:tcPr>
          <w:p>
            <w:pPr>
              <w:spacing w:after="0" w:line="142" w:lineRule="exact"/>
              <w:rPr>
                <w:sz w:val="20"/>
                <w:szCs w:val="20"/>
                <w:color w:val="auto"/>
              </w:rPr>
            </w:pPr>
            <w:r>
              <w:rPr>
                <w:rFonts w:ascii="Arial" w:cs="Arial" w:eastAsia="Arial" w:hAnsi="Arial"/>
                <w:sz w:val="14"/>
                <w:szCs w:val="14"/>
                <w:color w:val="auto"/>
              </w:rPr>
              <w:t>(in thousands, except per share data)</w:t>
            </w:r>
          </w:p>
        </w:tc>
        <w:tc>
          <w:tcPr>
            <w:tcW w:w="206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3"/>
              </w:rPr>
              <w:t>September 30, 2006</w:t>
            </w:r>
          </w:p>
        </w:tc>
        <w:tc>
          <w:tcPr>
            <w:tcW w:w="340" w:type="dxa"/>
            <w:vAlign w:val="bottom"/>
          </w:tcPr>
          <w:p>
            <w:pPr>
              <w:spacing w:after="0"/>
              <w:rPr>
                <w:sz w:val="12"/>
                <w:szCs w:val="12"/>
                <w:color w:val="auto"/>
              </w:rPr>
            </w:pPr>
          </w:p>
        </w:tc>
        <w:tc>
          <w:tcPr>
            <w:tcW w:w="920" w:type="dxa"/>
            <w:vAlign w:val="bottom"/>
          </w:tcPr>
          <w:p>
            <w:pPr>
              <w:jc w:val="right"/>
              <w:ind w:right="395"/>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ind w:right="413"/>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6"/>
              </w:rPr>
              <w:t>207,961</w:t>
            </w:r>
          </w:p>
        </w:tc>
        <w:tc>
          <w:tcPr>
            <w:tcW w:w="4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86"/>
              </w:rPr>
              <w:t>700,056</w:t>
            </w: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86"/>
              </w:rPr>
              <w:t>595,033</w:t>
            </w: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15,771</w:t>
            </w: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5"/>
              <w:spacing w:after="0"/>
              <w:rPr>
                <w:sz w:val="20"/>
                <w:szCs w:val="20"/>
                <w:color w:val="auto"/>
              </w:rPr>
            </w:pPr>
            <w:r>
              <w:rPr>
                <w:rFonts w:ascii="Arial" w:cs="Arial" w:eastAsia="Arial" w:hAnsi="Arial"/>
                <w:sz w:val="18"/>
                <w:szCs w:val="18"/>
                <w:color w:val="auto"/>
              </w:rPr>
              <w:t>47,156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42,766</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6,578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26,703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17,004</w:t>
            </w:r>
          </w:p>
        </w:tc>
      </w:tr>
      <w:tr>
        <w:trPr>
          <w:trHeight w:val="432"/>
        </w:trPr>
        <w:tc>
          <w:tcPr>
            <w:tcW w:w="6260" w:type="dxa"/>
            <w:vAlign w:val="bottom"/>
            <w:gridSpan w:val="3"/>
          </w:tcPr>
          <w:p>
            <w:pPr>
              <w:spacing w:after="0"/>
              <w:rPr>
                <w:sz w:val="20"/>
                <w:szCs w:val="20"/>
                <w:color w:val="auto"/>
              </w:rPr>
            </w:pPr>
            <w:r>
              <w:rPr>
                <w:rFonts w:ascii="Arial" w:cs="Arial" w:eastAsia="Arial" w:hAnsi="Arial"/>
                <w:sz w:val="18"/>
                <w:szCs w:val="18"/>
                <w:color w:val="auto"/>
              </w:rPr>
              <w:t>Per share data:</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per share-basic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0.16</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0.59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0.41</w:t>
            </w:r>
          </w:p>
        </w:tc>
      </w:tr>
      <w:tr>
        <w:trPr>
          <w:trHeight w:val="230"/>
        </w:trPr>
        <w:tc>
          <w:tcPr>
            <w:tcW w:w="20" w:type="dxa"/>
            <w:vAlign w:val="bottom"/>
          </w:tcPr>
          <w:p>
            <w:pPr>
              <w:spacing w:after="0"/>
              <w:rPr>
                <w:sz w:val="20"/>
                <w:szCs w:val="20"/>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Net income per share-diluted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0.15</w:t>
            </w:r>
          </w:p>
        </w:tc>
        <w:tc>
          <w:tcPr>
            <w:tcW w:w="4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5"/>
              <w:spacing w:after="0"/>
              <w:rPr>
                <w:sz w:val="20"/>
                <w:szCs w:val="20"/>
                <w:color w:val="auto"/>
              </w:rPr>
            </w:pPr>
            <w:r>
              <w:rPr>
                <w:rFonts w:ascii="Arial" w:cs="Arial" w:eastAsia="Arial" w:hAnsi="Arial"/>
                <w:sz w:val="18"/>
                <w:szCs w:val="18"/>
                <w:color w:val="auto"/>
              </w:rPr>
              <w:t>0.56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0.39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components of property and equipment, net of accumulated depreciation and amortization, as of September 30, 2007 and December 31, 2006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5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ATMs</w:t>
            </w:r>
          </w:p>
        </w:tc>
        <w:tc>
          <w:tcPr>
            <w:tcW w:w="3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87,797</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POS terminals</w:t>
            </w: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29,688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office equipment</w:t>
            </w:r>
          </w:p>
        </w:tc>
        <w:tc>
          <w:tcPr>
            <w:tcW w:w="3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23,664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3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193,223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(116,359)</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36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76,864</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800" w:type="dxa"/>
            <w:vAlign w:val="bottom"/>
            <w:vMerge w:val="restart"/>
          </w:tcPr>
          <w:p>
            <w:pPr>
              <w:jc w:val="right"/>
              <w:ind w:right="247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goodwill activity for the nine-month period ended September 30, 2007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2006 (Adjusted — See Note 1)</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$ 297,134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$ 347,783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RIA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111,920</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403,523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Other 2007 acquisitions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8,366</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21,553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2006 acquisition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(116)</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w w:val="98"/>
              </w:rPr>
              <w:t>(14,394)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5,618</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33,963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39,581</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September 30, 2007</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162,043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$ 756,173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$ 918,216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Estimated annual amortization expense on intangible assets with finite lives, before income taxes, as of September 30, 2007, is expected to total $20.7 million for 2007, $24.9 million for 2008, $24.8 million for 2009, $24.5 million for 2010, $19.2 million for 2011 and $16.5 million for 2012.</w:t>
      </w:r>
    </w:p>
    <w:p>
      <w:pPr>
        <w:spacing w:after="0" w:line="3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annual goodwill impairment test is performed during the fourth quarter. For the year ended December 31, 2006, the results of the Company’s goodwill impairment test indicated that there were no impairments. Determining the fair value of reporting units for the purpose of the goodwill impairment test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ASSETS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third quarter 2007, the Company recognized $0.3 million of equity losses related to e-pay Malaysia’s unsuccessful expansion efforts into Indonesia. The Company has a 40% minority investment in e-pay Malaysia.</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October 2007, e-pay Malaysia reported that it was ceasing operations in Indonesia. It is uncertain whether this business development will adversely impact the Company’s share of equity earnings in this minority investment. As of September 30, 2007, the Company’s investment in e-pay Malaysia was $2.6 million. Based on the performance of e-pay Malaysia’s core business, management of the Company does not believe that the amount recorded as investment in e-pay Malaysia is impaired.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nine-month period ended September 30, 2007 is presented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6"/>
              </w:rPr>
              <w:t>1.625%</w:t>
            </w:r>
          </w:p>
        </w:tc>
        <w:tc>
          <w:tcPr>
            <w:tcW w:w="280" w:type="dxa"/>
            <w:vAlign w:val="bottom"/>
          </w:tcPr>
          <w:p>
            <w:pPr>
              <w:spacing w:after="0"/>
              <w:rPr>
                <w:sz w:val="14"/>
                <w:szCs w:val="14"/>
                <w:color w:val="auto"/>
              </w:rPr>
            </w:pPr>
          </w:p>
        </w:tc>
        <w:tc>
          <w:tcPr>
            <w:tcW w:w="100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Credit</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 Loan</w:t>
            </w:r>
          </w:p>
        </w:tc>
        <w:tc>
          <w:tcPr>
            <w:tcW w:w="2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Due 2024</w:t>
            </w: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Due 2025</w:t>
            </w:r>
          </w:p>
        </w:tc>
        <w:tc>
          <w:tcPr>
            <w:tcW w:w="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34,073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20,001</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$ 175,000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$ 373,452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Increases (decreases):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borrowings (repayments)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(10,762)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165,000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Capital lease interest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1,301</w:t>
            </w:r>
          </w:p>
        </w:tc>
        <w:tc>
          <w:tcPr>
            <w:tcW w:w="2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Balance at September 30, 2007</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23,533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165,000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(11,012)</w:t>
            </w:r>
          </w:p>
        </w:tc>
        <w:tc>
          <w:tcPr>
            <w:tcW w:w="0" w:type="dxa"/>
            <w:vAlign w:val="bottom"/>
          </w:tcPr>
          <w:p>
            <w:pPr>
              <w:spacing w:after="0"/>
              <w:rPr>
                <w:sz w:val="1"/>
                <w:szCs w:val="1"/>
                <w:color w:val="auto"/>
              </w:rPr>
            </w:pPr>
          </w:p>
        </w:tc>
      </w:tr>
      <w:tr>
        <w:trPr>
          <w:trHeight w:val="209"/>
        </w:trPr>
        <w:tc>
          <w:tcPr>
            <w:tcW w:w="2620" w:type="dxa"/>
            <w:vAlign w:val="bottom"/>
            <w:gridSpan w:val="2"/>
          </w:tcPr>
          <w:p>
            <w:pPr>
              <w:spacing w:after="0"/>
              <w:rPr>
                <w:sz w:val="20"/>
                <w:szCs w:val="20"/>
                <w:color w:val="auto"/>
              </w:rPr>
            </w:pPr>
            <w:r>
              <w:rPr>
                <w:rFonts w:ascii="Arial" w:cs="Arial" w:eastAsia="Arial" w:hAnsi="Arial"/>
                <w:sz w:val="18"/>
                <w:szCs w:val="18"/>
                <w:color w:val="auto"/>
              </w:rPr>
              <w:t>Long-term obligations at</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September 30, 2007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23,533</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12,260</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$ 140,000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$ 175,000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163,100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$ 513,893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completion of the acquisition of RIA during April 2007, the Company entered into a $290 million secured syndicated credit facility consisting of a $190 million seven-year term loan, which was fully-drawn at closing, and a $100 million five-year revolving credit facility (the “Credit Facility”) that replaced an existing $50 million revolving credit facility. The $190 million seven-year term loan bears interest at LIBOR plus 200 basis points or prime plus 100 basis points and contains a 1% per annum principal amortization requirement, payable quarterly, with the remaining balance outstanding due at the end of year seven. The $100 million five-year revolving line of credit bears interest at LIBOR or prime plus a margin that adjusts each quarter based upon the Company’s consolidated total leverage ratio. The weighted average interest rate of the Company’s borrowings under the revolving credit facility was 8.2% as of September 30, 2007.</w:t>
      </w:r>
    </w:p>
    <w:p>
      <w:pPr>
        <w:spacing w:after="0" w:line="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term loan may be expanded by up to an additional $150 million and the revolving credit facility may be expanded by up to an additional $25 million, subject to satisfaction of certain conditions including pro-forma debt covenant compliance. The agreements for the credit facility contain certain mandatory prepayments, customary events of default and financial covenants, including leverage ratios. The leverage ratios step down on various dates through September 2008. Financing costs of $4.8 million have been deferred and are being amortized over the terms of the respective loans.</w:t>
      </w:r>
    </w:p>
    <w:p>
      <w:pPr>
        <w:spacing w:after="0" w:line="4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nine-months ended September 30, 2007, the Company repaid $25.0 million of the term loan, of which $1.0 million was scheduled repayments. The remaining $24.0 million represents prepayment of amounts not yet due and resulted in the Company recognizing a $0.4 million loss on early retirement of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ACTIVITIES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2007, the Company entered into interest rate swap agreements for a total notional amount of $50 million to manage interest rate exposure related to a portion of the term loan, which currently bears interest at LIBOR plus 200 basis points. The interest rate swap agreements are determined to be cash flow hedges and effectively convert $50 million of the term loan to a fixed interest rate of 7.3% through the May 2009 maturity date of the swap agreements. As of September 30, 2007, the Company has recorded a liability of $0.6 million in the other long-term liabilities caption on the Company’s consolidated balance sheets to recognize the fair value of the swap agreements. The offset is recorded in accumulated other comprehensive income. The fair value of swap agreements is based on market quotes received from the agreement counterparties and represents the net amount the Company would have been required to pay to terminate the positions.</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2007, the Company had foreign currency forward contracts outstanding with a notional value of $41.0 million, primarily in euros, which were not designated as hedges and had a weighted average maturity of six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PRIVATE PLACEMENT</w:t>
      </w:r>
    </w:p>
    <w:p>
      <w:pPr>
        <w:spacing w:after="0" w:line="12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During March 2007, the Company entered into a securities purchase agreement with certain accredited investors to issue and sell 6,374,528 shares of Common Stock in a private placement. The offering price for the shares was $25.00 per share and the gross proceeds of the offering were approximately $159.4 million. The net proceeds from the sale, after deducting commissions and expenses, were approximately $154.3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Euronet’s reportable operating segments have been determined in accordance with SFAS No. 131, “Disclosures About Segments of an Enterprise and Related Information.” Effective January 1, 2007, the Company began reporting and managing the operations of the EFT Processing Segment and the former Software Solutions Segment on a combined basis. Additionally, as a result of the acquisition of RIA in April 2007, the Company began reporting the Money Transfer Segment. The Company’s former money transfer business was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3" w:name="page14"/>
    <w:bookmarkEnd w:id="13"/>
    <w:p>
      <w:pPr>
        <w:jc w:val="both"/>
        <w:ind w:right="220"/>
        <w:spacing w:after="0" w:line="264" w:lineRule="auto"/>
        <w:rPr>
          <w:sz w:val="20"/>
          <w:szCs w:val="20"/>
          <w:color w:val="auto"/>
        </w:rPr>
      </w:pPr>
      <w:r>
        <w:rPr>
          <w:rFonts w:ascii="Arial" w:cs="Arial" w:eastAsia="Arial" w:hAnsi="Arial"/>
          <w:sz w:val="18"/>
          <w:szCs w:val="18"/>
          <w:color w:val="auto"/>
        </w:rPr>
        <w:t>previously reported within the Prepaid Processing Segment. Previously reported amounts have been adjusted to reflect these changes, which did not impact the Company’s consolidated financial statements. As a result of these changes, the Company currently operates in the following three reportable operating segments.</w:t>
      </w:r>
    </w:p>
    <w:p>
      <w:pPr>
        <w:spacing w:after="0" w:line="73" w:lineRule="exact"/>
        <w:rPr>
          <w:sz w:val="20"/>
          <w:szCs w:val="20"/>
          <w:color w:val="auto"/>
        </w:rPr>
      </w:pPr>
    </w:p>
    <w:p>
      <w:pPr>
        <w:ind w:left="660" w:right="300" w:hanging="436"/>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215"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the U.S., Europe, Africa and Asia Pacific.</w:t>
      </w:r>
    </w:p>
    <w:p>
      <w:pPr>
        <w:spacing w:after="0" w:line="75" w:lineRule="exact"/>
        <w:rPr>
          <w:rFonts w:ascii="Arial" w:cs="Arial" w:eastAsia="Arial" w:hAnsi="Arial"/>
          <w:sz w:val="18"/>
          <w:szCs w:val="18"/>
          <w:color w:val="auto"/>
        </w:rPr>
      </w:pPr>
    </w:p>
    <w:p>
      <w:pPr>
        <w:ind w:left="660" w:right="10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the Caribbean, Europe and Asia Pacific, disbursing money transfers through a worldwide payer network.</w:t>
      </w:r>
    </w:p>
    <w:p>
      <w:pPr>
        <w:spacing w:after="0" w:line="19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segment results of the Company’s operations for the three- and nine-month periods ended September 30, 2007 and 2006: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8"/>
              </w:rPr>
              <w:t>For the Three Months Ended September 30, 2007</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48,113</w:t>
            </w:r>
          </w:p>
        </w:tc>
        <w:tc>
          <w:tcPr>
            <w:tcW w:w="3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$ 144,631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246,317</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18,644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118,038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28,397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4"/>
              </w:rPr>
              <w:t>10,616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10,784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6,777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4,641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37,882</w:t>
            </w:r>
          </w:p>
        </w:tc>
        <w:tc>
          <w:tcPr>
            <w:tcW w:w="3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134,228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1620" w:type="dxa"/>
            <w:vAlign w:val="bottom"/>
            <w:gridSpan w:val="5"/>
          </w:tcPr>
          <w:p>
            <w:pPr>
              <w:jc w:val="right"/>
              <w:ind w:right="380"/>
              <w:spacing w:after="0"/>
              <w:rPr>
                <w:sz w:val="20"/>
                <w:szCs w:val="20"/>
                <w:color w:val="auto"/>
              </w:rPr>
            </w:pPr>
            <w:r>
              <w:rPr>
                <w:rFonts w:ascii="Arial" w:cs="Arial" w:eastAsia="Arial" w:hAnsi="Arial"/>
                <w:sz w:val="18"/>
                <w:szCs w:val="18"/>
                <w:color w:val="auto"/>
              </w:rPr>
              <w:t>$ 10,231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10,403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(5,610)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8"/>
              </w:rPr>
              <w:t>For the Three Months Ended September 30, 2006</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$ 40,539</w:t>
            </w: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$ 120,240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161,653</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14,674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97,294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8,964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3,791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31,399</w:t>
            </w:r>
          </w:p>
        </w:tc>
        <w:tc>
          <w:tcPr>
            <w:tcW w:w="3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110,679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9,140</w:t>
            </w:r>
          </w:p>
        </w:tc>
        <w:tc>
          <w:tcPr>
            <w:tcW w:w="3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9,561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(4,857)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For the Nine Months Ended September 30, 2007</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EFT</w:t>
            </w:r>
          </w:p>
        </w:tc>
        <w:tc>
          <w:tcPr>
            <w:tcW w:w="34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Prepaid</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34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4"/>
              </w:rPr>
              <w:t>Processing</w:t>
            </w: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Transfer</w:t>
            </w: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$ 135,844</w:t>
            </w:r>
          </w:p>
        </w:tc>
        <w:tc>
          <w:tcPr>
            <w:tcW w:w="3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$ 414,442</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103,581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653,867</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w:t>
            </w:r>
          </w:p>
        </w:tc>
        <w:tc>
          <w:tcPr>
            <w:tcW w:w="3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337,516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55,303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30,427</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20,486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21,207</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10,035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c>
          <w:tcPr>
            <w:tcW w:w="3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14,047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12,733</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11,976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9,101</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109,428</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384,823</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99,658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26,416</w:t>
            </w: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29,619</w:t>
            </w:r>
          </w:p>
        </w:tc>
        <w:tc>
          <w:tcPr>
            <w:tcW w:w="7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3,923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(13,837)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September 30, 2007</w:t>
            </w:r>
          </w:p>
        </w:tc>
        <w:tc>
          <w:tcPr>
            <w:tcW w:w="12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$ 182,735</w:t>
            </w:r>
          </w:p>
        </w:tc>
        <w:tc>
          <w:tcPr>
            <w:tcW w:w="34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$ 712,695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682,197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227,276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$ 1,804,903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For the Nine Months Ended September 30, 2006</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EFT</w:t>
            </w:r>
          </w:p>
        </w:tc>
        <w:tc>
          <w:tcPr>
            <w:tcW w:w="34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Prepaid</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4"/>
              </w:rPr>
              <w:t>Money</w:t>
            </w:r>
          </w:p>
        </w:tc>
        <w:tc>
          <w:tcPr>
            <w:tcW w:w="12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Processing</w:t>
            </w:r>
          </w:p>
        </w:tc>
        <w:tc>
          <w:tcPr>
            <w:tcW w:w="3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Processing</w:t>
            </w: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Transfer</w:t>
            </w: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$ 116,166</w:t>
            </w:r>
          </w:p>
        </w:tc>
        <w:tc>
          <w:tcPr>
            <w:tcW w:w="17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$ 343,957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462,426</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41,531</w:t>
            </w:r>
          </w:p>
        </w:tc>
        <w:tc>
          <w:tcPr>
            <w:tcW w:w="17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276,708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26,643</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17,038</w:t>
            </w: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10,913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11,513</w:t>
            </w:r>
          </w:p>
        </w:tc>
        <w:tc>
          <w:tcPr>
            <w:tcW w:w="17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12,048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10,649</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10,523</w:t>
            </w: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90,336</w:t>
            </w:r>
          </w:p>
        </w:tc>
        <w:tc>
          <w:tcPr>
            <w:tcW w:w="17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316,317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25,830</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  27,640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(14,052)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December 31, 2006</w:t>
            </w:r>
          </w:p>
        </w:tc>
        <w:tc>
          <w:tcPr>
            <w:tcW w:w="1580" w:type="dxa"/>
            <w:vAlign w:val="bottom"/>
            <w:tcBorders>
              <w:lef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$ 172,191</w:t>
            </w:r>
          </w:p>
        </w:tc>
        <w:tc>
          <w:tcPr>
            <w:tcW w:w="17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$ 694,437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244,625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$ 1,129,640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LITIGATION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lease payments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noncancelable operating leases (with remaining lease terms in excess of one year) as of September 30, 2007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9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2007 (three months)</w:t>
            </w:r>
          </w:p>
        </w:tc>
        <w:tc>
          <w:tcPr>
            <w:tcW w:w="6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5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2009</w:t>
            </w:r>
          </w:p>
        </w:tc>
        <w:tc>
          <w:tcPr>
            <w:tcW w:w="5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5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2011</w:t>
            </w:r>
          </w:p>
        </w:tc>
        <w:tc>
          <w:tcPr>
            <w:tcW w:w="5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5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00"/>
              <w:spacing w:after="0"/>
              <w:rPr>
                <w:sz w:val="20"/>
                <w:szCs w:val="20"/>
                <w:color w:val="auto"/>
              </w:rPr>
            </w:pPr>
            <w:r>
              <w:rPr>
                <w:rFonts w:ascii="Arial" w:cs="Arial" w:eastAsia="Arial" w:hAnsi="Arial"/>
                <w:sz w:val="18"/>
                <w:szCs w:val="18"/>
                <w:color w:val="auto"/>
              </w:rPr>
              <w:t>Total minimum lease payments</w:t>
            </w:r>
          </w:p>
        </w:tc>
        <w:tc>
          <w:tcPr>
            <w:tcW w:w="65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920" w:type="dxa"/>
            <w:vAlign w:val="bottom"/>
            <w:vMerge w:val="restart"/>
          </w:tcPr>
          <w:p>
            <w:pPr>
              <w:jc w:val="right"/>
              <w:ind w:right="417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had not been returned. This claim was made after the Company terminated its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 during the first quarter 2007 and paid in the second quarter 2007.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agreement to acquire La Nacional, in January 2007, the Company deposited $26 million in an escrow account created for the proposed acquisition, which can only be released by mutual agreement of the Company and La Nacional or through legal remedies available under the agreement. On February 6, 2007, two employees of La Nacional working in different La Nacional stores were arrested for allegedly violating federal money laundering laws and certain state statutes. On April 5, 2007, the Company gave notice to the stockholder of La Nacional of the termination of the stock purchase agreement and requested the release of the escrowed funds under the terms of the stock purchase agreement. La Nacional is contesting the Company’s request for release of the escrowed funds. While pursuing all legal remedies available, the Company is also engaged in negotiations to determine whether the dispute can be resolved through revised terms for the acquisition.</w:t>
      </w:r>
    </w:p>
    <w:p>
      <w:pPr>
        <w:spacing w:after="0" w:line="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The Company expenses legal costs in connection with loss contingencies when incurred.</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2006, the Internal Revenue Service (“IRS”) announced that Internal Revenue Code Section 4251 (relating to communications excise tax) will no longer apply to, among other services, prepaid mobile airtime services such as those offered by the Company’s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The Company has claimed a refund for amounts paid during this period and has been informed by the IRS that the refund is currently being examined. Therefore, no benefit for any potential recovery has been recorded in the Consolidated Financial Statements, and no such amounts will be recorded until such time as the refund is considered “realizable” as stipulated under SFAS No. 5, “Accounting for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GUARANTEES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of September 30, 2007, the Company had $36.7 million of bank guarantees issued on its behalf, of which $1.7 million are collateralized by cash deposits held by the respective issuing banks and $35.5 million are supported by stand-by letters of credit issued against the Company’s revolving credit facility.</w:t>
      </w:r>
    </w:p>
    <w:p>
      <w:pPr>
        <w:spacing w:after="0" w:line="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Euronet regularly grants guarantees of the obligations of its wholly-owned subsidiaries. As of September 30, 2007, the Company had granted guarantees in the following amounts:</w:t>
      </w:r>
    </w:p>
    <w:p>
      <w:pPr>
        <w:spacing w:after="0" w:line="62"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$24.6 million over the terms of the cash supply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Performance guarantees — $26.7 million over the terms of the agreements with the customers.</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hanging="436"/>
        <w:spacing w:after="0" w:line="279"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In connection with contracts with financial institutions that supply cash to ATMs in the EFT Processing Segment, the Company is responsible for the loss of network cash that, generally, is not recorded on the Company’s consolidated balance sheet, because the cash remains the property of the financial institutions while in the ATMs. As of September 30, 2007, the balance of ATM network cash for which the Company was responsible was approximately $300 million. The Company maintains insurance policies to mitigate this exposure;</w:t>
      </w:r>
    </w:p>
    <w:p>
      <w:pPr>
        <w:spacing w:after="0" w:line="76" w:lineRule="exact"/>
        <w:rPr>
          <w:rFonts w:ascii="Arial" w:cs="Arial" w:eastAsia="Arial" w:hAnsi="Arial"/>
          <w:sz w:val="17"/>
          <w:szCs w:val="17"/>
          <w:b w:val="1"/>
          <w:bCs w:val="1"/>
          <w:color w:val="auto"/>
        </w:rPr>
      </w:pPr>
    </w:p>
    <w:p>
      <w:pPr>
        <w:ind w:left="660" w:right="2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8" w:lineRule="exact"/>
        <w:rPr>
          <w:rFonts w:ascii="Arial" w:cs="Arial" w:eastAsia="Arial" w:hAnsi="Arial"/>
          <w:sz w:val="18"/>
          <w:szCs w:val="18"/>
          <w:b w:val="1"/>
          <w:bCs w:val="1"/>
          <w:color w:val="auto"/>
        </w:rPr>
      </w:pPr>
    </w:p>
    <w:p>
      <w:pPr>
        <w:ind w:left="660" w:right="360" w:hanging="436"/>
        <w:spacing w:after="0" w:line="286"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Euronet has entered into purchase and service agreements with our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660" w:right="200" w:hanging="436"/>
        <w:spacing w:after="0" w:line="293"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191" w:lineRule="exact"/>
        <w:rPr>
          <w:rFonts w:ascii="Arial" w:cs="Arial" w:eastAsia="Arial" w:hAnsi="Arial"/>
          <w:sz w:val="16"/>
          <w:szCs w:val="16"/>
          <w:b w:val="1"/>
          <w:bCs w:val="1"/>
          <w:color w:val="auto"/>
        </w:rPr>
      </w:pPr>
    </w:p>
    <w:p>
      <w:pPr>
        <w:ind w:left="660" w:right="10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Company has issued surety bonds in compliance with money transfer licensing requirements of certain states.</w:t>
      </w:r>
    </w:p>
    <w:p>
      <w:pPr>
        <w:spacing w:after="0" w:line="117"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September 30, 2007 or December 31,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Company’s effective tax rate, after consideration of minority interest, was 29.4% and 25.8% for the three-month periods ended September 30, 2007 and 2006, respectively, and was 31.5% and 25.9% for the nine-month periods ended September 30, 2007 and 2006, respectively. This increase in the 2007 effective tax rate relates to several factors. During the nine-months ended September 30, 2007, the Company recognized $3.7 million of non-cash deferred income tax expense related to the deduction of goodwill amortization expense for U.S. income tax purposes, a substantial portion of which relates to the Company’s acquisition of RIA. Additionally, during the second quarter 2007, the Company reversed $2.7 million in valuation allowances recorded against deferred tax assets related to U.S. Federal and state net operating losses; the Company concluded that it is more likely than not that the net deferred tax asset of $2.7 million will be realized because the Company would employ tax-planning strategies to utilize its net operating losses prior to expiration in the event they were to expire.</w:t>
      </w:r>
    </w:p>
    <w:p>
      <w:pPr>
        <w:spacing w:after="0" w:line="8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Since the Company is in a net operating loss position for its U.S. operations, valuation allowances have been recorded in instances where the Company determines that it is more likely than not that a tax benefit will not be realized. Accordingly, tax benefit or expense associated with foreign currency gains or losses incurred by the Company’s U.S. entities have historically been offset through an adjustment to the valuation allowance. During the quarter ended September 30, 2007, the Company’s U.S. operations recognized significant realized and unrealized foreign currency gains. The impact of these gains, as well as the above-mentioned reversal of $2.7 million of valuation allowances for tax-planning strategies, reduced the Company’s remaining valuation allowances related to its U.S. operations to $0.1 million. Consequently, should the Company’s U.S. operations generate pre-tax book income, including income from the recognition of additional foreign currency gains, the Company would be required to recognize tax expense on such income. For income tax purposes, however, the Company has approximately $114 million in net operating losses as of September 30, 2007 that will offset future taxable income and result in little or no cash taxes paid in the U.S. until the net operating losses have been fully utilized.</w:t>
      </w:r>
    </w:p>
    <w:p>
      <w:pPr>
        <w:spacing w:after="0" w:line="59"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Other factors contributing to the increase in the effective tax rate include profits generated by RIA in jurisdictions having tax rates that are higher than the Company’s historical effective tax rate, and the recognition of significant deferred tax benefits from net operating losses in India and Poland during 2006.</w:t>
      </w:r>
    </w:p>
    <w:p>
      <w:pPr>
        <w:spacing w:after="0" w:line="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January 1, 2007, the Company adopted the provisions of FIN 48 and has analyzed its filing positions in all federal, state and foreign jurisdictions. As a result of this analysis, the Company recognized less than $0.1 million in additional unrecognized tax benefits. The amount of unrecognized tax benefits as of January 1, 2007 included approximately $5.9 million of uncertain tax benefits and other items. Approximately $2.8 million of the unrecognized tax benefits would impact the Company’s provision for income taxes and effective tax rate, if recognized. Total estimated accrued interest and penalties related to the underpayment of income taxes was $0.5 million as of January 1, 2007 and September 30, 2007. The following tax years remain open in the Company’s major jurisdictions as of January 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5860" w:type="dxa"/>
            <w:vAlign w:val="bottom"/>
            <w:shd w:val="clear" w:color="auto" w:fill="CCEEFF"/>
          </w:tcPr>
          <w:p>
            <w:pPr>
              <w:jc w:val="center"/>
              <w:ind w:left="4410"/>
              <w:spacing w:after="0"/>
              <w:rPr>
                <w:sz w:val="20"/>
                <w:szCs w:val="20"/>
                <w:color w:val="auto"/>
              </w:rPr>
            </w:pPr>
            <w:r>
              <w:rPr>
                <w:rFonts w:ascii="Arial" w:cs="Arial" w:eastAsia="Arial" w:hAnsi="Arial"/>
                <w:sz w:val="18"/>
                <w:szCs w:val="18"/>
                <w:color w:val="auto"/>
                <w:w w:val="89"/>
              </w:rPr>
              <w:t>1999 through 2006</w:t>
            </w:r>
          </w:p>
        </w:tc>
        <w:tc>
          <w:tcPr>
            <w:tcW w:w="20" w:type="dxa"/>
            <w:vAlign w:val="bottom"/>
          </w:tcPr>
          <w:p>
            <w:pPr>
              <w:spacing w:after="0"/>
              <w:rPr>
                <w:sz w:val="18"/>
                <w:szCs w:val="18"/>
                <w:color w:val="auto"/>
              </w:rPr>
            </w:pPr>
          </w:p>
        </w:tc>
      </w:tr>
      <w:tr>
        <w:trPr>
          <w:trHeight w:val="202"/>
        </w:trPr>
        <w:tc>
          <w:tcPr>
            <w:tcW w:w="5560" w:type="dxa"/>
            <w:vAlign w:val="bottom"/>
          </w:tcPr>
          <w:p>
            <w:pPr>
              <w:spacing w:after="0"/>
              <w:rPr>
                <w:sz w:val="17"/>
                <w:szCs w:val="17"/>
                <w:color w:val="auto"/>
              </w:rPr>
            </w:pPr>
          </w:p>
        </w:tc>
        <w:tc>
          <w:tcPr>
            <w:tcW w:w="5860" w:type="dxa"/>
            <w:vAlign w:val="bottom"/>
          </w:tcPr>
          <w:p>
            <w:pPr>
              <w:jc w:val="center"/>
              <w:ind w:left="4410"/>
              <w:spacing w:after="0" w:line="201" w:lineRule="exact"/>
              <w:rPr>
                <w:sz w:val="20"/>
                <w:szCs w:val="20"/>
                <w:color w:val="auto"/>
              </w:rPr>
            </w:pPr>
            <w:r>
              <w:rPr>
                <w:rFonts w:ascii="Arial" w:cs="Arial" w:eastAsia="Arial" w:hAnsi="Arial"/>
                <w:sz w:val="18"/>
                <w:szCs w:val="18"/>
                <w:color w:val="auto"/>
                <w:w w:val="90"/>
              </w:rPr>
              <w:t>2000 through</w:t>
            </w:r>
          </w:p>
        </w:tc>
        <w:tc>
          <w:tcPr>
            <w:tcW w:w="20" w:type="dxa"/>
            <w:vAlign w:val="bottom"/>
          </w:tcPr>
          <w:p>
            <w:pPr>
              <w:spacing w:after="0"/>
              <w:rPr>
                <w:sz w:val="17"/>
                <w:szCs w:val="17"/>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U.S. (Federal)</w:t>
            </w:r>
          </w:p>
        </w:tc>
        <w:tc>
          <w:tcPr>
            <w:tcW w:w="5860" w:type="dxa"/>
            <w:vAlign w:val="bottom"/>
          </w:tcPr>
          <w:p>
            <w:pPr>
              <w:jc w:val="center"/>
              <w:ind w:left="4410"/>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20"/>
                <w:szCs w:val="20"/>
                <w:color w:val="auto"/>
              </w:rPr>
            </w:pPr>
          </w:p>
        </w:tc>
      </w:tr>
      <w:tr>
        <w:trPr>
          <w:trHeight w:val="202"/>
        </w:trPr>
        <w:tc>
          <w:tcPr>
            <w:tcW w:w="5560" w:type="dxa"/>
            <w:vAlign w:val="bottom"/>
            <w:shd w:val="clear" w:color="auto" w:fill="CCEEFF"/>
          </w:tcPr>
          <w:p>
            <w:pPr>
              <w:spacing w:after="0"/>
              <w:rPr>
                <w:sz w:val="17"/>
                <w:szCs w:val="17"/>
                <w:color w:val="auto"/>
              </w:rPr>
            </w:pPr>
          </w:p>
        </w:tc>
        <w:tc>
          <w:tcPr>
            <w:tcW w:w="5860" w:type="dxa"/>
            <w:vAlign w:val="bottom"/>
            <w:shd w:val="clear" w:color="auto" w:fill="CCEEFF"/>
          </w:tcPr>
          <w:p>
            <w:pPr>
              <w:jc w:val="center"/>
              <w:ind w:left="4410"/>
              <w:spacing w:after="0" w:line="201" w:lineRule="exact"/>
              <w:rPr>
                <w:sz w:val="20"/>
                <w:szCs w:val="20"/>
                <w:color w:val="auto"/>
              </w:rPr>
            </w:pPr>
            <w:r>
              <w:rPr>
                <w:rFonts w:ascii="Arial" w:cs="Arial" w:eastAsia="Arial" w:hAnsi="Arial"/>
                <w:sz w:val="18"/>
                <w:szCs w:val="18"/>
                <w:color w:val="auto"/>
                <w:w w:val="90"/>
              </w:rPr>
              <w:t>2002 through</w:t>
            </w:r>
          </w:p>
        </w:tc>
        <w:tc>
          <w:tcPr>
            <w:tcW w:w="20" w:type="dxa"/>
            <w:vAlign w:val="bottom"/>
          </w:tcPr>
          <w:p>
            <w:pPr>
              <w:spacing w:after="0"/>
              <w:rPr>
                <w:sz w:val="17"/>
                <w:szCs w:val="17"/>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5860" w:type="dxa"/>
            <w:vAlign w:val="bottom"/>
            <w:shd w:val="clear" w:color="auto" w:fill="CCEEFF"/>
          </w:tcPr>
          <w:p>
            <w:pPr>
              <w:jc w:val="center"/>
              <w:ind w:left="4410"/>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20"/>
                <w:szCs w:val="20"/>
                <w:color w:val="auto"/>
              </w:rPr>
            </w:pPr>
          </w:p>
        </w:tc>
      </w:tr>
      <w:tr>
        <w:trPr>
          <w:trHeight w:val="202"/>
        </w:trPr>
        <w:tc>
          <w:tcPr>
            <w:tcW w:w="5560" w:type="dxa"/>
            <w:vAlign w:val="bottom"/>
          </w:tcPr>
          <w:p>
            <w:pPr>
              <w:spacing w:after="0"/>
              <w:rPr>
                <w:sz w:val="17"/>
                <w:szCs w:val="17"/>
                <w:color w:val="auto"/>
              </w:rPr>
            </w:pPr>
          </w:p>
        </w:tc>
        <w:tc>
          <w:tcPr>
            <w:tcW w:w="5860" w:type="dxa"/>
            <w:vAlign w:val="bottom"/>
          </w:tcPr>
          <w:p>
            <w:pPr>
              <w:jc w:val="center"/>
              <w:ind w:left="4410"/>
              <w:spacing w:after="0" w:line="201" w:lineRule="exact"/>
              <w:rPr>
                <w:sz w:val="20"/>
                <w:szCs w:val="20"/>
                <w:color w:val="auto"/>
              </w:rPr>
            </w:pPr>
            <w:r>
              <w:rPr>
                <w:rFonts w:ascii="Arial" w:cs="Arial" w:eastAsia="Arial" w:hAnsi="Arial"/>
                <w:sz w:val="18"/>
                <w:szCs w:val="18"/>
                <w:color w:val="auto"/>
                <w:w w:val="90"/>
              </w:rPr>
              <w:t>2003 through</w:t>
            </w:r>
          </w:p>
        </w:tc>
        <w:tc>
          <w:tcPr>
            <w:tcW w:w="20" w:type="dxa"/>
            <w:vAlign w:val="bottom"/>
          </w:tcPr>
          <w:p>
            <w:pPr>
              <w:spacing w:after="0"/>
              <w:rPr>
                <w:sz w:val="17"/>
                <w:szCs w:val="17"/>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Australia</w:t>
            </w:r>
          </w:p>
        </w:tc>
        <w:tc>
          <w:tcPr>
            <w:tcW w:w="5860" w:type="dxa"/>
            <w:vAlign w:val="bottom"/>
          </w:tcPr>
          <w:p>
            <w:pPr>
              <w:jc w:val="center"/>
              <w:ind w:left="4410"/>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20"/>
                <w:szCs w:val="20"/>
                <w:color w:val="auto"/>
              </w:rPr>
            </w:pPr>
          </w:p>
        </w:tc>
      </w:tr>
      <w:tr>
        <w:trPr>
          <w:trHeight w:val="202"/>
        </w:trPr>
        <w:tc>
          <w:tcPr>
            <w:tcW w:w="5560" w:type="dxa"/>
            <w:vAlign w:val="bottom"/>
            <w:shd w:val="clear" w:color="auto" w:fill="CCEEFF"/>
          </w:tcPr>
          <w:p>
            <w:pPr>
              <w:spacing w:after="0"/>
              <w:rPr>
                <w:sz w:val="17"/>
                <w:szCs w:val="17"/>
                <w:color w:val="auto"/>
              </w:rPr>
            </w:pPr>
          </w:p>
        </w:tc>
        <w:tc>
          <w:tcPr>
            <w:tcW w:w="5860" w:type="dxa"/>
            <w:vAlign w:val="bottom"/>
            <w:shd w:val="clear" w:color="auto" w:fill="CCEEFF"/>
          </w:tcPr>
          <w:p>
            <w:pPr>
              <w:jc w:val="center"/>
              <w:ind w:left="4410"/>
              <w:spacing w:after="0" w:line="201" w:lineRule="exact"/>
              <w:rPr>
                <w:sz w:val="20"/>
                <w:szCs w:val="20"/>
                <w:color w:val="auto"/>
              </w:rPr>
            </w:pPr>
            <w:r>
              <w:rPr>
                <w:rFonts w:ascii="Arial" w:cs="Arial" w:eastAsia="Arial" w:hAnsi="Arial"/>
                <w:sz w:val="18"/>
                <w:szCs w:val="18"/>
                <w:color w:val="auto"/>
                <w:w w:val="90"/>
              </w:rPr>
              <w:t>2004 through</w:t>
            </w:r>
          </w:p>
        </w:tc>
        <w:tc>
          <w:tcPr>
            <w:tcW w:w="20" w:type="dxa"/>
            <w:vAlign w:val="bottom"/>
          </w:tcPr>
          <w:p>
            <w:pPr>
              <w:spacing w:after="0"/>
              <w:rPr>
                <w:sz w:val="17"/>
                <w:szCs w:val="17"/>
                <w:color w:val="auto"/>
              </w:rPr>
            </w:pP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U.K.</w:t>
            </w:r>
          </w:p>
        </w:tc>
        <w:tc>
          <w:tcPr>
            <w:tcW w:w="5860" w:type="dxa"/>
            <w:vAlign w:val="bottom"/>
            <w:shd w:val="clear" w:color="auto" w:fill="CCEEFF"/>
          </w:tcPr>
          <w:p>
            <w:pPr>
              <w:jc w:val="center"/>
              <w:ind w:left="4410"/>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20"/>
                <w:szCs w:val="20"/>
                <w:color w:val="auto"/>
              </w:rPr>
            </w:pPr>
          </w:p>
        </w:tc>
      </w:tr>
      <w:tr>
        <w:trPr>
          <w:trHeight w:val="202"/>
        </w:trPr>
        <w:tc>
          <w:tcPr>
            <w:tcW w:w="5560" w:type="dxa"/>
            <w:vAlign w:val="bottom"/>
          </w:tcPr>
          <w:p>
            <w:pPr>
              <w:spacing w:after="0"/>
              <w:rPr>
                <w:sz w:val="17"/>
                <w:szCs w:val="17"/>
                <w:color w:val="auto"/>
              </w:rPr>
            </w:pPr>
          </w:p>
        </w:tc>
        <w:tc>
          <w:tcPr>
            <w:tcW w:w="5860" w:type="dxa"/>
            <w:vAlign w:val="bottom"/>
          </w:tcPr>
          <w:p>
            <w:pPr>
              <w:jc w:val="center"/>
              <w:ind w:left="4410"/>
              <w:spacing w:after="0" w:line="201" w:lineRule="exact"/>
              <w:rPr>
                <w:sz w:val="20"/>
                <w:szCs w:val="20"/>
                <w:color w:val="auto"/>
              </w:rPr>
            </w:pPr>
            <w:r>
              <w:rPr>
                <w:rFonts w:ascii="Arial" w:cs="Arial" w:eastAsia="Arial" w:hAnsi="Arial"/>
                <w:sz w:val="18"/>
                <w:szCs w:val="18"/>
                <w:color w:val="auto"/>
                <w:w w:val="90"/>
              </w:rPr>
              <w:t>2004 through</w:t>
            </w:r>
          </w:p>
        </w:tc>
        <w:tc>
          <w:tcPr>
            <w:tcW w:w="20" w:type="dxa"/>
            <w:vAlign w:val="bottom"/>
          </w:tcPr>
          <w:p>
            <w:pPr>
              <w:spacing w:after="0"/>
              <w:rPr>
                <w:sz w:val="17"/>
                <w:szCs w:val="17"/>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Germany</w:t>
            </w:r>
          </w:p>
        </w:tc>
        <w:tc>
          <w:tcPr>
            <w:tcW w:w="5860" w:type="dxa"/>
            <w:vAlign w:val="bottom"/>
          </w:tcPr>
          <w:p>
            <w:pPr>
              <w:jc w:val="center"/>
              <w:ind w:left="4410"/>
              <w:spacing w:after="0"/>
              <w:rPr>
                <w:sz w:val="20"/>
                <w:szCs w:val="20"/>
                <w:color w:val="auto"/>
              </w:rPr>
            </w:pPr>
            <w:r>
              <w:rPr>
                <w:rFonts w:ascii="Arial" w:cs="Arial" w:eastAsia="Arial" w:hAnsi="Arial"/>
                <w:sz w:val="18"/>
                <w:szCs w:val="18"/>
                <w:color w:val="auto"/>
                <w:w w:val="89"/>
              </w:rPr>
              <w:t>2006</w:t>
            </w:r>
          </w:p>
        </w:tc>
        <w:tc>
          <w:tcPr>
            <w:tcW w:w="20" w:type="dxa"/>
            <w:vAlign w:val="bottom"/>
          </w:tcPr>
          <w:p>
            <w:pPr>
              <w:spacing w:after="0"/>
              <w:rPr>
                <w:sz w:val="20"/>
                <w:szCs w:val="20"/>
                <w:color w:val="auto"/>
              </w:rPr>
            </w:pPr>
          </w:p>
        </w:tc>
      </w:tr>
    </w:tbl>
    <w:p>
      <w:pPr>
        <w:spacing w:after="0" w:line="94"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As of September 30, 2007, the Company’s open tax years in Spain are 2003 through 2006. The application of FIN 48 requires significant judgment in assessing the outcome of future tax examinations and their potential impact on the Company’s estimated effective tax rate and</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044" w:right="21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 During the nine-months ended September 30, 2007, the Company’s unrecognized tax benefits increased by $0.7 million and the amount that would impact the Company’s provision for income taxes, if recognized, increased by $0.5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GAIN FROM DISCONTINUED OPERATIONS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2002, the Company sold substantially all of the non-current assets and related capital lease obligations of its ATM processing business in France to Atos S.A. During the first quarter 2007, the Company received a binding French Supreme Court decision relating to a lawsuit in France that resulted in a cash recovery and gain to the Company of $0.3 million, net of legal costs. There were no assets or liabilities held for sale at September 30, 2007 or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The Company leases an airplane from a company owned by Mr. Michael J. Brown, Euronet’s Chief Executive Officer and Chairman of the Board of Directors, and Mr. Daniel R. Henry, a member of Euronet’s Board of Directors. The airplane is leased for business use on a per flight hour basis with no minimum usage requirement. During the nine-months ended September 30, 2007, Euronet incurred less than $0.1 million in expenses for the use of this airplane. Euronet did not incur any expense for the use of this plane during the nine-months ended September 30,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Euronet Worldwide, Inc. (together with our subsidiaries, “we,” “us,” “Euronet” or the “Company”) is a leading electronic transaction processor, offering automated teller machine (“ATM”) and Point of Sale (“POS”) outsourcing services, integrated electronic financial transaction (“EFT”) software, network gateways and electronic prepaid top-up services to financial institutions, mobile operators and retailers and electronic consumer money transfer and bill payment services. The EFT Processing Segment provides end to end solutions relating to operations of ATMs and POS networks, and debit and credit card processing in Europe, the Middle East, and Asia. We are one of the largest providers of prepaid mobile airtime processing. Based on revenues and volumes, the current year acquisition of RIA Envia, Inc. (“RIA”) also makes us the third-largest global money transfer company.</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January 1, 2007, we began reporting and managing the operations of the EFT Processing Segment and the former Software Solutions Segment on a combined basis. Additionally, as a result of the acquisition of RIA in April 2007, we commenced reporting of the Money Transfer Segment. Previously reported amounts have been adjusted to reflect these changes, which did not impact our consolidated financial statements. As a result of these changes, we operate in the following three principal business segments.</w:t>
      </w:r>
    </w:p>
    <w:p>
      <w:pPr>
        <w:spacing w:after="0" w:line="79" w:lineRule="exact"/>
        <w:rPr>
          <w:sz w:val="20"/>
          <w:szCs w:val="20"/>
          <w:color w:val="auto"/>
        </w:rPr>
      </w:pPr>
    </w:p>
    <w:p>
      <w:pPr>
        <w:ind w:left="660" w:right="40" w:hanging="436"/>
        <w:spacing w:after="0" w:line="30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10,516 ATMs and more than 48,000 POS terminals across Europe, Asia and Africa.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EFT software solutions for electronic payment, merchant acquiring, card issuing and transaction delivery systems.</w:t>
      </w:r>
    </w:p>
    <w:p>
      <w:pPr>
        <w:spacing w:after="0" w:line="181" w:lineRule="exact"/>
        <w:rPr>
          <w:rFonts w:ascii="Arial" w:cs="Arial" w:eastAsia="Arial" w:hAnsi="Arial"/>
          <w:sz w:val="16"/>
          <w:szCs w:val="16"/>
          <w:b w:val="1"/>
          <w:bCs w:val="1"/>
          <w:color w:val="auto"/>
        </w:rPr>
      </w:pPr>
    </w:p>
    <w:p>
      <w:pPr>
        <w:ind w:left="660" w:right="80" w:hanging="436"/>
        <w:spacing w:after="0" w:line="31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 Prepaid Processing Segment, which provides distribution of prepaid mobile airtime and other prepaid products and collection services for various prepaid products, cards and services. Including terminals operated by unconsolidated subsidiaries, we operate a network of approximately 370,000 POS terminals providing electronic processing of prepaid mobile airtime top-up services in the U.S., Europe, Africa and Asia Pacific.</w:t>
      </w:r>
    </w:p>
    <w:p>
      <w:pPr>
        <w:spacing w:after="0" w:line="52" w:lineRule="exact"/>
        <w:rPr>
          <w:rFonts w:ascii="Arial" w:cs="Arial" w:eastAsia="Arial" w:hAnsi="Arial"/>
          <w:sz w:val="16"/>
          <w:szCs w:val="16"/>
          <w:b w:val="1"/>
          <w:bCs w:val="1"/>
          <w:color w:val="auto"/>
        </w:rPr>
      </w:pPr>
    </w:p>
    <w:p>
      <w:pPr>
        <w:ind w:left="660" w:right="120" w:hanging="436"/>
        <w:spacing w:after="0" w:line="34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money transfer and bill payment services through a sending network of agents and Company-owned stores primarily in North America, the Caribbean, Europe and Asia-Pacific, disbursing money transfers through a worldwide payer network.</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six processing centers in Europe, two in Asia and two in the U.S., and we have 24 principal offices in Europe, five in the Asia-Pacific region, four in the U.S. and one each in the Middle East and Latin America. Our executive offices are located in Leawood, Kansas, USA.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 in the EFT Processing Segment, which represented approximately 21% of total consolidated revenue for the nine-months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2007,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 in this segment is also derived from licensing, professional services and maintenance fees for software and sales of related hardware, primarily to financial institutions around the world.</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Revenue in the Prepaid Processing Segment, which represented approximately 63% of total consolidated revenue for the nine-months ended September 30, 2007, is primarily derived from commissions and processing fees received from mobile and other telecommunication operators, or from distributors of prepaid wireless products for the distribution and/or processing of prepaid mobile airtime.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and prepaid mobile content such as ring tones and games.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 in the Money Transfer Segment, which represents approximately 16% of total consolidated revenue for the nine-months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2007,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primarily in North America, the Caribbean,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9" w:name="page20"/>
    <w:bookmarkEnd w:id="19"/>
    <w:p>
      <w:pPr>
        <w:ind w:right="60"/>
        <w:spacing w:after="0" w:line="264" w:lineRule="auto"/>
        <w:rPr>
          <w:sz w:val="20"/>
          <w:szCs w:val="20"/>
          <w:color w:val="auto"/>
        </w:rPr>
      </w:pPr>
      <w:r>
        <w:rPr>
          <w:rFonts w:ascii="Arial" w:cs="Arial" w:eastAsia="Arial" w:hAnsi="Arial"/>
          <w:sz w:val="18"/>
          <w:szCs w:val="18"/>
          <w:color w:val="auto"/>
        </w:rPr>
        <w:t>Europe and Asia-Pacific 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cross-border merchant processing and acquiring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card issuing and outsourcing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use our software in lieu of cash as our initial capital contributions to new transaction processing joint ventures. Such contributions sometimes permit us to enter new markets without significant capital investment.</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entered the cross-border merchant processing and acquiring business through the execution of an agreement with a large petrol retailer in Central Europe. Since the beginning of 2007, we have devoted significant resources to the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may involve the assumption of credit risk, as the principal amount of transactions may be settled to merchants before settlements are received from card associations.</w:t>
      </w:r>
    </w:p>
    <w:p>
      <w:pPr>
        <w:spacing w:after="0" w:line="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newly acquired operations with our existing operations.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2007, we completed the acquisitions of the stock of Omega Logic, Ltd. (“Omega Logic”) and Brodos SRL in Romania (“Brodos Romania”). Omega Logic is a prepaid top-up company based, and primarily operating, in the U.K. that enhanced our Prepaid Processing Segment business in the U.K. Brodos Romania is a leading electronic prepaid mobile airtime processor in Romania.</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We completed the acquisition of RIA in April 2007, which expanded our money transfer and bill payment services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Euronet the third-largest global money transfer company based upon revenues and volumes. RIA processes approximately $4.5 billion in money transfers annually, originates transactions through a network of approximately 11,000 sending agents, including Company-owned stores, located throughout 13 countries in North America, the Caribbean, Europe and Asia-Pacific.</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059" w:gutter="0" w:footer="0" w:header="0"/>
        </w:sectPr>
      </w:pPr>
    </w:p>
    <w:bookmarkStart w:id="20" w:name="page21"/>
    <w:bookmarkEnd w:id="20"/>
    <w:p>
      <w:pPr>
        <w:ind w:right="520"/>
        <w:spacing w:after="0" w:line="277" w:lineRule="auto"/>
        <w:rPr>
          <w:sz w:val="20"/>
          <w:szCs w:val="20"/>
          <w:color w:val="auto"/>
        </w:rPr>
      </w:pPr>
      <w:r>
        <w:rPr>
          <w:rFonts w:ascii="Arial" w:cs="Arial" w:eastAsia="Arial" w:hAnsi="Arial"/>
          <w:sz w:val="18"/>
          <w:szCs w:val="18"/>
          <w:color w:val="auto"/>
        </w:rPr>
        <w:t>RIA disburses money transfers through a payer network of over 56,000 locations in over 100 countries. The Money Transfer Segment provides us with additional expansion opportunities.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expansion and development of our money transfer business will depend on various factors, including, but not necessarily limited to, the following:</w:t>
      </w:r>
    </w:p>
    <w:p>
      <w:pPr>
        <w:spacing w:after="0" w:line="12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the immigration developments occurring in the U.S. during 2006 and 2007;</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at competitive prices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successfully integrate RIA with our existing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Like other participants in the money transfer industry, as a result of immigration developments, downturns in certain labor markets and/or other economic factors, growth rates in money transfers from the U.S. to Mexico have slowed. This slowing of growth began during the middle of 2006 and continues to impact money transfer revenues for transactions from the U.S. to Mexico. Despite recent improvement in this trend, we believe that it is too early to conclude on the impact, if any, to our results of operations.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 The impact of share-based compensation is recorded as an expense of the Corporate Services division.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 and operating income by segment for the three- and nine-month periods ended September 30, 2007 and 2006 are summarized in the tables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7"/>
          </w:tcPr>
          <w:p>
            <w:pPr>
              <w:ind w:left="120"/>
              <w:spacing w:after="0"/>
              <w:rPr>
                <w:sz w:val="20"/>
                <w:szCs w:val="20"/>
                <w:color w:val="auto"/>
              </w:rPr>
            </w:pPr>
            <w:r>
              <w:rPr>
                <w:rFonts w:ascii="Arial" w:cs="Arial" w:eastAsia="Arial" w:hAnsi="Arial"/>
                <w:sz w:val="14"/>
                <w:szCs w:val="14"/>
                <w:b w:val="1"/>
                <w:bCs w:val="1"/>
                <w:color w:val="auto"/>
              </w:rPr>
              <w:t>Revenues for the Three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92"/>
              </w:rPr>
              <w:t>Revenues for the Nine Months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7"/>
          </w:tcPr>
          <w:p>
            <w:pPr>
              <w:jc w:val="right"/>
              <w:ind w:right="940"/>
              <w:spacing w:after="0" w:line="149" w:lineRule="exact"/>
              <w:rPr>
                <w:sz w:val="20"/>
                <w:szCs w:val="20"/>
                <w:color w:val="auto"/>
              </w:rPr>
            </w:pPr>
            <w:r>
              <w:rPr>
                <w:rFonts w:ascii="Arial" w:cs="Arial" w:eastAsia="Arial" w:hAnsi="Arial"/>
                <w:sz w:val="14"/>
                <w:szCs w:val="14"/>
                <w:b w:val="1"/>
                <w:bCs w:val="1"/>
                <w:color w:val="auto"/>
              </w:rPr>
              <w:t>Months Ended</w:t>
            </w:r>
          </w:p>
        </w:tc>
        <w:tc>
          <w:tcPr>
            <w:tcW w:w="140" w:type="dxa"/>
            <w:vAlign w:val="bottom"/>
          </w:tcPr>
          <w:p>
            <w:pPr>
              <w:spacing w:after="0"/>
              <w:rPr>
                <w:sz w:val="12"/>
                <w:szCs w:val="12"/>
                <w:color w:val="auto"/>
              </w:rPr>
            </w:pPr>
          </w:p>
        </w:tc>
        <w:tc>
          <w:tcPr>
            <w:tcW w:w="1640" w:type="dxa"/>
            <w:vAlign w:val="bottom"/>
            <w:gridSpan w:val="3"/>
            <w:vMerge w:val="restart"/>
          </w:tcPr>
          <w:p>
            <w:pPr>
              <w:jc w:val="right"/>
              <w:ind w:right="97"/>
              <w:spacing w:after="0"/>
              <w:rPr>
                <w:sz w:val="20"/>
                <w:szCs w:val="20"/>
                <w:color w:val="auto"/>
              </w:rPr>
            </w:pPr>
            <w:r>
              <w:rPr>
                <w:rFonts w:ascii="Arial" w:cs="Arial" w:eastAsia="Arial" w:hAnsi="Arial"/>
                <w:sz w:val="14"/>
                <w:szCs w:val="14"/>
                <w:b w:val="1"/>
                <w:bCs w:val="1"/>
                <w:color w:val="auto"/>
                <w:w w:val="92"/>
              </w:rPr>
              <w:t>Year-over-Year Change</w:t>
            </w:r>
          </w:p>
        </w:tc>
        <w:tc>
          <w:tcPr>
            <w:tcW w:w="340" w:type="dxa"/>
            <w:vAlign w:val="bottom"/>
            <w:vMerge w:val="restart"/>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vMerge w:val="restart"/>
          </w:tcPr>
          <w:p>
            <w:pPr>
              <w:jc w:val="right"/>
              <w:ind w:right="57"/>
              <w:spacing w:after="0"/>
              <w:rPr>
                <w:sz w:val="20"/>
                <w:szCs w:val="20"/>
                <w:color w:val="auto"/>
              </w:rPr>
            </w:pPr>
            <w:r>
              <w:rPr>
                <w:rFonts w:ascii="Arial" w:cs="Arial" w:eastAsia="Arial" w:hAnsi="Arial"/>
                <w:sz w:val="14"/>
                <w:szCs w:val="14"/>
                <w:b w:val="1"/>
                <w:bCs w:val="1"/>
                <w:color w:val="auto"/>
                <w:w w:val="98"/>
              </w:rPr>
              <w:t>Year-over-Year Change</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Ended September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2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2006</w:t>
            </w:r>
          </w:p>
        </w:tc>
        <w:tc>
          <w:tcPr>
            <w:tcW w:w="460" w:type="dxa"/>
            <w:vAlign w:val="bottom"/>
          </w:tcPr>
          <w:p>
            <w:pPr>
              <w:spacing w:after="0"/>
              <w:rPr>
                <w:sz w:val="10"/>
                <w:szCs w:val="10"/>
                <w:color w:val="auto"/>
              </w:rPr>
            </w:pPr>
          </w:p>
        </w:tc>
        <w:tc>
          <w:tcPr>
            <w:tcW w:w="1140" w:type="dxa"/>
            <w:vAlign w:val="bottom"/>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rPr>
              <w:t>Increase</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340" w:type="dxa"/>
            <w:vAlign w:val="bottom"/>
          </w:tcPr>
          <w:p>
            <w:pPr>
              <w:spacing w:after="0"/>
              <w:rPr>
                <w:sz w:val="10"/>
                <w:szCs w:val="10"/>
                <w:color w:val="auto"/>
              </w:rPr>
            </w:pPr>
          </w:p>
        </w:tc>
        <w:tc>
          <w:tcPr>
            <w:tcW w:w="860" w:type="dxa"/>
            <w:vAlign w:val="bottom"/>
            <w:gridSpan w:val="2"/>
            <w:vMerge w:val="restart"/>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4"/>
              </w:rPr>
              <w:t>Increase</w:t>
            </w: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w:t>
            </w:r>
          </w:p>
        </w:tc>
        <w:tc>
          <w:tcPr>
            <w:tcW w:w="8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2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48,113</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40,539</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$ 135,844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116,166</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19,678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Prepaid Processing</w:t>
            </w:r>
          </w:p>
        </w:tc>
        <w:tc>
          <w:tcPr>
            <w:tcW w:w="1080" w:type="dxa"/>
            <w:vAlign w:val="bottom"/>
            <w:gridSpan w:val="6"/>
          </w:tcPr>
          <w:p>
            <w:pPr>
              <w:jc w:val="right"/>
              <w:ind w:right="60"/>
              <w:spacing w:after="0"/>
              <w:rPr>
                <w:sz w:val="20"/>
                <w:szCs w:val="20"/>
                <w:color w:val="auto"/>
              </w:rPr>
            </w:pPr>
            <w:r>
              <w:rPr>
                <w:rFonts w:ascii="Arial" w:cs="Arial" w:eastAsia="Arial" w:hAnsi="Arial"/>
                <w:sz w:val="18"/>
                <w:szCs w:val="18"/>
                <w:color w:val="auto"/>
              </w:rPr>
              <w:t>144,631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120,240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24,391</w:t>
            </w:r>
          </w:p>
        </w:tc>
        <w:tc>
          <w:tcPr>
            <w:tcW w:w="4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414,442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343,957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70,485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2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53,573</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52,699</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6030%</w:t>
            </w:r>
          </w:p>
        </w:tc>
        <w:tc>
          <w:tcPr>
            <w:tcW w:w="1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103,581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26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101,278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$ 246,317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$ 161,653</w:t>
            </w:r>
          </w:p>
        </w:tc>
        <w:tc>
          <w:tcPr>
            <w:tcW w:w="4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$ 84,664</w:t>
            </w:r>
          </w:p>
        </w:tc>
        <w:tc>
          <w:tcPr>
            <w:tcW w:w="4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$ 653,867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462,426</w:t>
            </w:r>
          </w:p>
        </w:tc>
        <w:tc>
          <w:tcPr>
            <w:tcW w:w="260" w:type="dxa"/>
            <w:vAlign w:val="bottom"/>
          </w:tcPr>
          <w:p>
            <w:pPr>
              <w:spacing w:after="0"/>
              <w:rPr>
                <w:sz w:val="24"/>
                <w:szCs w:val="24"/>
                <w:color w:val="auto"/>
              </w:rPr>
            </w:pPr>
          </w:p>
        </w:tc>
        <w:tc>
          <w:tcPr>
            <w:tcW w:w="1360" w:type="dxa"/>
            <w:vAlign w:val="bottom"/>
            <w:gridSpan w:val="4"/>
          </w:tcPr>
          <w:p>
            <w:pPr>
              <w:jc w:val="right"/>
              <w:ind w:right="440"/>
              <w:spacing w:after="0"/>
              <w:rPr>
                <w:sz w:val="20"/>
                <w:szCs w:val="20"/>
                <w:color w:val="auto"/>
              </w:rPr>
            </w:pPr>
            <w:r>
              <w:rPr>
                <w:rFonts w:ascii="Arial" w:cs="Arial" w:eastAsia="Arial" w:hAnsi="Arial"/>
                <w:sz w:val="18"/>
                <w:szCs w:val="18"/>
                <w:color w:val="auto"/>
              </w:rPr>
              <w:t>$ 191,441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7"/>
          </w:tcPr>
          <w:p>
            <w:pPr>
              <w:ind w:left="100"/>
              <w:spacing w:after="0"/>
              <w:rPr>
                <w:sz w:val="20"/>
                <w:szCs w:val="20"/>
                <w:color w:val="auto"/>
              </w:rPr>
            </w:pPr>
            <w:r>
              <w:rPr>
                <w:rFonts w:ascii="Arial" w:cs="Arial" w:eastAsia="Arial" w:hAnsi="Arial"/>
                <w:sz w:val="14"/>
                <w:szCs w:val="14"/>
                <w:b w:val="1"/>
                <w:bCs w:val="1"/>
                <w:color w:val="auto"/>
              </w:rPr>
              <w:t>Operating Income for the</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Operating Income for the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7"/>
          </w:tcPr>
          <w:p>
            <w:pPr>
              <w:jc w:val="right"/>
              <w:ind w:right="680"/>
              <w:spacing w:after="0" w:line="149"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2"/>
                <w:szCs w:val="12"/>
                <w:color w:val="auto"/>
              </w:rPr>
            </w:pPr>
          </w:p>
        </w:tc>
        <w:tc>
          <w:tcPr>
            <w:tcW w:w="19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4"/>
              </w:rPr>
              <w:t>Year-over-Year Change</w:t>
            </w:r>
          </w:p>
        </w:tc>
        <w:tc>
          <w:tcPr>
            <w:tcW w:w="180" w:type="dxa"/>
            <w:vAlign w:val="bottom"/>
          </w:tcPr>
          <w:p>
            <w:pPr>
              <w:spacing w:after="0"/>
              <w:rPr>
                <w:sz w:val="12"/>
                <w:szCs w:val="12"/>
                <w:color w:val="auto"/>
              </w:rPr>
            </w:pPr>
          </w:p>
        </w:tc>
        <w:tc>
          <w:tcPr>
            <w:tcW w:w="20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20" w:type="dxa"/>
            <w:vAlign w:val="bottom"/>
            <w:gridSpan w:val="5"/>
            <w:vMerge w:val="restart"/>
          </w:tcPr>
          <w:p>
            <w:pPr>
              <w:jc w:val="right"/>
              <w:ind w:right="6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(Decrease)</w:t>
            </w:r>
          </w:p>
        </w:tc>
        <w:tc>
          <w:tcPr>
            <w:tcW w:w="860" w:type="dxa"/>
            <w:vAlign w:val="bottom"/>
            <w:gridSpan w:val="2"/>
            <w:vMerge w:val="restart"/>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71"/>
        </w:trPr>
        <w:tc>
          <w:tcPr>
            <w:tcW w:w="22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Percent</w:t>
            </w:r>
          </w:p>
        </w:tc>
        <w:tc>
          <w:tcPr>
            <w:tcW w:w="8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$ 10,231</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9,140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$ 26,416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25,830</w:t>
            </w:r>
          </w:p>
        </w:tc>
        <w:tc>
          <w:tcPr>
            <w:tcW w:w="26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Prepaid Processing</w:t>
            </w:r>
          </w:p>
        </w:tc>
        <w:tc>
          <w:tcPr>
            <w:tcW w:w="1100" w:type="dxa"/>
            <w:vAlign w:val="bottom"/>
            <w:gridSpan w:val="7"/>
          </w:tcPr>
          <w:p>
            <w:pPr>
              <w:jc w:val="right"/>
              <w:ind w:right="20"/>
              <w:spacing w:after="0"/>
              <w:rPr>
                <w:sz w:val="20"/>
                <w:szCs w:val="20"/>
                <w:color w:val="auto"/>
              </w:rPr>
            </w:pPr>
            <w:r>
              <w:rPr>
                <w:rFonts w:ascii="Arial" w:cs="Arial" w:eastAsia="Arial" w:hAnsi="Arial"/>
                <w:sz w:val="18"/>
                <w:szCs w:val="18"/>
                <w:color w:val="auto"/>
              </w:rPr>
              <w:t>10,403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9,561</w:t>
            </w: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842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29,619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27,640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1,979</w:t>
            </w:r>
          </w:p>
        </w:tc>
        <w:tc>
          <w:tcPr>
            <w:tcW w:w="5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11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3,410</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(2,017)</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24,044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17,863</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6,181</w:t>
            </w:r>
          </w:p>
        </w:tc>
        <w:tc>
          <w:tcPr>
            <w:tcW w:w="4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59,958</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51,453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8,505</w:t>
            </w:r>
          </w:p>
        </w:tc>
        <w:tc>
          <w:tcPr>
            <w:tcW w:w="5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420" w:type="dxa"/>
            <w:vAlign w:val="bottom"/>
            <w:gridSpan w:val="4"/>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(5,610)</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(4,857)</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(13,837)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(14,052)</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00" w:type="dxa"/>
            <w:vAlign w:val="bottom"/>
          </w:tcPr>
          <w:p>
            <w:pPr>
              <w:ind w:left="400"/>
              <w:spacing w:after="0"/>
              <w:rPr>
                <w:sz w:val="20"/>
                <w:szCs w:val="20"/>
                <w:color w:val="auto"/>
              </w:rPr>
            </w:pPr>
            <w:r>
              <w:rPr>
                <w:rFonts w:ascii="Arial" w:cs="Arial" w:eastAsia="Arial" w:hAnsi="Arial"/>
                <w:sz w:val="18"/>
                <w:szCs w:val="18"/>
                <w:color w:val="auto"/>
              </w:rPr>
              <w:t>Total</w:t>
            </w:r>
          </w:p>
        </w:tc>
        <w:tc>
          <w:tcPr>
            <w:tcW w:w="1100" w:type="dxa"/>
            <w:vAlign w:val="bottom"/>
            <w:gridSpan w:val="7"/>
          </w:tcPr>
          <w:p>
            <w:pPr>
              <w:jc w:val="right"/>
              <w:ind w:right="20"/>
              <w:spacing w:after="0"/>
              <w:rPr>
                <w:sz w:val="20"/>
                <w:szCs w:val="20"/>
                <w:color w:val="auto"/>
              </w:rPr>
            </w:pPr>
            <w:r>
              <w:rPr>
                <w:rFonts w:ascii="Arial" w:cs="Arial" w:eastAsia="Arial" w:hAnsi="Arial"/>
                <w:sz w:val="18"/>
                <w:szCs w:val="18"/>
                <w:color w:val="auto"/>
              </w:rPr>
              <w:t>$ 18,434</w:t>
            </w:r>
          </w:p>
        </w:tc>
        <w:tc>
          <w:tcPr>
            <w:tcW w:w="420" w:type="dxa"/>
            <w:vAlign w:val="bottom"/>
          </w:tcPr>
          <w:p>
            <w:pPr>
              <w:spacing w:after="0"/>
              <w:rPr>
                <w:sz w:val="24"/>
                <w:szCs w:val="2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$ 13,006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5,428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$ 46,121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37,401</w:t>
            </w:r>
          </w:p>
        </w:tc>
        <w:tc>
          <w:tcPr>
            <w:tcW w:w="26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8,720</w:t>
            </w:r>
          </w:p>
        </w:tc>
        <w:tc>
          <w:tcPr>
            <w:tcW w:w="5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Amounts shown above for the three- and nine-month periods ended September 30, 2006 have been adjusted for the impact of the correction for an immaterial error related to foreign currency translation adjustments for goodwill and acquired intangible assets. See Note 1 — General to the unaudited consolidated financial statements for further discussion.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ind w:right="440"/>
        <w:spacing w:after="0" w:line="378" w:lineRule="auto"/>
        <w:rPr>
          <w:sz w:val="20"/>
          <w:szCs w:val="20"/>
          <w:color w:val="auto"/>
        </w:rPr>
      </w:pPr>
      <w:r>
        <w:rPr>
          <w:rFonts w:ascii="Arial" w:cs="Arial" w:eastAsia="Arial" w:hAnsi="Arial"/>
          <w:sz w:val="18"/>
          <w:szCs w:val="18"/>
          <w:b w:val="1"/>
          <w:bCs w:val="1"/>
          <w:color w:val="auto"/>
        </w:rPr>
        <w:t>COMPARISON OF OPERATING RESULTS FOR THE THREE- AND NINE-MONTH PERIODS ENDED SEPTEMBER 30, 2007 AND 2006 EFT PROCESSING SEGMENT</w:t>
      </w:r>
    </w:p>
    <w:p>
      <w:pPr>
        <w:ind w:right="44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2007 and 2006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Arial" w:cs="Arial" w:eastAsia="Arial" w:hAnsi="Arial"/>
                <w:sz w:val="14"/>
                <w:szCs w:val="14"/>
                <w:b w:val="1"/>
                <w:bCs w:val="1"/>
                <w:color w:val="auto"/>
              </w:rPr>
              <w:t>Results for the Three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4"/>
              </w:rPr>
              <w:t>Year-over-Year Change</w:t>
            </w:r>
          </w:p>
        </w:tc>
        <w:tc>
          <w:tcPr>
            <w:tcW w:w="100" w:type="dxa"/>
            <w:vAlign w:val="bottom"/>
          </w:tcPr>
          <w:p>
            <w:pPr>
              <w:spacing w:after="0"/>
              <w:rPr>
                <w:sz w:val="14"/>
                <w:szCs w:val="14"/>
                <w:color w:val="auto"/>
              </w:rPr>
            </w:pPr>
          </w:p>
        </w:tc>
        <w:tc>
          <w:tcPr>
            <w:tcW w:w="1960" w:type="dxa"/>
            <w:vAlign w:val="bottom"/>
            <w:gridSpan w:val="6"/>
          </w:tcPr>
          <w:p>
            <w:pPr>
              <w:ind w:left="200"/>
              <w:spacing w:after="0"/>
              <w:rPr>
                <w:sz w:val="20"/>
                <w:szCs w:val="20"/>
                <w:color w:val="auto"/>
              </w:rPr>
            </w:pPr>
            <w:r>
              <w:rPr>
                <w:rFonts w:ascii="Arial" w:cs="Arial" w:eastAsia="Arial" w:hAnsi="Arial"/>
                <w:sz w:val="14"/>
                <w:szCs w:val="14"/>
                <w:b w:val="1"/>
                <w:bCs w:val="1"/>
                <w:color w:val="auto"/>
              </w:rPr>
              <w:t>Results for the Nine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7"/>
          </w:tcPr>
          <w:p>
            <w:pPr>
              <w:spacing w:after="0"/>
              <w:rPr>
                <w:sz w:val="20"/>
                <w:szCs w:val="20"/>
                <w:color w:val="auto"/>
              </w:rPr>
            </w:pPr>
            <w:r>
              <w:rPr>
                <w:rFonts w:ascii="Arial" w:cs="Arial" w:eastAsia="Arial" w:hAnsi="Arial"/>
                <w:sz w:val="14"/>
                <w:szCs w:val="14"/>
                <w:b w:val="1"/>
                <w:bCs w:val="1"/>
                <w:color w:val="auto"/>
              </w:rPr>
              <w:t>Months Ended 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rPr>
              <w:t>Months Ended 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w:t>
            </w:r>
          </w:p>
        </w:tc>
        <w:tc>
          <w:tcPr>
            <w:tcW w:w="50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64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48,113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40,539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135,844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116,166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19,678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6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18,644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14,674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3,970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11,804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10,616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8,964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1,652</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30,427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3,784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ind w:left="40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3,791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12,733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10,649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2,084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37,882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109,428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19,092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62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9,140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1,091</w:t>
            </w:r>
          </w:p>
        </w:tc>
        <w:tc>
          <w:tcPr>
            <w:tcW w:w="4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26,416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25,830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586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 (in</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37.3</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ATMs as of September 30</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10,516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2,025</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1,945</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discussed previously, effective January 1, 2007, we began reporting and managing the operations of the EFT Processing Segment and the former Software Solutions Segment on a combined basis. Previously reported amounts have been adjusted to reflect these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revenues for the nine-months ended September 30, 2007 increased when compared to the nine-months ended September 30, 2006 primarily due to increases in the number of ATMs operated and, for owned ATMs, the number of transactions processed as well as the impact of foreign currency translations to the U.S. dollar. These increases were attributable to most of our operations, but primarily our operations in Poland, India and Greece and our software operations.</w:t>
      </w:r>
    </w:p>
    <w:p>
      <w:pPr>
        <w:spacing w:after="0" w:line="7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Partially offsetting these increases was a reduction in revenues associated with the extension of certain customer contracts for several years beyond their original terms. In exchange for these extensions, we paid or received up-front payments, and agreed on gradually declining fee structures. As prescribed by U.S. GAAP, revenue under these contracts is recognized based on proportional performance of services over the term of the contract, which generally results in “straight-line” (i.e., consistent value per period) revenue recognition of the contracts’ total cash flows, including any up-front payment. This straight-line revenue recognition results in revenue that is less than contractual invoices and cash receipts in the early periods of the agreement and revenue that is greater than the contractual invoices and cash receipts in the later years of the agreement. As a result of the revenue recognition under these contracts, amounts invoiced under the contracts exceeded the amount of revenue that we recognized by about $1.8 million for the nine-months ended September 30, 2007. We may decide to enter into similar arrangements with other EFT Processing Segment customers.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Average monthly revenues per ATM was $1,558 for the third quarter 2007 and $1,562 for the nine-months ended September 30, 2007 compared to $1,618 for the third quarter 2006 and $1,647 for the nine-months ended September 30, 2006. Revenues per transaction was $0.31 for both the third quarter 2007 and nine-months ended September 30, 2007 compared to $0.34 for the third quarter 2006 and $0.35 for the nine-months ended September 30, 2006. The decrease in revenues per ATM and revenues per transaction was due to the addition of ATMs where related revenue has not yet developed to mature levels, the impact of the contract extensions discussed above and the addition of ATMs in India where revenues per ATM have been historically lower than Central and Eastern Europe generally due to lower labor costs.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Direct operating costs consist primarily of site rental fees, cash delivery costs, cash supply costs, maintenance, insurance, telecommunications and the cost of data center operations-related personnel, as well as the cost of facilities for our processing centers and other processing center related expenses. The increase in direct operating cost for the nine-months ended September 30, 2007 compared to the nine-months ended September 30, 2006 is attributed to the increase in the number of ATMs under operation, the number of transactions processed and foreign currency translations to the U.S. dollar.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margin, which is calculated as revenues less direct operating costs, increased to $29.5 million for the third quarter 2007 and $82.5 million for the nine-months ended September 30, 2007 from $25.9 million for the third quarter 2006 and $74.6 million for the nine-months ended September 30, 2006. Gross margin as a percentage of revenues was 61% for the nine-months ended September 30, 2007 compared to 64% for the nine-months ended September 30, 2006. The decrease in gross margin as a percentage of revenues is due to the impact of accounting for certain contract renewals and other fluctuations in revenues discussed above, as well as the increased contributions of our subsidiary in India, which has historically earned a lower gross margin than our other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increase in salaries and benefits for the nine-months ended September 30, 2007 compared to the nine-months ended September 30, 2006 was due to staffing costs to expand in emerging markets, such as India, China and new European markets, and additional products, such as POS, card processing and cross-border merchant processing and acquiring. Salaries and benefits also increased as a result of general merit increases awarded to employees and certain additional staffing requirements due to the larger number of ATMs under operation and transactions processed. As a percentage of revenue, however, these costs remained relatively flat at 22% of revenues for the nine-months ended September 30, 2007 compared to 23% for the nine-months ended September 30,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increase in selling, general and administrative expenses for the nine-months ended September 30, 2007, compared to the nine-months ended September 30, 2006, is primarily due to the $1.2 million loss recorded in the first quarter 2007 under an arbitral award granted by a tribunal in Budapest, Hungary arising from a claim by a former cash supply contractor in Central Europe. The cash supply contractor claimed it provided us with cash during the fourth quarter 1999 and first quarter 2000 that was not returned. Excluding this loss, as a percentage of revenues, these costs decreased slightly to 9% of revenues for the nine-months ended September 30, 2007 from 10% of revenues for the nine-months ended September 30,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depreciation and amortization expense for the nine-months ended September 30, 2007 compared to the nine-months ended September 30, 2006 is due primarily to additional equipment and software for the expansion of our Hungarian processing center incurred during 2006, additional ATMs in Poland and India and additional software amortization recorded by our Essentis software product. As a percentage of revenue, these expenses remained flat at 9% of revenues for both the nine-months ended September 30, 2007 and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Operating income increased slightly for the nine-months ended September 30, 2007 compared to the nine-months ended September 30, 2006. This increase includes the arbitration loss described under selling, general and administrative expenses above. Excluding the arbitration loss: the increase in operating income for the segment is generally the result of increased revenues and gross margin described above, combined with leveraging certain management cost structures; and operating income as a percentage of revenues was 20% for the nine-months ended September 30, 2007 compared to 22% for the nine-months ended September 30, 2006 and $0.06 per transaction for the nine-months ended September 30, 2007 compared to $0.08 per transaction for the nine-months ended September 30, 2006. Also excluding the arbitration loss, average monthly operating income per ATM was $318 for the nine-months ended September 30, 2007 compared to $366 for the nine-months ended September 30, 2006. The decreases in operating income as a percentage of revenue, operating income per transaction and average monthly operating income per ATM were generally the result of the decreases in gross margin, revenues per ATM and revenues per transaction described above.</w:t>
      </w:r>
    </w:p>
    <w:p>
      <w:pPr>
        <w:spacing w:after="0" w:line="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nine-months ended September 30, 2007 and 2006, operating income includes $0.9 million and $1.0 million, respectively, in losses associated with expanding operations for the Company’s 75% owned joint venture in China. As of September 30, 2007, we have deployed and are providing all of the day-to-day outsourcing services for over 100 ATMs. Under current agreements, we expect that the total number of ATMs in China deployed and for which we will be providing day-to-day outsourcing services will increase to over 800 during the next 12 to 18 months.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of September 30, 2007, we had a software contract backlog of approximately $7.0 million compared to approximately $10.3 million as of September 30, 2006. Such backlog represents software sales based on signed contracts under which we continue to have performance milestones before the sale will be completed. We recognize revenue on a percentage of completion method, based on certain milestone conditions, for our software solutions. As a result, we have not recognized all the revenues associated with these sales contracts. We cannot give assurances that the milestones under the contracts will be completed or that we will be able to recognize the related revenue within the next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2007 and 2006 for our Prepaid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Results for the Three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Results for the Nine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Months Ended September</w:t>
            </w:r>
          </w:p>
        </w:tc>
        <w:tc>
          <w:tcPr>
            <w:tcW w:w="100" w:type="dxa"/>
            <w:vAlign w:val="bottom"/>
          </w:tcPr>
          <w:p>
            <w:pPr>
              <w:spacing w:after="0"/>
              <w:rPr>
                <w:sz w:val="12"/>
                <w:szCs w:val="12"/>
                <w:color w:val="auto"/>
              </w:rPr>
            </w:pPr>
          </w:p>
        </w:tc>
        <w:tc>
          <w:tcPr>
            <w:tcW w:w="202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6"/>
              </w:rPr>
              <w:t>Year-over-Year Change</w:t>
            </w:r>
          </w:p>
        </w:tc>
        <w:tc>
          <w:tcPr>
            <w:tcW w:w="140" w:type="dxa"/>
            <w:vAlign w:val="bottom"/>
          </w:tcPr>
          <w:p>
            <w:pPr>
              <w:spacing w:after="0"/>
              <w:rPr>
                <w:sz w:val="12"/>
                <w:szCs w:val="12"/>
                <w:color w:val="auto"/>
              </w:rPr>
            </w:pPr>
          </w:p>
        </w:tc>
        <w:tc>
          <w:tcPr>
            <w:tcW w:w="206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Months Ended September</w:t>
            </w:r>
          </w:p>
        </w:tc>
        <w:tc>
          <w:tcPr>
            <w:tcW w:w="140" w:type="dxa"/>
            <w:vAlign w:val="bottom"/>
          </w:tcPr>
          <w:p>
            <w:pPr>
              <w:spacing w:after="0"/>
              <w:rPr>
                <w:sz w:val="12"/>
                <w:szCs w:val="12"/>
                <w:color w:val="auto"/>
              </w:rPr>
            </w:pPr>
          </w:p>
        </w:tc>
        <w:tc>
          <w:tcPr>
            <w:tcW w:w="20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2"/>
              </w:rPr>
              <w:t>30,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8"/>
              </w:rPr>
              <w:t>Increase</w:t>
            </w:r>
          </w:p>
        </w:tc>
        <w:tc>
          <w:tcPr>
            <w:tcW w:w="780" w:type="dxa"/>
            <w:vAlign w:val="bottom"/>
            <w:tcBorders>
              <w:top w:val="single" w:sz="8" w:color="auto"/>
            </w:tcBorders>
          </w:tcPr>
          <w:p>
            <w:pPr>
              <w:jc w:val="right"/>
              <w:ind w:right="54"/>
              <w:spacing w:after="0" w:line="119" w:lineRule="exact"/>
              <w:rPr>
                <w:sz w:val="20"/>
                <w:szCs w:val="20"/>
                <w:color w:val="auto"/>
              </w:rPr>
            </w:pPr>
            <w:r>
              <w:rPr>
                <w:rFonts w:ascii="Arial" w:cs="Arial" w:eastAsia="Arial" w:hAnsi="Arial"/>
                <w:sz w:val="13"/>
                <w:szCs w:val="13"/>
                <w:b w:val="1"/>
                <w:bCs w:val="1"/>
                <w:color w:val="auto"/>
              </w:rPr>
              <w:t>Increase</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40" w:type="dxa"/>
            <w:vAlign w:val="bottom"/>
            <w:tcBorders>
              <w:top w:val="single" w:sz="8" w:color="auto"/>
            </w:tcBorders>
          </w:tcPr>
          <w:p>
            <w:pPr>
              <w:jc w:val="right"/>
              <w:ind w:right="74"/>
              <w:spacing w:after="0" w:line="119" w:lineRule="exact"/>
              <w:rPr>
                <w:sz w:val="20"/>
                <w:szCs w:val="20"/>
                <w:color w:val="auto"/>
              </w:rPr>
            </w:pPr>
            <w:r>
              <w:rPr>
                <w:rFonts w:ascii="Arial" w:cs="Arial" w:eastAsia="Arial" w:hAnsi="Arial"/>
                <w:sz w:val="13"/>
                <w:szCs w:val="13"/>
                <w:b w:val="1"/>
                <w:bCs w:val="1"/>
                <w:color w:val="auto"/>
              </w:rPr>
              <w:t>Increase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144,631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120,240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24,391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414,442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9"/>
        </w:trPr>
        <w:tc>
          <w:tcPr>
            <w:tcW w:w="2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97,294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20,744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337,516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276,708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60,808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7,081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1,593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17,038</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3,448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14,845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671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11,976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10,523</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1,453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134,228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110,679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23,549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384,823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68,506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10,403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29,619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27,640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1,979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 (in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Effective in the second quarter 2007, as a result of the acquisition of RIA, the Company established the Money Transfer Segment. The Company’s previous money transfer business was relatively insignificant and was reported and managed as part of the Company’s Prepaid Processing Segment. We have adjusted previously reported amounts to reflect the reclassification of the money transfer business from the Prepaid Processing Segment to Money Transfer Segment for all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increase in revenues for the nine-months ended September 30, 2007 compared to the nine-months ended September 30, 2006 was generally attributable to: (i) the increase in total transactions processed across all of our Prepaid Processing Segment operations, (ii) the first quarter 2007 acquisitions of Omega Logic and Brodos Romania, and (iii) foreign currency translations to the U.S. dollar. The acquisitions of Omega Logic and Brodos Romania contributed revenues of $13.6 million for the third quarter 2007 and $32.3 million for the nine-months ended September 30, 2007. Revenue growth was partially offset by reduced revenues in Spain resulting from the second quarter 2006 expiration of a preferential commission arrangement with a Spanish mobile operator. Additionally, in certain more mature markets, such as the U.K., Australia,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developing markets or markets in which there is organic growth in the prepaid sector overall, (ii) from continued conversion from scratch cards to electronic top-up in less mature markets, (iii) from additional products sold over the base of prepaid processing terminals, and (iv) possibly, from acquisitions.</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per transaction decreased to $0.89 for the third quarter 2007 and $0.90 for the nine-months ended September 30, 2007 from $0.99 for the third quarter 2006 and $1.06 for the nine-months ended September 30, 2006 due primarily to the growth in revenues and transactions recorded by our ATX subsidiary, which is 51% Euronet-owned. In accordance with U.S. GAAP, ATX is consolidated and the amounts in our financial statements and in the table above reflect 100% of ATX. Results attributable to the 49% minority owner are reflected in the minority interest line of our consolidated statements of income and comprehensive income. ATX provides only transaction processing services without direct costs and other operating costs generally associated with installing and managing terminals; therefore, the revenue we recognize from these transactions is a fraction of that recognized on average transactions but with very low cost. Transaction volumes at ATX have increased by approximately 140% for the nine-months ended September 30, 2007 compared to the same period in 2006. The expiration of preferential commission arrangements in Spain discussed above also contributed to the decrease in revenues per transaction. Partially offsetting the decreases described above was the growth in both volumes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right="40"/>
        <w:spacing w:after="0" w:line="277" w:lineRule="auto"/>
        <w:rPr>
          <w:sz w:val="20"/>
          <w:szCs w:val="20"/>
          <w:color w:val="auto"/>
        </w:rPr>
      </w:pPr>
      <w:r>
        <w:rPr>
          <w:rFonts w:ascii="Arial" w:cs="Arial" w:eastAsia="Arial" w:hAnsi="Arial"/>
          <w:sz w:val="18"/>
          <w:szCs w:val="18"/>
          <w:color w:val="auto"/>
        </w:rPr>
        <w:t>and revenues in Australia and the U.S., which generally have higher revenues per transaction, but also pay higher commission rates to retailers, than our other Prepaid Processing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increase in direct operating costs is generally attributable to the increase in total transactions processed and foreign currency translations to the U.S. dollar compared to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Gross margin, which represents revenues less direct costs, was $26.6 million for the third quarter 2007 and $76.9 million for the nine-months ended September 30, 2007 compared to $22.9 million for the third quarter 2006 and $67.2 million for the nine-months ended September 30, 2006. Gross margin as a percentage of revenues was relatively flat at 19% for the nine-months ended September 30, 2007 compared to 20% for the nine-months ended September 30, 2006. Gross margin per transaction was $0.16 for the third quarter 2007 and $0.17 for the nine-months ended September 30, 2007 compared to $0.19 for the third quarter 2006 and $0.21 for the nine-months ended September 30, 2006. Most of the reduction in gross margin per transaction is due to the growth of revenues and transactions at our ATX subsidiary, the expiration of preferential commission arrangements in Spain discussed above and the general maturity of the prepaid mobile airtime business in many of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increase in salaries and benefits for the nine-months ended September 30, 2007 compared to the nine-months ended September 30, 2006 is primarily the result of the acquisitions of Brodos Romania and Omega Logic, as well as additional overhead to support development in other new and growing markets. As a percentage of revenue, salaries and benefits have decreased slightly to 4.9% for the nine-months ended September 30, 2007, from 5.0% for the same period in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increase in selling, general and administrative expenses for the nine-months ended September 30, 2007 compared to the nine-months ended September 30, 2006 is the result of the acquisitions of Brodos Romania and Omega Logic, as well as additional overhead to support development in other new and growing markets. As a percentage of revenues these selling, general and administrative expenses increased slightly to 3.6% for the nine-months ended September 30, 2007 from 3.5% for the nine-months ended September 30,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Depreciation and amortization expense primarily represents amortization of acquired intangibles and the depreciation of POS terminals we install in retail stores. The increase in depreciation and amortization for the nine-months ended September 30, 2007 compared to the nine-months ended September 30, 2006 was primarily due to the acquisitions of Brodos Romania and Omega Logic. As a percentage of revenues, depreciation and amortization decreased slightly to 2.9% for the nine-months ended September 30, 2007 from 3.1% for the nine-months ended September 30,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improvement in operating income for the nine-months ended September 30, 2007 compared to the nine-months ended September 30, 2006 was due to the significant growth in revenues and transactions processed and the benefit of foreign currency translations to the U.S. dollar, partially offset by the impact of the events in Spain discussed above and the costs of development in new and growing markets.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Operating income as a percentage of revenues was 7.2% for the third quarter 2007 and 7.1% for the nine-months ended September 30, 2007 compared to 8.0% for both the third quarter 2006 and the nine-months ended September 30, 2006. The decreases are primarily due the events in Spain and operating expenses incurred to support development in new and growing markets. Operating income per transaction was $0.06 for both the third quarter 2007 and nine-months ended September 30, 2007 compared to $0.08 for both the third quarter 2006 and nine-months ended September 30, 2006. The decrease in operating income per transaction is due to the events in Spain and the growth in revenues and transactions at our ATX subsidiary, partially offset by the benefit of foreign currency translations to the U.S. dollar.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Money Transfer Segment was established during April 2007 with the acquisition of RIA, which is more fully described in Note 4 — Acquisitions, to the unaudited consolidated financial statements included in this report. To assist in better understanding the results of the Money Transfer Segment, pro forma results have been provided as if RIA’s results were included in our consolidated results of operations beginning January 1, 2006. Because our results of operations for the three- and nine-month periods ended September 30, 2006 were insignificant, and fluctuations when compared to the three- and nine-month periods ended September 30, 2007 are nearly entirely due to the acquisition of RIA, the following discussion and analysis will focus on pro forma results of operations. The pro forma financial information is not intended to represent, or be indicative of, the consolidated results of operations or financial condition that would have been reported had the RIA acquisition been completed as of the beginning of the periods presented. Moreover, the pro forma financial information should not be considered as representative of our future consolidated results of operations or financial condition. The following tables present the actual and pro forma results of operations for the three- and nine-month periods ended September 30, 2007 and 2006 for the Money Transfer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Reported</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5"/>
          </w:tcPr>
          <w:p>
            <w:pPr>
              <w:jc w:val="right"/>
              <w:ind w:right="720"/>
              <w:spacing w:after="0" w:line="119" w:lineRule="exact"/>
              <w:rPr>
                <w:sz w:val="20"/>
                <w:szCs w:val="20"/>
                <w:color w:val="auto"/>
              </w:rPr>
            </w:pPr>
            <w:r>
              <w:rPr>
                <w:rFonts w:ascii="Arial" w:cs="Arial" w:eastAsia="Arial" w:hAnsi="Arial"/>
                <w:sz w:val="13"/>
                <w:szCs w:val="13"/>
                <w:b w:val="1"/>
                <w:bCs w:val="1"/>
                <w:color w:val="auto"/>
              </w:rPr>
              <w:t>Results for the Three</w:t>
            </w:r>
          </w:p>
        </w:tc>
        <w:tc>
          <w:tcPr>
            <w:tcW w:w="300" w:type="dxa"/>
            <w:vAlign w:val="bottom"/>
          </w:tcPr>
          <w:p>
            <w:pPr>
              <w:spacing w:after="0"/>
              <w:rPr>
                <w:sz w:val="10"/>
                <w:szCs w:val="10"/>
                <w:color w:val="auto"/>
              </w:rPr>
            </w:pPr>
          </w:p>
        </w:tc>
        <w:tc>
          <w:tcPr>
            <w:tcW w:w="112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Year-over-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760"/>
              <w:spacing w:after="0" w:line="119" w:lineRule="exact"/>
              <w:rPr>
                <w:sz w:val="20"/>
                <w:szCs w:val="20"/>
                <w:color w:val="auto"/>
              </w:rPr>
            </w:pPr>
            <w:r>
              <w:rPr>
                <w:rFonts w:ascii="Arial" w:cs="Arial" w:eastAsia="Arial" w:hAnsi="Arial"/>
                <w:sz w:val="13"/>
                <w:szCs w:val="13"/>
                <w:b w:val="1"/>
                <w:bCs w:val="1"/>
                <w:color w:val="auto"/>
              </w:rPr>
              <w:t>Results for the Nine</w:t>
            </w:r>
          </w:p>
        </w:tc>
        <w:tc>
          <w:tcPr>
            <w:tcW w:w="30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Year-over-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Months Ended September 30,</w:t>
            </w: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2"/>
              </w:rPr>
              <w:t>Months Ended September 30,</w:t>
            </w:r>
          </w:p>
        </w:tc>
        <w:tc>
          <w:tcPr>
            <w:tcW w:w="1200" w:type="dxa"/>
            <w:vAlign w:val="bottom"/>
            <w:gridSpan w:val="4"/>
          </w:tcPr>
          <w:p>
            <w:pPr>
              <w:jc w:val="center"/>
              <w:ind w:left="116"/>
              <w:spacing w:after="0"/>
              <w:rPr>
                <w:sz w:val="20"/>
                <w:szCs w:val="20"/>
                <w:color w:val="auto"/>
              </w:rPr>
            </w:pPr>
            <w:r>
              <w:rPr>
                <w:rFonts w:ascii="Arial" w:cs="Arial" w:eastAsia="Arial" w:hAnsi="Arial"/>
                <w:sz w:val="14"/>
                <w:szCs w:val="14"/>
                <w:b w:val="1"/>
                <w:bCs w:val="1"/>
                <w:color w:val="auto"/>
                <w:w w:val="93"/>
              </w:rPr>
              <w:t>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w w:val="98"/>
              </w:rPr>
              <w:t>Increase</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52,699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103,581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101,278</w:t>
            </w:r>
          </w:p>
        </w:tc>
        <w:tc>
          <w:tcPr>
            <w:tcW w:w="0" w:type="dxa"/>
            <w:vAlign w:val="bottom"/>
          </w:tcPr>
          <w:p>
            <w:pPr>
              <w:spacing w:after="0"/>
              <w:rPr>
                <w:sz w:val="1"/>
                <w:szCs w:val="1"/>
                <w:color w:val="auto"/>
              </w:rPr>
            </w:pPr>
          </w:p>
        </w:tc>
      </w:tr>
      <w:tr>
        <w:trPr>
          <w:trHeight w:val="439"/>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28,397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55,303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10,784</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10,153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21,207</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1,570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6,777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14,047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9,101</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99,658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1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3,410</w:t>
            </w: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4,248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3,923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(2,017)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(in millions)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w w:val="99"/>
              </w:rPr>
              <w:t>Pro Forma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gridSpan w:val="5"/>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Results for the Three</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5"/>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Results for the Nine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2040" w:type="dxa"/>
            <w:vAlign w:val="bottom"/>
            <w:gridSpan w:val="5"/>
            <w:vMerge w:val="restart"/>
          </w:tcPr>
          <w:p>
            <w:pPr>
              <w:jc w:val="center"/>
              <w:ind w:right="448"/>
              <w:spacing w:after="0"/>
              <w:rPr>
                <w:sz w:val="20"/>
                <w:szCs w:val="20"/>
                <w:color w:val="auto"/>
              </w:rPr>
            </w:pPr>
            <w:r>
              <w:rPr>
                <w:rFonts w:ascii="Arial" w:cs="Arial" w:eastAsia="Arial" w:hAnsi="Arial"/>
                <w:sz w:val="14"/>
                <w:szCs w:val="14"/>
                <w:b w:val="1"/>
                <w:bCs w:val="1"/>
                <w:color w:val="auto"/>
                <w:w w:val="92"/>
              </w:rPr>
              <w:t>Year-over-Year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360" w:type="dxa"/>
            <w:vAlign w:val="bottom"/>
          </w:tcPr>
          <w:p>
            <w:pPr>
              <w:spacing w:after="0"/>
              <w:rPr>
                <w:sz w:val="12"/>
                <w:szCs w:val="12"/>
                <w:color w:val="auto"/>
              </w:rPr>
            </w:pPr>
          </w:p>
        </w:tc>
        <w:tc>
          <w:tcPr>
            <w:tcW w:w="106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10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89"/>
              </w:rPr>
              <w:t>Percent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53,573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47,182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6,391</w:t>
            </w:r>
          </w:p>
        </w:tc>
        <w:tc>
          <w:tcPr>
            <w:tcW w:w="14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149,770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134,910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14,860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9"/>
        </w:trPr>
        <w:tc>
          <w:tcPr>
            <w:tcW w:w="2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28,397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24,889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3,508</w:t>
            </w:r>
          </w:p>
        </w:tc>
        <w:tc>
          <w:tcPr>
            <w:tcW w:w="14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80,097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10,784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9,202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1,582</w:t>
            </w:r>
          </w:p>
        </w:tc>
        <w:tc>
          <w:tcPr>
            <w:tcW w:w="1420" w:type="dxa"/>
            <w:vAlign w:val="bottom"/>
            <w:gridSpan w:val="3"/>
          </w:tcPr>
          <w:p>
            <w:pPr>
              <w:jc w:val="right"/>
              <w:ind w:right="168"/>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31,535</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27,004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4,531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6,777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14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20,049</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4,311</w:t>
            </w:r>
          </w:p>
        </w:tc>
        <w:tc>
          <w:tcPr>
            <w:tcW w:w="1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420" w:type="dxa"/>
            <w:vAlign w:val="bottom"/>
            <w:gridSpan w:val="3"/>
          </w:tcPr>
          <w:p>
            <w:pPr>
              <w:jc w:val="right"/>
              <w:ind w:right="108"/>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12,677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454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Total operating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50,163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44,930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5,233</w:t>
            </w:r>
          </w:p>
        </w:tc>
        <w:tc>
          <w:tcPr>
            <w:tcW w:w="14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144,812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131,237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13,575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2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3,410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2,252</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1,158</w:t>
            </w:r>
          </w:p>
        </w:tc>
        <w:tc>
          <w:tcPr>
            <w:tcW w:w="1420" w:type="dxa"/>
            <w:vAlign w:val="bottom"/>
            <w:gridSpan w:val="3"/>
          </w:tcPr>
          <w:p>
            <w:pPr>
              <w:jc w:val="right"/>
              <w:ind w:right="168"/>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4,958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3,673</w:t>
            </w:r>
          </w:p>
        </w:tc>
        <w:tc>
          <w:tcPr>
            <w:tcW w:w="2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1,285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26</w:t>
            </w: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Comparison of pro forma operating results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second quarter 2007, we combined our previous money transfer business with RIA and incurred total exit costs of $0.9 million. These costs represented the accelerated depreciation and amortization of property and equipment, software and leasehold improvements that were disposed of during the second quarter 2007; the write off of marketing materials and trademarks that have been discontinued or will not be used; the write off of accounts receivable from agents that did not meet RIA’s credit requirements; and severance and retention payments made to certain employees. These exit costs are not included in pro-forma operating expenses in the above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purchasing currency at wholesale exchange rates and selling the currency to customers at retail exchange rates. On a historical basis, about 75% of our Money Transfer Segment revenues are derived from transaction fees, about 25% is derived from the foreign currency spread and other small amounts of revenue are derived from sources such as fees for cashing checks, issuing money orders and processing bill payments. For the nine-months ended September 30, 2007, 74% of our money transfers were initiated in the U.S., 22% in Europe and 4% in other countries, such as Canada, Australia and the Dominican Republic. For the nine-months ended September 30, 2006, 80% of our money transfers were initiated in the U.S., 15% in Europe and 5% in other countries. We expect that the U.S. will continue to represent our highest volume market; however, significant future growth is expected to be derived from non-U.S. sources.</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increase in pro forma revenues for 2007 compared to 2006 is due to an increase in the number of transactions processed of 15% for the third quarter 2007 compared to the third quarter 2006 and an increase of 11% for the nine-months ended September 30, 2007 compared to the nine-months ended September 30, 2006. On a year-to-date basis, money transfers to Mexico, which represented approximately 40% of total money transfers, decreased by 1.6%, while transfers to all other countries increased 22% when compared to the prior year. The decline in transfers to Mexico was largely the result of immigration developments, downturns in certain labor markets and other economic factors impacting the U.S. market. These issues have also resulted in certain competitors lowering transaction fees and foreign currency exchange spreads in certain markets where we do business in an attempt to limit the impact on money transfer volumes. During the third quarter 2007, however, total money transfers to Mexico slightly exceeded total money transfers to Mexico during the third quarter 2006.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Direct operating costs generally increase or decrease by a similar percentage as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 forma gross margin, which represents revenues less direct costs, was $25.2 million for the third quarter 2007 and $69.7 million for the nine-months ended September 30, 2007 compared to $22.3 million for the third quarter 2006 and $62.9 million for the nine-months ended September 30, 2006. This improvement is primarily due to the growth in money transfer transactions discussed above. Pro forma gross margin as a percentage of revenues was 47% for both the nine-months ended September 30, 2007 and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Salaries and benefits include salaries and commissions paid to employees, the cost of providing employee benefits, amounts paid to contract workers and accruals for incentive compensation. Pro forma salaries and benefits expense for the nine-months ended September 30, 2007 increased as compared to the nine-months ended September 30, 2006 primarily due to overall Company growth. Pro forma salaries and benefits for 2006 also include costs associated with our previous money transfer business that generally have been eliminated from our cost structure beginning in the second quarter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Selling, general and administrative expenses include operations support costs, such as rent, utilities, professional fees, indirect telecommunications, advertising and other miscellaneous overhead costs. Pro forma selling, general and administrative expenses for the nine-months ended September 30, 2007 were relatively flat compared to the nine-months ended September 30, 2006. However, the prior year pro forma results include costs associated with our previous money transfer business, which generally have been eliminated from our cost structure beginning in the second quarter 2007. Excluding the impact of these costs, the increase in pro forma selling, general and administrative expenses for 2007 compared to 2006 is due primarily to overall Company growth.</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Depreciation and amortization primarily represents amortization of acquired intangibles and also includes depreciation of money transfer terminals, computers and software, leasehold improvements and office equipment. The increase in pro forma depreciation and amortization for the nine-months ended September 30, 2007 compared to the nine-months ended September 30, 2006 is primarily due to additional computer equipment in our customer service centers and increased leasehold improvements, office equipment and computer equipment for expansion.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increase in pro forma operating income for the nine-months ended September 30, 2007 compared to the nine-months ended September 30, 2006 is the result of increased pro forma revenues, without commensurate increases in pro forma operating expenses, as discussed in more detail in the sections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2007 and 2006 for Corporate Services: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2"/>
              </w:rPr>
              <w:t>Results for the Three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Results for the Nine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left="219"/>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vMerge w:val="restart"/>
          </w:tcPr>
          <w:p>
            <w:pPr>
              <w:jc w:val="right"/>
              <w:ind w:right="96"/>
              <w:spacing w:after="0"/>
              <w:rPr>
                <w:sz w:val="20"/>
                <w:szCs w:val="20"/>
                <w:color w:val="auto"/>
              </w:rPr>
            </w:pPr>
            <w:r>
              <w:rPr>
                <w:rFonts w:ascii="Arial" w:cs="Arial" w:eastAsia="Arial" w:hAnsi="Arial"/>
                <w:sz w:val="14"/>
                <w:szCs w:val="14"/>
                <w:b w:val="1"/>
                <w:bCs w:val="1"/>
                <w:color w:val="auto"/>
                <w:w w:val="94"/>
              </w:rPr>
              <w:t>Year-over-Year Change</w:t>
            </w:r>
          </w:p>
        </w:tc>
        <w:tc>
          <w:tcPr>
            <w:tcW w:w="3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19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Increase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3,593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10,913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1,252</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1,208</w:t>
            </w:r>
          </w:p>
        </w:tc>
        <w:tc>
          <w:tcPr>
            <w:tcW w:w="1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3,279</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284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4,857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4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13,837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decrease in salaries and benefits compensation for the nine-months ended September 30, 2007 compared to the nine-months ended September 30, 2006 was due primarily to lower incentive compensation accruals and the December 2006 resignation of our former President and Chief Operating Officer. The increase in selling, general and administrative expenses was mainly the result of higher professional fees and other expenses associated with acquisitions that were not completed. The increase in corporate depreciation and amortization is the result of amortization associated with the purchase of a Company-wide three-year Microsoft license.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2"/>
              </w:rPr>
              <w:t>Results for the Three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Results for the Nine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20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4"/>
              </w:rPr>
              <w:t>Year-over-Year Change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2"/>
                <w:szCs w:val="12"/>
                <w:color w:val="auto"/>
              </w:rPr>
            </w:pPr>
          </w:p>
        </w:tc>
        <w:tc>
          <w:tcPr>
            <w:tcW w:w="17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12,494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(7,474)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(3,802)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3,672</w:t>
            </w: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(18,837)</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(11,055)</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7,782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unconsolidated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Loss on early retirement of</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debt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(411)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net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4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10,302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5,420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other income</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(expense)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4,720</w:t>
            </w:r>
          </w:p>
        </w:tc>
        <w:tc>
          <w:tcPr>
            <w:tcW w:w="26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3,553</w:t>
            </w:r>
          </w:p>
        </w:tc>
        <w:tc>
          <w:tcPr>
            <w:tcW w:w="44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4,415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Interest income was $12.5 million for the nine-months ended September 30, 2007 compared to $9.8 million for the nine-months ended September 30, 2006. The increase in interest income for 2007 was primarily due to the $154.3 million of net proceeds from the private equity placement that was completed during March 2007 and cash generated from operations. We have also benefited from higher average interest rates during 2007 compared to 2006 due to the general rise in short-term interest rates as well as a shift of a portion of our investments from money market accounts to commercial paper.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expense was $18.8 million for the nine-months ended September 30, 2007 compared to $11.1 million for the nine-months ended September 30, 2006. The increase in interest expense is primarily related to the additional borrowings to finance the acquisition of RIA and borrowings under the revolving credit facility to finance the working capital requirements of RIA, which comprises our new Money Transfer Segment. The RIA acquisition was completed on April 4, 2007.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Income from unconsolidated affiliates increased for the nine-months ended September 30, 2007 compared to the nine-months ended September 30, 2006 because we recognized a gain of $0.4 million from the sale of our 8% ownership interest in CashNet Telecommunications Egypt SAE during the second quarter 2007. The remainder of income from unconsolidated affiliates represents the equity in income of our 40% equity investment in e-pay Malaysia.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Loss on early retirement of debt of $0.4 million for the nine-months ended September 30, 2007 represents the pro-rata write-off of deferred financing costs associated with the portion of the $190 million term loan that was prepaid during 2007. We expect to continue to prepay amounts outstanding under the term loan through available cash flows and, accordingly, recognizing losses on early retirement of debt for the pro-rata portion of unamortized deferred financing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re-measurement of assets and liabilities denominated in currencies other than the functional currency of each of our subsidiaries gives rise to foreign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currency exchange gains and losses that are recorded in determining net income. We recorded net foreign currency exchange gains of $10.3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 million during the nine-months ended September 30, 2007 and 2006, respectively. The increase for the nine-months ended September 30, 2007 compared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nine-months ended September 30, 2006 is generally due to the weakening of the U.S. dollar against many of the currencies of the countries in which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3"/>
              </w:rPr>
              <w:t>Results for the Three Months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Results for the Nine Months</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from continuing operations before income taxes and minority interest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23,154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14,173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50,536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22,555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13,930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48,985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15,451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10,712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15,921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10,331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33,534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30,684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22,555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13,930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48,985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41,396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Foreign exchange gain, net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8,561</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10,302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continuing operations before income taxes and foreign exchange</w:t>
            </w: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net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13,994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12,840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38,683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35,976</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 excluding foreign exchange gain, net</w:t>
            </w: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calculate our effective tax rate by dividing income tax expense by pre-tax book income including the effect of minority interest. Our effective tax rate was 31.5% for the nine-months ended September 30, 2007 compared to 25.9% for the nine-months ended September 30, 2006. We are in a net operating loss position for our U.S. operations and, accordingly, have valuation allowances to reserve for deferred tax assets that are not considered more likely than not of realization. Therefore, we do not currently recognize the tax benefit or expense associated with foreign currency gains or losses incurred by our U.S. operations. Excluding foreign currency exchange translation results from pre-tax income, our effective tax rate was 39.9% for the nine-months ended September 30, 2007 and 29.8% for the nine-months ended September 30, 2006.</w:t>
      </w:r>
    </w:p>
    <w:p>
      <w:pPr>
        <w:spacing w:after="0" w:line="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third quarter 2007, our U.S. operations recognized significant realized and unrealized foreign currency gains. The impact of these gains, as well as the reversal of $2.7 million of valuation allowances for tax-planning strategies, reduced our remaining valuation allowances related to our U.S. operations to $0.1 million as of September 30, 2007. Consequently, should our U.S. operations generate pre-tax income for financial reporting purposes, including income from the recognition of additional foreign currency gains, we would be required to recognize tax expense on such income. For income tax purposes, however, the Company has approximately $114 million in net operating losses as of September 30, 2007 that will offset future taxable income and result in little or no cash taxes paid in the U.S. until the net operating losses have been fully utilized.</w:t>
      </w:r>
    </w:p>
    <w:p>
      <w:pPr>
        <w:spacing w:after="0" w:line="7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increase in the effective tax rate for the three- and nine-months ended September 30, 2007 compared to the same periods in 2006, excluding foreign currency gains and losses, primarily relates to the acquisition of RIA, which operates in jurisdictions that have tax rates that are higher than our historical effective tax rate, and the recognition of significant deferred tax benefits for net operating losses in certain countries during 2006.</w:t>
      </w:r>
    </w:p>
    <w:p>
      <w:pPr>
        <w:spacing w:after="0" w:line="5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nine-months ended September 30, 2007, we recognized $3.7 million of non-cash deferred income tax expense related to the deduction of goodwill amortization expense for U.S. income tax purposes, a substantial portion of which relates to the acquisition of RIA. Goodwill arising from certain business combinations involving our U.S. operations is amortized for tax purposes over 15 years but not for financial reporting purposes. Accordingly, we are required to record deferred income tax expense and a deferred tax liability for the tax effect of the amortization expense deducted for U.S. tax purposes. Consistent with the associated goodwill, the deferred tax liability is deemed to have an indefinite life and will remain on the consolidated balance sheet unless there is an impairment of goodwill for financial reporting purposes or the related business entity is disposed. Because we have significant tax net operating losses in the U.S., SFAS No. 109, “Accounting for Income Taxes,” does not allow the deferred income tax expense and related deferred tax liability to be offset by the tax benefit generated from tax assets with definite lives when we have significant unrecognized tax net operating losses. Moreover, during the nine-months ended September 30, 2007, we reversed $2.7 million in valuation allowances on deferred tax assets related to U.S. Federal and state net operating losses. We concluded that it is more likely than not that the net deferred tax asset will be realized because we would employ tax-planning strategies to utilize our net operating losses prior to expiration in the event they were to expire.</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1" w:name="page32"/>
    <w:bookmarkEnd w:id="31"/>
    <w:p>
      <w:pPr>
        <w:ind w:right="580"/>
        <w:spacing w:after="0" w:line="277" w:lineRule="auto"/>
        <w:rPr>
          <w:sz w:val="20"/>
          <w:szCs w:val="20"/>
          <w:color w:val="auto"/>
        </w:rPr>
      </w:pPr>
      <w:r>
        <w:rPr>
          <w:rFonts w:ascii="Arial" w:cs="Arial" w:eastAsia="Arial" w:hAnsi="Arial"/>
          <w:sz w:val="18"/>
          <w:szCs w:val="18"/>
          <w:color w:val="auto"/>
        </w:rPr>
        <w:t>aware of new facts or other evidence that could alter our conclusions, the resulting impact to our estimates could have a material adverse effect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 There were no assets or liabilities held for sale at September 30, 2007 or December 31,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recorded net income of $33.9 million for the nine-months ended September 30, 2007 compared to $30.7 million for the nine-months ended September 30, 2006. As more fully discussed above, the increase of $3.2 million was primarily the result of an increase in operating income of $8.7 million, an increase in the net foreign currency exchange gain of $4.9 million, an increase in income from unconsolidated affiliates of $0.3 million and a gain from discontinued operations of $0.3 million. These increases were partially offset by an increase in net interest expense of $5.1 million, an increase in income tax expense of $4.7 million, a loss on early retirement of debt of $0.8 million and an increase in income attributable to minority interest of $0.8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2007, we had working capital, which is calculated as the difference between total current assets and total current liabilities, of $253.8 million, compared to working capital of $284.4 million as of December 31, 2006. Our ratio of current assets to current liabilities was 1.50 at September 30, 2007, compared to 1.70 as of December 31, 2006. The decrease in working capital and the reduction in the ratio of current assets to current liabilities were due primarily to the reduction in cash of approximately $168.3 million for the acquisition of RIA, mostly offset by the proceeds from the private equity offering that we completed during March 2007. As of September 30, 2007, the net proceeds from the offering remained unused and included in unrestricted cash.</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require substantial working capital to finance operations. RIA traditionally funds the correspondent distribution network before amounts are collected from agents. Working capital needs increase due to weekends and banking holidays. As a result, we may require more or less working capital for RIA based solely upon the fiscal period ending on a particular day. As of September 30, 2007, RIA’s working capital was $30.9 million. We expect that RIA’s working capital needs will increase as we expand this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flows provided by operating activities were $59.3 million for the nine-months ended September 30, 2007 compared to $50.6 million for the nine-months ended September 30, 2006. The increase was primarily due to increased profitability and the increase in depreciation and amortization expense, which is a non-cash expense and added back to net income to reconcile to net cash provided by operating activities. This increase was partially offset due to fluctuations in working capital associated with the timing of the settlement process with mobile operators in the Prepaid Processing Segment and other net working capital changes.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Cash flows used in investing activities were $403.1 million for nine-months ended September 30, 2007, compared to $20.3 million for the nine-months ended September 30, 2006. Our investing activities for the nine-months ended September 30, 2007 consisted of $352.6 million in cash paid related to acquisitions, primarily RIA. We placed $26 million in escrow in connection with the agreement to acquire Envios de Valores La Nacional Corp. (“La Nacional”). See further discussion under “Other trends and uncertainties — Agreement to acquire La Nacional” below. We also incurred $24.5 million for purchases of property and equipment, software development and other investing activities. Our investing activities for the nine-months ended September 30, 2006 include $2.3 million in cash paid for acquisitions and $18.0 million for purchases of property and equipment, software development and other investing activities.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Cash flows from financing activities were $269.3 million during the nine-months ended September 30, 2007 compared to $1.7 million during the nine-months ended September 30, 2006. Our financing activities for the nine-months ended September 30, 2007 consisted primarily of $190.0 million in proceeds from borrowings under our term loan agreement that were used to finance a portion of the acquisition of RIA and proceeds from the equity private placement and stock option exercises totaling $165.4 million. Partially offsetting these increases were net repayments and early retirements of debt obligations of</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$73.4 million, dividends paid to minority interest stockholders of $1.6 million and debt issuance costs associated with our new syndicated credit facility of $3.8 million.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nine-months ended September 30, 2007, we had a total of $639.1 million in borrowings and $687.5 million in repayments under our revolving credit facility. Our financing activities for the nine-months ended September 30, 2006 consisted primarily of proceeds from the exercise of stock options and employee share purchase of $12.5 million, partially offset by net repayments of short-term borrowings, payments on capital lease obligations and other financing activities totaling $10.8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In connection with completing the acquisition of RIA discussed under “Opportunities and Challenges” above, we entered into a</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$290 million secured credit facility consisting of a $190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outstanding balance each year, with the remaining balance payable after seven years. We estimate that we will be able to repay the $190 million term loan prior to its maturity date through cash flows available from operations, provided our operating cash flows are not required for future business developments. Financing costs of $4.8 million have been deferred and are being amortized over the terms of the respective loans.</w:t>
      </w:r>
    </w:p>
    <w:p>
      <w:pPr>
        <w:spacing w:after="0" w:line="8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$100 million five-year revolving credit facility replaced the previously existing revolving credit facility and bears interest at LIBOR or prime plus a margin that adjusts each quarter based upon our consolidated total debt to earnings before interest, taxes, depreciation and amortization (“EBITDA”) ratio. We intend to use the revolving credit facility primarily to fund working capital requirements, which are expected to increase as a result of our recent acquisitions. Based on our current projected working capital requirements, we anticipate that our revolving credit facility will be sufficient to fund our working capital needs.</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be required to repay our obligations under the Credit Facility six months before any potential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The Credit Facility contains three financial covenants that become more restrictive through September 30, 2008: (1) total debt to EBITDA ratio, (2) senior secured debt to EBITDA ratio and (3) EBITDA to fixed charge coverage ratio. Because of the change to these covenants over time, in order to remain in compliance with our debt covenants we will be required to increase our EBITDA, repay debt, or both. These and other material terms and conditions applicable to the Credit Facility are described in the agreement governing the Credit Facility.</w:t>
      </w:r>
    </w:p>
    <w:p>
      <w:pPr>
        <w:spacing w:after="0" w:line="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pro-forma debt covenant compliance.</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September 30, 2007, after making required repayments on the term loan of $1.0 million and voluntary prepayments of $24.0 million, we had borrowings of $165.0 million outstanding against the term loan. We had borrowings of $23.5 million and stand-by letters of credit of $35.5 million outstanding against the revolving credit facility. The remaining $41.0 million under the revolving credit facility ($66.0 million if the facility were increased to $125 million) was available for borrowing. Borrowings under the revolving credit facility are being used to fund short-term working capital requirements in the U.S. and India. Our weighted average interest rate under the revolving credit facility as of September 30, 2007 was 8.2%.</w:t>
      </w:r>
    </w:p>
    <w:p>
      <w:pPr>
        <w:spacing w:after="0" w:line="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consist primarily of the current portion of the term loan, credit lines, overdraft facilities and short-term loans to support ATM cash needs and supplement short-term working capital requirements. As of September 30, 2007, we had $5.5 million in short-term debt obligations, comprised of $3.6 million being used to fund short-term working capital requirements in the Czech Republic and Spain and $1.9 million for the 1% annual repayment under the term loan.</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advances until the underlying account receivable is ultimately collected. Where the risk of collection remains with Euronet, the receipt of cash continues to be carried on the consolidated balance sheet in each of trade accounts receivable and accrued expenses and other current liabilities. Amounts outstanding under these arrangements are generally $2 million or less.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jc w:val="both"/>
        <w:ind w:right="60"/>
        <w:spacing w:after="0" w:line="264" w:lineRule="auto"/>
        <w:rPr>
          <w:sz w:val="20"/>
          <w:szCs w:val="20"/>
          <w:color w:val="auto"/>
        </w:rPr>
      </w:pPr>
      <w:r>
        <w:rPr>
          <w:rFonts w:ascii="Arial" w:cs="Arial" w:eastAsia="Arial" w:hAnsi="Arial"/>
          <w:sz w:val="18"/>
          <w:szCs w:val="18"/>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We will pay contingent interest for the six-month period from October 15, 2012 through April 14, 2013 and for each six-month period thereafter from April 15 to October 14 or October 15 to April 14 if the average trading price of the debentures for the applicable five trading-day period preceding such applicable six-month interest period equals or exceeds 120% of the principal amount of the debentures. Contingent interest will equal 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w:t>
      </w:r>
    </w:p>
    <w:p>
      <w:pPr>
        <w:spacing w:after="0" w:line="7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also have $140 million in principal amount of 1.625% Convertible Senior Debentures Due 2024 that are convertible into 4.2 million shares of Euronet Common Stock at a conversion price of $33.63 per share upon the occurrence of certain events (relating to the closing prices of Euronet Common Stock exceeding certain thresholds for specified periods). We will pay contingent interest for the six-month period from December 20, 2009 through June 14, 2010 and for each six-month period thereafter from June 15 to December 14 or December 15 to June 14 if the average trading price of the debentures for the applicable five trading-day period preceding such applicable six-month interest period equals or exceeds 120% of the principal amount of the debentures. Contingent interest will equal 0.30% per annum of the average trading price of a debenture for such five trading-day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When due, these debentures can be settled in cash or Euronet Common Stock, at our option, at predetermined conversion rates.</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These terms and other material terms and conditions applicable to the convertible debentures are set forth in the indenture agreements governing these debentures.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Proceeds from issuance of shares and other capital contributions</w:t>
      </w:r>
      <w:r>
        <w:rPr>
          <w:rFonts w:ascii="Arial" w:cs="Arial" w:eastAsia="Arial" w:hAnsi="Arial"/>
          <w:sz w:val="18"/>
          <w:szCs w:val="18"/>
          <w:color w:val="auto"/>
        </w:rPr>
        <w:t xml:space="preserve"> - We have established, and shareholders have approved, share compensation plans that allow the Company to make grants of restricted stock, or options to purchase shares of Common Stock, to certain current and prospective key employees, directors and consultants. During the nine-months ended September 30, 2007, 283,884 stock options were exercised at an average exercise price of $15.68, resulting in proceeds to us of approximately $4.5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u w:val="single" w:color="auto"/>
          <w:color w:val="auto"/>
        </w:rPr>
        <w:t>Payment obligations related to acquisitions</w:t>
      </w:r>
      <w:r>
        <w:rPr>
          <w:rFonts w:ascii="Arial" w:cs="Arial" w:eastAsia="Arial" w:hAnsi="Arial"/>
          <w:sz w:val="16"/>
          <w:szCs w:val="16"/>
          <w:color w:val="auto"/>
        </w:rPr>
        <w:t xml:space="preserve"> - As partial consideration for the acquisition of RIA, we granted the sellers of RIA 3,685,098 contingent value rights (“CVRs”) and 3,685,098 stock appreciation rights (“SARs”). The 3,685,098 CVRs mature on October 1, 2008 and will result in the issuance of up to $20 million of additional shares of Euronet Common Stock or payment of additional cash, at our option, if the price of Euronet Common Stock is less than $32.56 on the maturity date. The 3,685,098 SARs entitle the sellers to acquire additional shares of Euronet Common Stock at an exercise price of $27.14 at any time through October 1, 2008. Combined, the CVRs and SARs entitle the sellers to additional consideration of at least $20 million in Euronet Common Stock or cash. The SARS also provide potential additional value to the sellers for situations in which Euronet Common Stock appreciates beyond $32.56 per share prior to October 1, 2008, which is to be settled through the issuance of additional shares of Euronet Common Stock. These and other terms and conditions applicable to the CVRs and SARs are set forth in the agreements governing these instruments.</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potential contingent obligations to the former owner of the net assets of Movilcarga. Based upon presently available information, we do not believe any additional payments will be required. The seller has disputed this conclusion and has initiated arbitration as provided for in the purchase agreement. A global public accounting firm has been engaged as an independent expert to review the results of the computation. Any additional payments, if ultimately determined to be owed the seller, will be recorded as additional goodwill and could be made in either cash of a combination of cash and Euronet Common Stock at our option.</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xml:space="preserve"> - We lease ATMs and other property and equipment under capital lease arrangements and as of September 30, 2007 we owed $17.8 million under these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4" w:name="page35"/>
    <w:bookmarkEnd w:id="34"/>
    <w:p>
      <w:pPr>
        <w:ind w:right="400"/>
        <w:spacing w:after="0" w:line="277" w:lineRule="auto"/>
        <w:rPr>
          <w:sz w:val="20"/>
          <w:szCs w:val="20"/>
          <w:color w:val="auto"/>
        </w:rPr>
      </w:pPr>
      <w:r>
        <w:rPr>
          <w:rFonts w:ascii="Arial" w:cs="Arial" w:eastAsia="Arial" w:hAnsi="Arial"/>
          <w:sz w:val="18"/>
          <w:szCs w:val="18"/>
          <w:color w:val="auto"/>
        </w:rPr>
        <w:t>event the bank or we were to terminate the related outsourcing agreement. We expect that, if terms were acceptable, we would acquire more ATMs from banks under such outsourcing and lease agreements.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nine-months ended September 30, 2007 were $27.0 million, of which $1.7 million were funded through capital leases. These capital expenditures were primarily for the purchase of ATMs to meet contractual requirements in Poland and India, the purchase and installation ATMs in key under-penetrated markets, the purchase of POS terminals for the Prepaid Processing and Money Transfer Segments, and office and data center computer equipment and software. We also incurred $3.0 million for a company-wide, three-year Microsoft license during the third quarter 2007. Included in capital expenditures for office and data center equipment and software for the nine-months ended September 30, 2007 is approximately $3.3 million in capital expenditures for the purchase and development of the necessary processing systems and capabilities to enter the cross-border merchant processing and acquiring business. Total capital expenditures for 2007 are estimated to be approximately $30 million to $35 million.</w:t>
      </w:r>
    </w:p>
    <w:p>
      <w:pPr>
        <w:spacing w:after="0" w:line="5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Prepaid Processing Segment, approximately 93,000 of the approximately 370,000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recently amended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 During 2005, a former cash supply contractor in Central Europe (the “Contractor”) claimed that we owed approximately $2.0 million for the provision of cash during the fourth quarter 1999 and first quarter 2000 that had not been returned. This claim was made after the Company terminated its business with the Contractor and established a cash supply agreement with another supplier. In the first quarter 2006, the Contractor initiated legal action in Budapest, Hungary regarding the claim. In April 2007, an arbitration tribunal awarded the Contractor $1.0 million, plus $0.2 million in interest, under the claim, which was recorded as selling, general and administrative expenses of the Company’s EFT Processing Segment during the first quarter 2007 and paid in the second quarter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the La Nacional matter described below, from time to time we are a party to litigation arising in the ordinary course of its business. Currently, there are no legal proceedings arising in the ordinary course of our business that management believes, either individually or in the aggregate, would have a material adverse effect upon our consolidated results of operations or financial condition.</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2006, the Internal Revenue Service announced that Internal Revenue Code Section 4251 (relating to telecommunications excise tax) will no longer apply to, among other services, prepaid mobile airtime such as the services offered by our Prepaid Processing Segment’s U.S. operations. Additionally, companies that paid this excise tax during the period beginning on March 1, 2003 and ending on July 31, 2006, are entitled to a credit or refund of amounts paid in conjunction with the filing of 2006 federal income tax returns. We have claimed a refund for amounts paid during this period and have been informed by the IRS that the refund is currently being examined.. Therefore, no amounts have been recorded for any potential recovery in the Consolidated Financial Statements, and no such amounts will be recorded until such time as the refund is considered “realizable” as stipulated under SFAS No. 5, “Accounting for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Agreement to acquire La Nacional</w:t>
      </w:r>
      <w:r>
        <w:rPr>
          <w:rFonts w:ascii="Arial" w:cs="Arial" w:eastAsia="Arial" w:hAnsi="Arial"/>
          <w:sz w:val="18"/>
          <w:szCs w:val="18"/>
          <w:color w:val="auto"/>
        </w:rPr>
        <w:t xml:space="preserve"> — During January 2007, we signed a stock purchase agreement to acquire La Nacional, subject to regulatory approvals and other customary closing conditions. In connection with this agreement, in January 2007 we deposited $26 million in an escrow account created for the proposed acquisition. The escrowed funds can only be released by mutual agreement of the Company and La Nacional or through legal remedies available in the agreement.</w:t>
      </w:r>
    </w:p>
    <w:p>
      <w:pPr>
        <w:spacing w:after="0" w:line="79"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On February 6, 2007, two employees of La Nacional working in different La Nacional stores were arrested for allegedly violating federal money laundering laws and certain state statutes. On April 5, 2007, we gave notice to the stockholders of La Nacional of the termination of the stock purchase agreement and requested the release of the $26 million held in escrow under the terms of the stock purchase agreement. La Nacional is contesting our request for release of the escrowed funds. While pursuing all legal remedies available to us, we are also engaged in negotiations to determine whether the dispute can be resolved through revised terms for the acquisition. We cannot predict when this dispute will be resolved or what the resolution may be.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 w:name="page36"/>
    <w:bookmarkEnd w:id="35"/>
    <w:p>
      <w:pPr>
        <w:ind w:right="60"/>
        <w:spacing w:after="0" w:line="290"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$3.3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expect to incur an additional $2.0 million to $2.5 million in capital expenditures associated with the development of the necessary systems and capabilities to enter this business that are expected to be funded through cash generated from operations or, if necessary, amounts available on our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regularly grant guarantees of the obligations of our wholly-owned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2007, other than the item listed below, there were no material changes from the disclosure in our Annual Report on Form 10-K for the year ended December 31, 2006. To date, we are not aware of any significant claims made by the indemnified parties or parties to whom we have provided guarantees on behalf of our subsidiaries and, accordingly, no liabilities have been recorded as of September 30, 2007.</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contracts with financial institutions that supply cash to ATMs in the EFT Processing Segment, the Company is responsible for the loss of network cash that, generally, is not recorded on the Company’s consolidated balance sheet, because the cash remains the property of the financial institutions while in the ATMs. As of September 30, 2007, the balance of ATM network cash for which the Company was responsible was $300 million. The Company maintains insurance policies to mitigate this exposure;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September 30,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4-5 years</w:t>
            </w:r>
          </w:p>
        </w:tc>
        <w:tc>
          <w:tcPr>
            <w:tcW w:w="110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rPr>
              <w:t>More than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Long-term debt obligations, less current maturities, including</w:t>
            </w:r>
          </w:p>
        </w:tc>
        <w:tc>
          <w:tcPr>
            <w:tcW w:w="5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$ 624,841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22,089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$ 186,176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43,427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373,149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7"/>
              </w:rPr>
              <w:t>Short-term debt obligations and current maturities of long-</w:t>
            </w: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term debt obligations, including interest</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5,924</w:t>
            </w:r>
          </w:p>
        </w:tc>
        <w:tc>
          <w:tcPr>
            <w:tcW w:w="14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5,924</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Estimated contingent acquisition obligations</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22,500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21,250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19,884</w:t>
            </w: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6,790</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9,743</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operating leases</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59,064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14,900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26,518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13,222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Vendor purchase obligations</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7,105</w:t>
            </w: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5,732</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$ 739,318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55,435</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$ 244,559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61,469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377,855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purposes of the above table, our $140 million convertible debentures issued in December 2004 are considered due during 2009, and our $175 million convertible debentures issued in October 2005 are considered due during 2012, representing the first years in which holders have the right to exercise their put option. Additionally, the above table only includes interest on these convertible debentures up to these dates.</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Estimated contingent acquisition obligations as of September 30, 2007 include: 1) $20 million in cash and/or Euronet Common Stock to be provided to the sellers of RIA upon the assumed settlement of the CVRs and SARs during October 2008; and 2) additional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right="280"/>
        <w:spacing w:after="0" w:line="264" w:lineRule="auto"/>
        <w:rPr>
          <w:sz w:val="20"/>
          <w:szCs w:val="20"/>
          <w:color w:val="auto"/>
        </w:rPr>
      </w:pPr>
      <w:r>
        <w:rPr>
          <w:rFonts w:ascii="Arial" w:cs="Arial" w:eastAsia="Arial" w:hAnsi="Arial"/>
          <w:sz w:val="18"/>
          <w:szCs w:val="18"/>
          <w:color w:val="auto"/>
        </w:rPr>
        <w:t>consideration to be settled in cash or Euronet Common Stock that we may have to pay during 2009 and 2010 in connection with the acquisition of Brodos, totaling up to $2.5 million. See Note 4 — Acquisitions to the unaudited consolidated financial statements included elsewhere in this report for a more complete description of these acquisitions.</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Purchase obligations include contractual amounts for ATM maintenance, cleaning, telecommunication and cash replenishment operating expenses. While contractual payments may be greater or less based on the number of ATMs and transaction levels, the purchase obligations listed above are estimated based on the current levels of such business activity.</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total liability for uncertain tax positions under FIN 48 was $3.5 million as of September 30, 2007. We are not able to reasonably estimate the amount by which the liability will increase or decrease over time; however, at this time, the Company does not expect a significant payment related to these obligations within the next year. See Note 14 — Income Taxes to the unaudited consolidated financial statements included elsewhere in this report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2005, the Financial Accounting Standards Board (“FASB”) issued an exposure draft that would amend SFAS No. 141, “Business Combinations.” During redeliberations, the FASB has reaffirmed certain decisions including, among other things: 1) measuring and recognizing contingent consideration at fair value as of the acquisition date and recording adjustments to liabilities as adjustments in earnings; 2) identifiable intangible assets acquired in a business combination should be measured at a current exchange value rather than at an entity-specific value; 3) the acquiring company should measure and recognize the acquiree’s identifiable assets and liabilities and goodwill in a step or partial acquisition at 100 percent of their acquisition date fair values; and 4) accounting for transaction related costs as expenses in the period incurred, rather than capitalizing these costs as a component of the respective purchase price. The FASB has not yet reaffirmed decisions on other items. The FASB expects to issue the final statement during the fourth quarter 2007, which will be effective for us beginning in 2009. If adopted, the changes described above, as well as other possible changes, would likely have a significant impact on the accounting treatment for acquisitions occurring on or after January 1, 2009.</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which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deferred financing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will be effective beginning in our first quarter 2008. We are currently determining whether fair value accounting is appropriate for any of our eligible items and cannot estimate the impact, if any, which SFAS 159 will have on our consolidated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140"/>
        <w:spacing w:after="0" w:line="259"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 Item 1A — Risk Factors of our Annual Report on Form 10-K for the year ended December 31, 2006 and Part II, Item 1A — Risk Factors of this report.</w:t>
      </w:r>
    </w:p>
    <w:p>
      <w:pPr>
        <w:spacing w:after="0" w:line="183"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Foreign currency exchange rate risk</w:t>
      </w:r>
    </w:p>
    <w:p>
      <w:pPr>
        <w:ind w:right="200"/>
        <w:spacing w:after="0" w:line="259" w:lineRule="auto"/>
        <w:rPr>
          <w:sz w:val="20"/>
          <w:szCs w:val="20"/>
          <w:color w:val="auto"/>
        </w:rPr>
      </w:pPr>
      <w:r>
        <w:rPr>
          <w:rFonts w:ascii="Arial" w:cs="Arial" w:eastAsia="Arial" w:hAnsi="Arial"/>
          <w:sz w:val="18"/>
          <w:szCs w:val="18"/>
          <w:color w:val="auto"/>
        </w:rPr>
        <w:t>For the nine-months ended September 30, 2007, 76% of our revenues were generated in non-U.S. dollar countries compared to 84% for the nine-months ended September 30, 2006. The decrease in revenues from non-U.S. dollar countries, compared to the prior year is due primarily to the second quarter 2007 acquisition of RIA, as well as increased revenues of our U.S.-based Prepaid Processing Segment operations. We expect to continue generating a significant portion of our revenues in countries with currencies other than the U.S. dollar.</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We estimate that, depending on the net foreign currency working capital position at a selected point in time, a 10% fluctuation in these foreign currency exchange rates would have the combined annualized effect on reported net income and working capital of up to approximately $15 million to $20 million. This effect is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have been positively impacted by the weakening of the U.S. dollar. Additionally, our debt obligations are primarily in U.S. dollars, therefore, as foreign currency exchange rates fluctuate, the amount available for repayment of debt will also increase or decrease.</w:t>
      </w:r>
    </w:p>
    <w:p>
      <w:pPr>
        <w:spacing w:after="0" w:line="7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September 30, 2007, we had foreign currency forward contracts outstanding with a notional value of $41.0 million, primarily in euros that were not designated as hedges and mature in a weighted average of 6 days. The fair value of these forward contracts as of September 30, 2007 was an unrealized loss of approximately $0.6 million, which was partially offset by the unrealized gain on the related foreign currency receivables.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completing the acquisition of RIA during the second quarter, we entered into a $290 million secured syndicated credit facility consisting of a $190 million seven-year term loan, which was fully drawn at closing, and a $100 million five-year revolving credit facility, which accrue interest at variable rates. This revolving credit facility replaces our $50 million revolving credit facility. The credit facility may be expanded by up to an additional $150 million in term loan and up to an additional $25 million for the revolving line of credit, subject to satisfaction of certain conditions including pro forma debt covenant compliance. This facility substantially increases our interest rate risk.</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2007, our total outstanding debt was $524.9 million. Of this amount, $315 million, or 60% of our total debt obligations, relates to contingent convertible debentures having fixed coupon rates. Our $175 million contingent convertible debentures, issued in October 2005, accrue interest at a rate of 3.50% per annum. The $140 million contingent convertible debentures, issued in December 2004 accrue interest at a rate of 1.625% per annum. Based on quoted market prices, as of September 30, 2007 the fair value of our fixed rate convertible debentures was $328.1 million, compared to a carrying value of $315 million.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Through the use of interest rate swap agreements covering the period from June 1, 2007 to May 29, 2009, $50.0 million of our variable rate term debt has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been effectively converted to a fixed rate of 7.3%. As of September 30, 2007, the unrealized loss on the interest rate swap agreements was less than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$0.6 million. Interest expense, including amortization of deferred debt issuance costs, for our total $365.0 million in fixed rate debt totals approximately</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$13.7 million per year, or a weighted average interest rate of 3.8% annually. Additionally, approximately $17.8 million, or 3% of our total debt obligations, relate to capitalized leases with fixed payment and interest terms that expire between 2007 and 2011.</w:t>
      </w:r>
    </w:p>
    <w:p>
      <w:pPr>
        <w:spacing w:after="0" w:line="7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remaining $142.1 million, or 27%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260"/>
        <w:spacing w:after="0" w:line="264" w:lineRule="auto"/>
        <w:rPr>
          <w:sz w:val="20"/>
          <w:szCs w:val="20"/>
          <w:color w:val="auto"/>
        </w:rPr>
      </w:pPr>
      <w:r>
        <w:rPr>
          <w:rFonts w:ascii="Arial" w:cs="Arial" w:eastAsia="Arial" w:hAnsi="Arial"/>
          <w:sz w:val="18"/>
          <w:szCs w:val="18"/>
          <w:color w:val="auto"/>
        </w:rPr>
        <w:t>additional interest expense to the Company of approximately $2.1 million. This computation excludes the $50.0 million relating to the interest rate swap discussed above and the potential $150.0 million in potential expanded term loan because of the limited circumstances under which the additional amounts would be available to us for borrowing.</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2007.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2007 that has materially affected, or is reasonably likely to materially affect, our internal control over financial reporting.</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discussion in Part I, Item 1. Financial Statements, Note 12 — Commitments, Litigation and Contingencies to the unaudited consolidated financial statements included elsewhere in this report, regarding litigation is incorporated herein by reference.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2006 as updated in our subsequent filings with the SEC, including this Quarterly Report on Form 10-Q,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w:t>
      </w:r>
    </w:p>
    <w:p>
      <w:pPr>
        <w:spacing w:after="0" w:line="46"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i w:val="1"/>
          <w:iCs w:val="1"/>
          <w:color w:val="auto"/>
        </w:rPr>
        <w:t>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2006, as filed with the SEC.</w:t>
      </w:r>
    </w:p>
    <w:p>
      <w:pPr>
        <w:spacing w:after="0" w:line="5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prepay our obligations under the $290 million secured syndicated credit facility.</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Prepayment in full of the obligations under the $290 million secured syndicated credit facility (the “Credit Facility”) may be required six months prior to any required repurchase date under our $140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Holders of the $140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80"/>
        <w:spacing w:after="0" w:line="264" w:lineRule="auto"/>
        <w:rPr>
          <w:sz w:val="20"/>
          <w:szCs w:val="20"/>
          <w:color w:val="auto"/>
        </w:rPr>
      </w:pPr>
      <w:r>
        <w:rPr>
          <w:rFonts w:ascii="Arial" w:cs="Arial" w:eastAsia="Arial" w:hAnsi="Arial"/>
          <w:sz w:val="18"/>
          <w:szCs w:val="18"/>
          <w:color w:val="auto"/>
        </w:rPr>
        <w:t>million 1.625% debentures have the option to require us to purchase their debentures at par on December 15, 2009, 2014 and 2019, and upon a change in control of the Company. Holders of the $175 million 3.50% debentures have the option to require us to purchase their debentures at par on October 15, 2012, 2015 and 2020, or upon a change in control of the Company.</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Facility contains three financial covenants that become more restrictive between now and September 30, 2008, including: (1) total debt to EBITDA ratio, (2) senior secured debt to EBITDA ratio and (3) EBITDA to fixed charge coverage ratio. Because these covenant thresholds will become more restrictive through September 30, 2008, to remain in compliance with our debt covenants we will be required to increase EBITDA, repay debt, or both. We cannot assure you that we will have sufficient assets, liquidity or EBITDA to meet or avoid these obligations, which could have an adverse impact on our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from operations.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interest rate swap agreements covering the period from June 1, 2007 through May 29, 2009 for a notional amount of $50 million that effectively converts a portion of our $190 million variable rate term loan to a fixed interest rate of 7.3% per annum. For the remaining outstanding balance of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from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network, our business may be adversely affected.</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money transfer based revenue is primarily generated through our agent network. Transaction volumes at existing agent locations may increase over time and new agents provide us with additional revenue. If agents decide to leave our network or if we are unable to sign new agents, our revenue and profit growth rates may be adversely affected. Our agents are also subject to a wide variety of laws and regulations that vary significantly, depending on the legal jurisdiction. Changes in these laws and regulations could adversely affect our ability to maintain our agent network or the cost of providing money transfer services. In addition, agents may generate fewer transactions or less revenue due to various factors, including increased competition. Because our agents are third parties that may sell products and provide services in addition to our money transfer services, our agents may encounter business difficulties unrelated to the provision of our services, which may cause the agents to reduce their number of locations or hours of operation, or cease doing business altogether.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6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w:t>
      </w:r>
    </w:p>
    <w:p>
      <w:pPr>
        <w:spacing w:after="0" w:line="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 found liable. We are insured against various risks, including theft and negligence, but such insurance coverage is subject to deductibles, exclusions and limitations that may leave us bearing some or all of any losses arising from security breaches.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right="140"/>
        <w:spacing w:after="0" w:line="259" w:lineRule="auto"/>
        <w:rPr>
          <w:sz w:val="20"/>
          <w:szCs w:val="20"/>
          <w:color w:val="auto"/>
        </w:rPr>
      </w:pPr>
      <w:r>
        <w:rPr>
          <w:rFonts w:ascii="Arial" w:cs="Arial" w:eastAsia="Arial" w:hAnsi="Arial"/>
          <w:sz w:val="18"/>
          <w:szCs w:val="18"/>
          <w:color w:val="auto"/>
        </w:rPr>
        <w:t>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5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money transfer and prepaid mobile airtime top-up businesses may be susceptible to fraud and/or credit risks occurring at the retailer and/or consumer level.</w:t>
      </w:r>
    </w:p>
    <w:p>
      <w:pPr>
        <w:spacing w:after="0" w:line="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our Prepaid Processing Segment, we contract with retailers that accept payment on our behalf, which we then transfer to a trust or other operating account for payment to mobile phone operators. In the event a retailer does not transfer to us payments that it receives for mobile airtime, we are responsible to the mobile phone operator for the cost of the airtime credited to the customer’s mobile phone. We can provide no assurance that retailer fraud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the consumers and in turn we collect from the agents the proceeds due us resulting from the money transfer transactions. Therefore, we have credit exposure to our agents. The failure of agents owing us significant amounts to remit funds to us or to repay such amounts could adversely affect our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recessionary economic environment or other outside factors could have a negative impact on mobile phone operators, retailers and our customers and could reduce the level of transactions, which could,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 In addition, a recessionary economic environment could reduce the level of transactions taking place on our networks, which will have a negative impact on our business.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Additionally, in the Money Transfer Segment, we experience increased transaction levels during the April through September timeframe coinciding with the increase in worker migration patterns. As a result of these seasonal variations, our quarterly operating results may fluctuate materially and could lead to volatility in the price of our shares.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58"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Our ability to continue complying with the requirements of OFAC, BSA, FINCEN, the PATRIOT Act and other regulations (both U.S. and foreign) is important to our success in achieving growth and an inability to do this could have an adverse impact on our revenues and earnings. Changes in U.S. and foreign government policies or enforcement toward immigration may have a negative affect on immigration in the U.S. and other countries, which could also have an adverse impact on our money transfer revenues.</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Future growth and profitability depend upon expansion within the markets in which we currently operate and the development of new markets for our money transfer services. Our expansion into new markets is dependent upon our ability to successfully integrate RIA into our existing operations, to apply our existing technology or to develop new applications to satisfy market demand. We may not have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ind w:right="380"/>
        <w:spacing w:after="0" w:line="277" w:lineRule="auto"/>
        <w:rPr>
          <w:sz w:val="20"/>
          <w:szCs w:val="20"/>
          <w:color w:val="auto"/>
        </w:rPr>
      </w:pPr>
      <w:r>
        <w:rPr>
          <w:rFonts w:ascii="Arial" w:cs="Arial" w:eastAsia="Arial" w:hAnsi="Arial"/>
          <w:sz w:val="18"/>
          <w:szCs w:val="18"/>
          <w:color w:val="auto"/>
        </w:rPr>
        <w:t>adequate financial and technological resources to expand our distribution channels and product applications to satisfy these demands, which may have an adverse impact on our ability to achieve expected growth in revenues and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8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methods or services, may affect the demand for other services in a dramatic way. The development of any new technology that reduces the need or demand for prepaid mobile phone time could materially and adversely affect our business.</w:t>
      </w:r>
    </w:p>
    <w:p>
      <w:pPr>
        <w:spacing w:after="0" w:line="6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Budapest, Belgrade, Athens, Beijing and Mumbai operations centers. Transactions in the Prepaid Processing Segment are processed through our Basildon, Martinsried, Madrid and Leawood, Kansas operations centers. Transactions in our Money Transfer Segment are processed through our Cerritos, California operations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7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Our competition in the EFT Processing Segment, Prepaid Processing Segment and Money Transfer Segment include large, well financed companies and financial institutions larger than us with earlier entry into the market. As a result, we may lack the financial resources and access to capital needed to capture increased market share.</w:t>
      </w:r>
    </w:p>
    <w:p>
      <w:pPr>
        <w:spacing w:after="0" w:line="6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 For Essentis, we are a strong supplier of electronic payment processing software for card issuers and merchant acquirers on a mainframe platform. Our competition includes products owned and marketed by other software companies as well as large, well financed companies that offer outsourcing and credit card services to financial institutions. We believe our Essentis offering is one of the few software solutions in this product area that has been developed as a completely new system, as opposed to a re-engineered legacy system, taking full advantage of the latest technology and business strategies available.</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7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Prepaid Processing Segment</w:t>
      </w:r>
      <w:r>
        <w:rPr>
          <w:rFonts w:ascii="Arial" w:cs="Arial" w:eastAsia="Arial" w:hAnsi="Arial"/>
          <w:sz w:val="18"/>
          <w:szCs w:val="18"/>
          <w:color w:val="auto"/>
        </w:rPr>
        <w:t>— We face competition in the prepaid business in all of our markets. A few multinational companies operate in several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we therefore compete with them in a number of countries. In other markets, our competition is from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smaller, local companies. Major retailers with high volumes are in a position to demand a larger share of commissions, which may compress our margins.</w:t>
      </w:r>
    </w:p>
    <w:p>
      <w:pPr>
        <w:spacing w:after="0" w:line="13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Money Transfer Segment</w:t>
      </w:r>
      <w:r>
        <w:rPr>
          <w:rFonts w:ascii="Arial" w:cs="Arial" w:eastAsia="Arial" w:hAnsi="Arial"/>
          <w:sz w:val="17"/>
          <w:szCs w:val="17"/>
          <w:color w:val="auto"/>
        </w:rPr>
        <w:t>— Our primary competitors in the money transfer and bill payment business include other independent processors and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money transmitters, as well as certain major national and regional banks, financial institutions and independent sales organizations. Our competitors include Western Union, MoneyGram, Global Payments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7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Nonetheless, substantially all of our indebtedness is denominated in U.S. dollars, Euros and British pounds. While a significant amount of our cash outflows, including the acquisition of ATMs, executive salaries, certain long-term contracts and a significant portion of our debt obligations, are made in U.S. dollars,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Moreover, exchange rate policies have not always allowed for the free conversion of currencies at the market rate. Future fluctuations in the value of the dollar could have an adverse effect on our results.</w:t>
      </w:r>
    </w:p>
    <w:p>
      <w:pPr>
        <w:spacing w:after="0" w:line="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7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An additional 12.5 million shares of Common Stock, representing 26% of the shares outstanding as of September 30, 2007,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September 30, 2007, we had an aggregate of 3.0 million options and restricted stock awards outstanding held by our directors, officers and employees, which entitles these holders to acquire an equal number of shares of our Common Stock upon exercise. Of this amount, 1.4 million options are vested and exercisable as of September 30, 2007. Approximately 0.3 million additional shares of our Common Stock may be issued in connection with our employee stock purchase plan. Another 8.5 million shares of Common Stock could be issued upon conversion of the Company’s Convertible Debentures issued in December 2004 and October 2005. Additionally, based on current trading prices for our Common Stock, we expect to issue approximately 0.7 million shares of our Common Stock to the sellers of RIA in settlement of the contingent value and stock appreciation rights.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Accordingly, based on current trading prices of our Common Stock, approximately 12.5 million shares could potentially be added to our total current Common Stock outstanding through the exercise of options or the issuance of additional shares, which could adversely impact the trading price for our stock. The actual number of shares issuable could be higher depending upon our stock price at the time of payment (i.e. more shares could be issuable if our share price declines).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3.0 million total options and restricted stock awards outstanding, an aggregate of 1.4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SECURITES AND USE OF PROCEEDS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Stock repurchases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information with respect to shares of Company Common Stock purchased by us during the three months ended September 30, 2007 (all purchases occurred during September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96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9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 Number</w:t>
            </w:r>
          </w:p>
        </w:tc>
        <w:tc>
          <w:tcPr>
            <w:tcW w:w="126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600" w:type="dxa"/>
            <w:vAlign w:val="bottom"/>
          </w:tcPr>
          <w:p>
            <w:pPr>
              <w:spacing w:after="0"/>
              <w:rPr>
                <w:sz w:val="12"/>
                <w:szCs w:val="12"/>
                <w:color w:val="auto"/>
              </w:rPr>
            </w:pPr>
          </w:p>
        </w:tc>
        <w:tc>
          <w:tcPr>
            <w:tcW w:w="13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600" w:type="dxa"/>
            <w:vAlign w:val="bottom"/>
          </w:tcPr>
          <w:p>
            <w:pPr>
              <w:spacing w:after="0"/>
              <w:rPr>
                <w:sz w:val="12"/>
                <w:szCs w:val="12"/>
                <w:color w:val="auto"/>
              </w:rPr>
            </w:pPr>
          </w:p>
        </w:tc>
        <w:tc>
          <w:tcPr>
            <w:tcW w:w="13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Be Purchased Under</w:t>
            </w: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2"/>
                <w:szCs w:val="12"/>
                <w:color w:val="auto"/>
              </w:rPr>
            </w:pPr>
          </w:p>
        </w:tc>
        <w:tc>
          <w:tcPr>
            <w:tcW w:w="14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 Share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600" w:type="dxa"/>
            <w:vAlign w:val="bottom"/>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Purchased (1)</w:t>
            </w:r>
          </w:p>
        </w:tc>
        <w:tc>
          <w:tcPr>
            <w:tcW w:w="16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4"/>
                <w:szCs w:val="14"/>
                <w:b w:val="1"/>
                <w:bCs w:val="1"/>
                <w:color w:val="auto"/>
              </w:rPr>
              <w:t>(2)</w:t>
            </w:r>
          </w:p>
        </w:tc>
        <w:tc>
          <w:tcPr>
            <w:tcW w:w="5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600" w:type="dxa"/>
            <w:vAlign w:val="bottom"/>
          </w:tcPr>
          <w:p>
            <w:pPr>
              <w:spacing w:after="0"/>
              <w:rPr>
                <w:sz w:val="14"/>
                <w:szCs w:val="1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September 1 - September 30</w:t>
            </w:r>
          </w:p>
        </w:tc>
        <w:tc>
          <w:tcPr>
            <w:tcW w:w="5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26.19</w:t>
            </w:r>
          </w:p>
        </w:tc>
        <w:tc>
          <w:tcPr>
            <w:tcW w:w="58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600" w:type="dxa"/>
            <w:vAlign w:val="bottom"/>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40" w:type="dxa"/>
            <w:vAlign w:val="bottom"/>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c>
          <w:tcPr>
            <w:tcW w:w="5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26.19</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600" w:type="dxa"/>
            <w:vAlign w:val="bottom"/>
          </w:tcPr>
          <w:p>
            <w:pPr>
              <w:spacing w:after="0"/>
              <w:rPr>
                <w:sz w:val="24"/>
                <w:szCs w:val="24"/>
                <w:color w:val="auto"/>
              </w:rPr>
            </w:pPr>
          </w:p>
        </w:tc>
        <w:tc>
          <w:tcPr>
            <w:tcW w:w="136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three months ended September 30, 2007, the Company purchased, in accordance with the 2006 Stock Incentive Plan (Amended and Restated) 136 shares of its common stock for participant income tax withholding in conjunction with the lapse of restrictions on stock awards, as requested by the participants.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paid per share is the closing price of the shares on the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8,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09"/>
        </w:trPr>
        <w:tc>
          <w:tcPr>
            <w:tcW w:w="38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30"/>
        </w:trPr>
        <w:tc>
          <w:tcPr>
            <w:tcW w:w="3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38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3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4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5"/>
              </w:rPr>
              <w:t>Form of Contingent Value Rights Agreement, entered into April 4, 2007 with each of the Irving Barr Living Trust and the Fred Kunik</w:t>
            </w: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8"/>
              </w:rPr>
              <w:t>Family Trust, granting each contingent value rights associated with 1,842,549 shares of common stock (with an “Initial FMV” of</w:t>
            </w: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1"/>
              </w:rPr>
              <w:t>$27.136333, a “Target FMV” of $32.563599 and “Nasdaq Cap” of 7,420,990 shares) (filed as Exhibit B to the Stock Purchase Agreement</w:t>
            </w: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6"/>
              </w:rPr>
              <w:t>attached as Exhibit 2.1 to the Company’s Current Report on Form 8-K filed on November 28, 2006 and incorporated by reference</w:t>
            </w:r>
          </w:p>
        </w:tc>
      </w:tr>
      <w:tr>
        <w:trPr>
          <w:trHeight w:val="230"/>
        </w:trPr>
        <w:tc>
          <w:tcPr>
            <w:tcW w:w="1160" w:type="dxa"/>
            <w:vAlign w:val="bottom"/>
          </w:tcPr>
          <w:p>
            <w:pPr>
              <w:spacing w:after="0"/>
              <w:rPr>
                <w:sz w:val="20"/>
                <w:szCs w:val="20"/>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herein).</w:t>
            </w:r>
          </w:p>
        </w:tc>
        <w:tc>
          <w:tcPr>
            <w:tcW w:w="90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4"/>
              </w:rPr>
              <w:t>Form of Stock Appreciation Rights Agreement, entered into April 4, 2007 with each of the Irving Barr Living Trust and the Fred Kunik</w:t>
            </w: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5"/>
              </w:rPr>
              <w:t>Family Trust, granting each stock appreciation rights with respect to 1,842,549 shares of common stock (with an “Initial Fair Market</w:t>
            </w: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7"/>
              </w:rPr>
              <w:t>Value” of $27.136333 and “Nasdaq Cap” of 7,420,990 shares) (filed as Exhibit C to the Stock Purchase Agreement attached as</w:t>
            </w:r>
          </w:p>
        </w:tc>
      </w:tr>
      <w:tr>
        <w:trPr>
          <w:trHeight w:val="230"/>
        </w:trPr>
        <w:tc>
          <w:tcPr>
            <w:tcW w:w="1160" w:type="dxa"/>
            <w:vAlign w:val="bottom"/>
          </w:tcPr>
          <w:p>
            <w:pPr>
              <w:spacing w:after="0"/>
              <w:rPr>
                <w:sz w:val="20"/>
                <w:szCs w:val="20"/>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9"/>
              </w:rPr>
              <w:t>Exhibit 2.1 to the Company’s Current Report on Form 8-K filed on November 28, 2006 and incorporated by reference herein).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12.1(1)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31.1(1)</w:t>
            </w: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w w:val="90"/>
              </w:rPr>
              <w:t>Section 302</w:t>
            </w:r>
          </w:p>
        </w:tc>
        <w:tc>
          <w:tcPr>
            <w:tcW w:w="904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31.2(1)</w:t>
            </w: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w w:val="90"/>
              </w:rPr>
              <w:t>Section 302</w:t>
            </w:r>
          </w:p>
        </w:tc>
        <w:tc>
          <w:tcPr>
            <w:tcW w:w="904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32.1(1)</w:t>
            </w: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w w:val="90"/>
              </w:rPr>
              <w:t>Section 906</w:t>
            </w:r>
          </w:p>
        </w:tc>
        <w:tc>
          <w:tcPr>
            <w:tcW w:w="9040" w:type="dxa"/>
            <w:vAlign w:val="bottom"/>
          </w:tcPr>
          <w:p>
            <w:pPr>
              <w:ind w:left="20"/>
              <w:spacing w:after="0"/>
              <w:rPr>
                <w:sz w:val="20"/>
                <w:szCs w:val="20"/>
                <w:color w:val="auto"/>
              </w:rPr>
            </w:pPr>
            <w:r>
              <w:rPr>
                <w:rFonts w:ascii="Arial" w:cs="Arial" w:eastAsia="Arial" w:hAnsi="Arial"/>
                <w:sz w:val="18"/>
                <w:szCs w:val="18"/>
                <w:color w:val="auto"/>
              </w:rPr>
              <w:t>— Certifications of Chief Executive Officer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3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rPr>
              <w:t>EURONET WORLDWIDE,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10"/>
          </w:tcPr>
          <w:p>
            <w:pPr>
              <w:jc w:val="center"/>
              <w:ind w:left="203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8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2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Pretax income from continuing operations before adjustment for minority interest</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 income from unconsolidated subsidiaries</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23,163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13,976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49,669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Add:</w:t>
            </w: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21,044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12,509</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80" w:type="dxa"/>
            <w:vAlign w:val="bottom"/>
            <w:gridSpan w:val="2"/>
          </w:tcPr>
          <w:p>
            <w:pPr>
              <w:spacing w:after="0"/>
              <w:rPr>
                <w:sz w:val="20"/>
                <w:szCs w:val="20"/>
                <w:color w:val="auto"/>
              </w:rPr>
            </w:pPr>
            <w:r>
              <w:rPr>
                <w:rFonts w:ascii="Arial" w:cs="Arial" w:eastAsia="Arial" w:hAnsi="Arial"/>
                <w:sz w:val="18"/>
                <w:szCs w:val="18"/>
                <w:color w:val="auto"/>
              </w:rPr>
              <w:t>Adjusted pretax income</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31,471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18,251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70,713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54,066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7,474</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18,837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Total fixed charges</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8,308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4,275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21,044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60" w:hanging="4"/>
        <w:spacing w:after="0" w:line="277" w:lineRule="auto"/>
        <w:tabs>
          <w:tab w:leader="none" w:pos="4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2007</w:t>
      </w:r>
    </w:p>
    <w:p>
      <w:pPr>
        <w:spacing w:after="0" w:line="200" w:lineRule="exact"/>
        <w:rPr>
          <w:sz w:val="20"/>
          <w:szCs w:val="20"/>
          <w:color w:val="auto"/>
        </w:rPr>
      </w:pPr>
    </w:p>
    <w:p>
      <w:pPr>
        <w:spacing w:after="0" w:line="241"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959"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76"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certify that:</w:t>
      </w: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60" w:hanging="4"/>
        <w:spacing w:after="0" w:line="277"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2007</w:t>
      </w:r>
    </w:p>
    <w:p>
      <w:pPr>
        <w:spacing w:after="0" w:line="200" w:lineRule="exact"/>
        <w:rPr>
          <w:sz w:val="20"/>
          <w:szCs w:val="20"/>
          <w:color w:val="auto"/>
        </w:rPr>
      </w:pPr>
    </w:p>
    <w:p>
      <w:pPr>
        <w:spacing w:after="0" w:line="241" w:lineRule="exact"/>
        <w:rPr>
          <w:sz w:val="20"/>
          <w:szCs w:val="20"/>
          <w:color w:val="auto"/>
        </w:rPr>
      </w:pPr>
    </w:p>
    <w:p>
      <w:pPr>
        <w:ind w:left="138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1"/>
          <w:szCs w:val="11"/>
          <w:color w:val="auto"/>
        </w:rPr>
        <w:t>ICK</w:t>
      </w:r>
      <w:r>
        <w:rPr>
          <w:rFonts w:ascii="Arial" w:cs="Arial" w:eastAsia="Arial" w:hAnsi="Arial"/>
          <w:sz w:val="17"/>
          <w:szCs w:val="17"/>
          <w:color w:val="auto"/>
        </w:rPr>
        <w:t xml:space="preserve"> L. W</w:t>
      </w:r>
      <w:r>
        <w:rPr>
          <w:rFonts w:ascii="Arial" w:cs="Arial" w:eastAsia="Arial" w:hAnsi="Arial"/>
          <w:sz w:val="11"/>
          <w:szCs w:val="11"/>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93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2007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8, 2007</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138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1"/>
          <w:szCs w:val="11"/>
          <w:color w:val="auto"/>
        </w:rPr>
        <w:t>ICK</w:t>
      </w:r>
      <w:r>
        <w:rPr>
          <w:rFonts w:ascii="Arial" w:cs="Arial" w:eastAsia="Arial" w:hAnsi="Arial"/>
          <w:sz w:val="17"/>
          <w:szCs w:val="17"/>
          <w:color w:val="auto"/>
        </w:rPr>
        <w:t xml:space="preserve"> L. W</w:t>
      </w:r>
      <w:r>
        <w:rPr>
          <w:rFonts w:ascii="Arial" w:cs="Arial" w:eastAsia="Arial" w:hAnsi="Arial"/>
          <w:sz w:val="11"/>
          <w:szCs w:val="11"/>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8, 2007</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2019-12-14T11:06:50Z</dcterms:created>
  <dcterms:modified xsi:type="dcterms:W3CDTF">2019-12-14T11:06:50Z</dcterms:modified>
</cp:coreProperties>
</file>