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6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61"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291"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22"/>
          <w:szCs w:val="22"/>
          <w:b w:val="1"/>
          <w:bCs w:val="1"/>
          <w:color w:val="auto"/>
        </w:rPr>
        <w:t>(Amendment No.1 )</w:t>
      </w:r>
    </w:p>
    <w:p>
      <w:pPr>
        <w:spacing w:after="0" w:line="250"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22"/>
          <w:szCs w:val="22"/>
          <w:color w:val="auto"/>
        </w:rPr>
        <w:t>EURONET WORLDWIDE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77470</wp:posOffset>
            </wp:positionV>
            <wp:extent cx="550735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07355" cy="20955"/>
                    </a:xfrm>
                    <a:prstGeom prst="rect">
                      <a:avLst/>
                    </a:prstGeom>
                    <a:noFill/>
                  </pic:spPr>
                </pic:pic>
              </a:graphicData>
            </a:graphic>
          </wp:anchor>
        </w:drawing>
      </w:r>
    </w:p>
    <w:p>
      <w:pPr>
        <w:spacing w:after="0" w:line="213"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22"/>
          <w:szCs w:val="22"/>
          <w:color w:val="auto"/>
        </w:rPr>
        <w:t>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77470</wp:posOffset>
            </wp:positionV>
            <wp:extent cx="5507355"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07355" cy="20955"/>
                    </a:xfrm>
                    <a:prstGeom prst="rect">
                      <a:avLst/>
                    </a:prstGeom>
                    <a:noFill/>
                  </pic:spPr>
                </pic:pic>
              </a:graphicData>
            </a:graphic>
          </wp:anchor>
        </w:drawing>
      </w:r>
    </w:p>
    <w:p>
      <w:pPr>
        <w:spacing w:after="0" w:line="213"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22"/>
          <w:szCs w:val="22"/>
          <w:color w:val="auto"/>
        </w:rPr>
        <w:t>298736109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851535</wp:posOffset>
            </wp:positionH>
            <wp:positionV relativeFrom="paragraph">
              <wp:posOffset>77470</wp:posOffset>
            </wp:positionV>
            <wp:extent cx="43072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07205" cy="21590"/>
                    </a:xfrm>
                    <a:prstGeom prst="rect">
                      <a:avLst/>
                    </a:prstGeom>
                    <a:noFill/>
                  </pic:spPr>
                </pic:pic>
              </a:graphicData>
            </a:graphic>
          </wp:anchor>
        </w:drawing>
      </w:r>
    </w:p>
    <w:p>
      <w:pPr>
        <w:spacing w:after="0" w:line="213"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22"/>
          <w:szCs w:val="22"/>
          <w:color w:val="auto"/>
        </w:rPr>
        <w:t>(CUSIP Number)</w:t>
      </w:r>
    </w:p>
    <w:p>
      <w:pPr>
        <w:spacing w:after="0" w:line="233"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22"/>
          <w:szCs w:val="22"/>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77470</wp:posOffset>
            </wp:positionV>
            <wp:extent cx="550735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07355" cy="20955"/>
                    </a:xfrm>
                    <a:prstGeom prst="rect">
                      <a:avLst/>
                    </a:prstGeom>
                    <a:noFill/>
                  </pic:spPr>
                </pic:pic>
              </a:graphicData>
            </a:graphic>
          </wp:anchor>
        </w:drawing>
      </w:r>
    </w:p>
    <w:p>
      <w:pPr>
        <w:spacing w:after="0" w:line="213"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0" w:lineRule="exact"/>
        <w:rPr>
          <w:sz w:val="24"/>
          <w:szCs w:val="24"/>
          <w:color w:val="auto"/>
        </w:rPr>
      </w:pP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Check the appropriate box to designate the rule pursuant to which this Schedule is filed:</w:t>
      </w:r>
    </w:p>
    <w:p>
      <w:pPr>
        <w:spacing w:after="0" w:line="272" w:lineRule="exact"/>
        <w:rPr>
          <w:sz w:val="24"/>
          <w:szCs w:val="24"/>
          <w:color w:val="auto"/>
        </w:rPr>
      </w:pPr>
    </w:p>
    <w:p>
      <w:pPr>
        <w:ind w:left="620" w:hanging="558"/>
        <w:spacing w:after="0"/>
        <w:tabs>
          <w:tab w:leader="none" w:pos="6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Rule 13d-1(b)</w:t>
      </w:r>
    </w:p>
    <w:p>
      <w:pPr>
        <w:sectPr>
          <w:pgSz w:w="11900" w:h="16838" w:orient="portrait"/>
          <w:cols w:equalWidth="0" w:num="1">
            <w:col w:w="10139"/>
          </w:cols>
          <w:pgMar w:left="320" w:top="1440" w:right="1440" w:bottom="0" w:gutter="0" w:footer="0" w:header="0"/>
        </w:sectPr>
      </w:pPr>
    </w:p>
    <w:p>
      <w:pPr>
        <w:spacing w:after="0" w:line="98"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Rule 13d-1(c)</w:t>
      </w:r>
    </w:p>
    <w:p>
      <w:pPr>
        <w:spacing w:after="0" w:line="110" w:lineRule="exact"/>
        <w:rPr>
          <w:sz w:val="24"/>
          <w:szCs w:val="24"/>
          <w:color w:val="auto"/>
        </w:rPr>
      </w:pPr>
    </w:p>
    <w:p>
      <w:pPr>
        <w:sectPr>
          <w:pgSz w:w="11900" w:h="16838" w:orient="portrait"/>
          <w:cols w:equalWidth="0" w:num="2">
            <w:col w:w="200" w:space="420"/>
            <w:col w:w="9519"/>
          </w:cols>
          <w:pgMar w:left="320" w:top="1440" w:right="1440" w:bottom="0" w:gutter="0" w:footer="0" w:header="0"/>
          <w:type w:val="continuous"/>
        </w:sectPr>
      </w:pPr>
    </w:p>
    <w:p>
      <w:pPr>
        <w:ind w:left="60"/>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21"/>
          <w:szCs w:val="21"/>
          <w:color w:val="auto"/>
        </w:rPr>
        <w:t>Rule 13d-1(d)</w:t>
      </w:r>
    </w:p>
    <w:p>
      <w:pPr>
        <w:spacing w:after="0" w:line="200" w:lineRule="exact"/>
        <w:rPr>
          <w:sz w:val="24"/>
          <w:szCs w:val="24"/>
          <w:color w:val="auto"/>
        </w:rPr>
      </w:pPr>
    </w:p>
    <w:p>
      <w:pPr>
        <w:sectPr>
          <w:pgSz w:w="11900" w:h="16838" w:orient="portrait"/>
          <w:cols w:equalWidth="0" w:num="2">
            <w:col w:w="200" w:space="420"/>
            <w:col w:w="9519"/>
          </w:cols>
          <w:pgMar w:left="320" w:top="1440" w:right="1440" w:bottom="0" w:gutter="0" w:footer="0" w:header="0"/>
          <w:type w:val="continuous"/>
        </w:sectPr>
      </w:pPr>
    </w:p>
    <w:p>
      <w:pPr>
        <w:spacing w:after="0" w:line="139" w:lineRule="exact"/>
        <w:rPr>
          <w:sz w:val="24"/>
          <w:szCs w:val="24"/>
          <w:color w:val="auto"/>
        </w:rPr>
      </w:pPr>
    </w:p>
    <w:p>
      <w:pPr>
        <w:jc w:val="both"/>
        <w:ind w:left="20" w:right="1179"/>
        <w:spacing w:after="0" w:line="244" w:lineRule="auto"/>
        <w:rPr>
          <w:sz w:val="20"/>
          <w:szCs w:val="20"/>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3" w:lineRule="exact"/>
        <w:rPr>
          <w:sz w:val="24"/>
          <w:szCs w:val="24"/>
          <w:color w:val="auto"/>
        </w:rPr>
      </w:pPr>
    </w:p>
    <w:p>
      <w:pPr>
        <w:jc w:val="both"/>
        <w:ind w:left="20" w:right="1179"/>
        <w:spacing w:after="0" w:line="239"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83"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2"/>
          <w:szCs w:val="22"/>
          <w:color w:val="auto"/>
        </w:rPr>
        <w:t>CUSIP No. 298736109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146050</wp:posOffset>
            </wp:positionV>
            <wp:extent cx="562737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27370" cy="209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auto"/>
        </w:rPr>
        <w:t>Person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56921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pacing w:after="0" w:line="109" w:lineRule="exact"/>
        <w:rPr>
          <w:sz w:val="24"/>
          <w:szCs w:val="24"/>
          <w:color w:val="auto"/>
        </w:rPr>
      </w:pPr>
    </w:p>
    <w:p>
      <w:pPr>
        <w:ind w:left="700" w:hanging="436"/>
        <w:spacing w:after="0"/>
        <w:tabs>
          <w:tab w:leader="none" w:pos="7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Names of Reporting Persons.</w:t>
      </w:r>
    </w:p>
    <w:p>
      <w:pPr>
        <w:spacing w:after="0" w:line="14" w:lineRule="exact"/>
        <w:rPr>
          <w:rFonts w:ascii="Times New Roman" w:cs="Times New Roman" w:eastAsia="Times New Roman" w:hAnsi="Times New Roman"/>
          <w:sz w:val="22"/>
          <w:szCs w:val="22"/>
          <w:color w:val="auto"/>
        </w:rPr>
      </w:pPr>
    </w:p>
    <w:p>
      <w:pPr>
        <w:ind w:left="7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Allspring Global Investments Holdings, LLC</w:t>
      </w:r>
    </w:p>
    <w:p>
      <w:pPr>
        <w:spacing w:after="0" w:line="74" w:lineRule="exact"/>
        <w:rPr>
          <w:sz w:val="24"/>
          <w:szCs w:val="24"/>
          <w:color w:val="auto"/>
        </w:rPr>
      </w:pPr>
    </w:p>
    <w:p>
      <w:pPr>
        <w:ind w:left="700" w:right="8399" w:hanging="4"/>
        <w:spacing w:after="0" w:line="282" w:lineRule="auto"/>
        <w:tabs>
          <w:tab w:leader="none" w:pos="1006" w:val="left"/>
        </w:tabs>
        <w:numPr>
          <w:ilvl w:val="1"/>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Tax ID 36-4863445</w:t>
      </w:r>
    </w:p>
    <w:p>
      <w:pPr>
        <w:spacing w:after="0" w:line="377" w:lineRule="exact"/>
        <w:rPr>
          <w:rFonts w:ascii="Times New Roman" w:cs="Times New Roman" w:eastAsia="Times New Roman" w:hAnsi="Times New Roman"/>
          <w:sz w:val="21"/>
          <w:szCs w:val="21"/>
          <w:color w:val="auto"/>
        </w:rPr>
      </w:pPr>
    </w:p>
    <w:p>
      <w:pPr>
        <w:ind w:left="700" w:hanging="436"/>
        <w:spacing w:after="0"/>
        <w:tabs>
          <w:tab w:leader="none" w:pos="7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98" w:lineRule="exact"/>
        <w:rPr>
          <w:rFonts w:ascii="Times New Roman" w:cs="Times New Roman" w:eastAsia="Times New Roman" w:hAnsi="Times New Roman"/>
          <w:sz w:val="22"/>
          <w:szCs w:val="22"/>
          <w:color w:val="auto"/>
        </w:rPr>
      </w:pPr>
    </w:p>
    <w:p>
      <w:pPr>
        <w:ind w:left="1040" w:hanging="344"/>
        <w:spacing w:after="0"/>
        <w:tabs>
          <w:tab w:leader="none" w:pos="104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98" w:lineRule="exact"/>
        <w:rPr>
          <w:rFonts w:ascii="Times New Roman" w:cs="Times New Roman" w:eastAsia="Times New Roman" w:hAnsi="Times New Roman"/>
          <w:sz w:val="22"/>
          <w:szCs w:val="22"/>
          <w:color w:val="auto"/>
        </w:rPr>
      </w:pPr>
    </w:p>
    <w:p>
      <w:pPr>
        <w:ind w:left="1060" w:hanging="364"/>
        <w:spacing w:after="0"/>
        <w:tabs>
          <w:tab w:leader="none" w:pos="106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-744855</wp:posOffset>
            </wp:positionV>
            <wp:extent cx="562737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27370" cy="215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146050</wp:posOffset>
            </wp:positionV>
            <wp:extent cx="562737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27370" cy="21590"/>
                    </a:xfrm>
                    <a:prstGeom prst="rect">
                      <a:avLst/>
                    </a:prstGeom>
                    <a:noFill/>
                  </pic:spPr>
                </pic:pic>
              </a:graphicData>
            </a:graphic>
          </wp:anchor>
        </w:drawing>
      </w:r>
    </w:p>
    <w:p>
      <w:pPr>
        <w:sectPr>
          <w:pgSz w:w="11900" w:h="16838" w:orient="portrait"/>
          <w:cols w:equalWidth="0" w:num="1">
            <w:col w:w="10139"/>
          </w:cols>
          <w:pgMar w:left="320" w:top="1440" w:right="1440" w:bottom="0" w:gutter="0" w:footer="0" w:header="0"/>
          <w:type w:val="continuous"/>
        </w:sectPr>
      </w:pPr>
    </w:p>
    <w:bookmarkStart w:id="1" w:name="page2"/>
    <w:bookmarkEnd w:id="1"/>
    <w:p>
      <w:pPr>
        <w:spacing w:after="0" w:line="234" w:lineRule="auto"/>
        <w:framePr w:w="1140" w:h="1650" w:wrap="auto" w:vAnchor="page" w:hAnchor="page" w:x="340" w:y="2013"/>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Beneficially Owned by Each Reporting Person With</w:t>
      </w:r>
    </w:p>
    <w:p>
      <w:pPr>
        <w:ind w:left="640" w:hanging="436"/>
        <w:spacing w:after="0"/>
        <w:tabs>
          <w:tab w:leader="none" w:pos="6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 . . . . . . . . . . . . . . . . . . . . . . . . . . . . . . . . . . . . . . . . . . . .</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6"/>
        <w:spacing w:after="0"/>
        <w:tabs>
          <w:tab w:leader="none" w:pos="6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  Delaware</w:t>
      </w:r>
    </w:p>
    <w:p>
      <w:pPr>
        <w:spacing w:after="0" w:line="20" w:lineRule="exact"/>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column">
              <wp:posOffset>0</wp:posOffset>
            </wp:positionH>
            <wp:positionV relativeFrom="paragraph">
              <wp:posOffset>-299085</wp:posOffset>
            </wp:positionV>
            <wp:extent cx="5627370"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27370" cy="209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146050</wp:posOffset>
            </wp:positionV>
            <wp:extent cx="5627370"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27370" cy="20955"/>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591820</wp:posOffset>
            </wp:positionV>
            <wp:extent cx="472757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727575" cy="20955"/>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1037590</wp:posOffset>
            </wp:positionV>
            <wp:extent cx="472757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727575" cy="20955"/>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1483360</wp:posOffset>
            </wp:positionV>
            <wp:extent cx="472757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727575" cy="20955"/>
                    </a:xfrm>
                    <a:prstGeom prst="rect">
                      <a:avLst/>
                    </a:prstGeom>
                    <a:noFill/>
                  </pic:spPr>
                </pic:pic>
              </a:graphicData>
            </a:graphic>
          </wp:anchor>
        </w:drawing>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335" w:lineRule="exact"/>
        <w:rPr>
          <w:rFonts w:ascii="Times New Roman" w:cs="Times New Roman" w:eastAsia="Times New Roman" w:hAnsi="Times New Roman"/>
          <w:sz w:val="21"/>
          <w:szCs w:val="21"/>
          <w:color w:val="auto"/>
        </w:rPr>
      </w:pPr>
    </w:p>
    <w:p>
      <w:pPr>
        <w:ind w:left="1640" w:hanging="221"/>
        <w:spacing w:after="0"/>
        <w:tabs>
          <w:tab w:leader="none" w:pos="1640"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Dispositive Power 0</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6"/>
        <w:spacing w:after="0"/>
        <w:tabs>
          <w:tab w:leader="none" w:pos="6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2,873,457</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6"/>
        <w:spacing w:after="0"/>
        <w:tabs>
          <w:tab w:leader="none" w:pos="6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if the Aggregate Amount in Row (9) Excludes Certain Shares (See Instructions)</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6"/>
        <w:spacing w:after="0"/>
        <w:tabs>
          <w:tab w:leader="none" w:pos="6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5.79 %</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6"/>
        <w:spacing w:after="0"/>
        <w:tabs>
          <w:tab w:leader="none" w:pos="6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0" w:lineRule="exact"/>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column">
              <wp:posOffset>0</wp:posOffset>
            </wp:positionH>
            <wp:positionV relativeFrom="paragraph">
              <wp:posOffset>-1636395</wp:posOffset>
            </wp:positionV>
            <wp:extent cx="562737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27370" cy="209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-1190625</wp:posOffset>
            </wp:positionV>
            <wp:extent cx="5627370"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27370" cy="209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-744855</wp:posOffset>
            </wp:positionV>
            <wp:extent cx="5627370"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27370" cy="209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-299085</wp:posOffset>
            </wp:positionV>
            <wp:extent cx="5627370"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27370" cy="209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146050</wp:posOffset>
            </wp:positionV>
            <wp:extent cx="5627370"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27370" cy="20955"/>
                    </a:xfrm>
                    <a:prstGeom prst="rect">
                      <a:avLst/>
                    </a:prstGeom>
                    <a:noFill/>
                  </pic:spPr>
                </pic:pic>
              </a:graphicData>
            </a:graphic>
          </wp:anchor>
        </w:drawing>
      </w:r>
    </w:p>
    <w:p>
      <w:pPr>
        <w:spacing w:after="0" w:line="200" w:lineRule="exact"/>
        <w:rPr>
          <w:rFonts w:ascii="Times New Roman" w:cs="Times New Roman" w:eastAsia="Times New Roman" w:hAnsi="Times New Roman"/>
          <w:sz w:val="21"/>
          <w:szCs w:val="21"/>
          <w:color w:val="auto"/>
        </w:rPr>
      </w:pPr>
    </w:p>
    <w:p>
      <w:pPr>
        <w:spacing w:after="0" w:line="229" w:lineRule="exact"/>
        <w:rPr>
          <w:rFonts w:ascii="Times New Roman" w:cs="Times New Roman" w:eastAsia="Times New Roman" w:hAnsi="Times New Roman"/>
          <w:sz w:val="21"/>
          <w:szCs w:val="21"/>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 w:lineRule="exact"/>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column">
              <wp:posOffset>0</wp:posOffset>
            </wp:positionH>
            <wp:positionV relativeFrom="paragraph">
              <wp:posOffset>146050</wp:posOffset>
            </wp:positionV>
            <wp:extent cx="5627370"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27370" cy="20955"/>
                    </a:xfrm>
                    <a:prstGeom prst="rect">
                      <a:avLst/>
                    </a:prstGeom>
                    <a:noFill/>
                  </pic:spPr>
                </pic:pic>
              </a:graphicData>
            </a:graphic>
          </wp:anchor>
        </w:drawing>
      </w:r>
    </w:p>
    <w:p>
      <w:pPr>
        <w:spacing w:after="0" w:line="200" w:lineRule="exact"/>
        <w:rPr>
          <w:rFonts w:ascii="Times New Roman" w:cs="Times New Roman" w:eastAsia="Times New Roman" w:hAnsi="Times New Roman"/>
          <w:sz w:val="21"/>
          <w:szCs w:val="21"/>
          <w:color w:val="auto"/>
        </w:rPr>
      </w:pPr>
    </w:p>
    <w:p>
      <w:pPr>
        <w:spacing w:after="0" w:line="225" w:lineRule="exact"/>
        <w:rPr>
          <w:rFonts w:ascii="Times New Roman" w:cs="Times New Roman" w:eastAsia="Times New Roman" w:hAnsi="Times New Roman"/>
          <w:sz w:val="21"/>
          <w:szCs w:val="21"/>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Person 2</w:t>
      </w:r>
    </w:p>
    <w:p>
      <w:pPr>
        <w:spacing w:after="0" w:line="20" w:lineRule="exact"/>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column">
              <wp:posOffset>-32385</wp:posOffset>
            </wp:positionH>
            <wp:positionV relativeFrom="paragraph">
              <wp:posOffset>47625</wp:posOffset>
            </wp:positionV>
            <wp:extent cx="570039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109" w:lineRule="exact"/>
        <w:rPr>
          <w:rFonts w:ascii="Times New Roman" w:cs="Times New Roman" w:eastAsia="Times New Roman" w:hAnsi="Times New Roman"/>
          <w:sz w:val="21"/>
          <w:szCs w:val="21"/>
          <w:color w:val="auto"/>
        </w:rPr>
      </w:pPr>
    </w:p>
    <w:p>
      <w:pPr>
        <w:ind w:left="640" w:right="6379" w:hanging="436"/>
        <w:spacing w:after="0" w:line="282" w:lineRule="auto"/>
        <w:tabs>
          <w:tab w:leader="none" w:pos="64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Names of Reporting Persons. Allspring Global Investments, LLC</w:t>
      </w:r>
    </w:p>
    <w:p>
      <w:pPr>
        <w:spacing w:after="0" w:line="27" w:lineRule="exact"/>
        <w:rPr>
          <w:rFonts w:ascii="Times New Roman" w:cs="Times New Roman" w:eastAsia="Times New Roman" w:hAnsi="Times New Roman"/>
          <w:sz w:val="21"/>
          <w:szCs w:val="21"/>
          <w:color w:val="auto"/>
        </w:rPr>
      </w:pPr>
    </w:p>
    <w:p>
      <w:pPr>
        <w:ind w:left="640" w:right="8399" w:hanging="4"/>
        <w:spacing w:after="0" w:line="282" w:lineRule="auto"/>
        <w:tabs>
          <w:tab w:leader="none" w:pos="946" w:val="left"/>
        </w:tabs>
        <w:numPr>
          <w:ilvl w:val="1"/>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Tax ID 95-3692822</w:t>
      </w:r>
    </w:p>
    <w:p>
      <w:pPr>
        <w:spacing w:after="0" w:line="377" w:lineRule="exact"/>
        <w:rPr>
          <w:rFonts w:ascii="Times New Roman" w:cs="Times New Roman" w:eastAsia="Times New Roman" w:hAnsi="Times New Roman"/>
          <w:sz w:val="21"/>
          <w:szCs w:val="21"/>
          <w:color w:val="auto"/>
        </w:rPr>
      </w:pPr>
    </w:p>
    <w:p>
      <w:pPr>
        <w:ind w:left="640" w:hanging="436"/>
        <w:spacing w:after="0"/>
        <w:tabs>
          <w:tab w:leader="none" w:pos="6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98" w:lineRule="exact"/>
        <w:rPr>
          <w:rFonts w:ascii="Times New Roman" w:cs="Times New Roman" w:eastAsia="Times New Roman" w:hAnsi="Times New Roman"/>
          <w:sz w:val="22"/>
          <w:szCs w:val="22"/>
          <w:color w:val="auto"/>
        </w:rPr>
      </w:pPr>
    </w:p>
    <w:p>
      <w:pPr>
        <w:ind w:left="980" w:hanging="344"/>
        <w:spacing w:after="0"/>
        <w:tabs>
          <w:tab w:leader="none" w:pos="980"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98" w:lineRule="exact"/>
        <w:rPr>
          <w:rFonts w:ascii="Times New Roman" w:cs="Times New Roman" w:eastAsia="Times New Roman" w:hAnsi="Times New Roman"/>
          <w:sz w:val="22"/>
          <w:szCs w:val="22"/>
          <w:color w:val="auto"/>
        </w:rPr>
      </w:pPr>
    </w:p>
    <w:p>
      <w:pPr>
        <w:ind w:left="1000" w:hanging="364"/>
        <w:spacing w:after="0"/>
        <w:tabs>
          <w:tab w:leader="none" w:pos="1000"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6"/>
        <w:spacing w:after="0"/>
        <w:tabs>
          <w:tab w:leader="none" w:pos="6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 . . . . . . . . . . . . . . . . . . . . . . . . . . . . . . . . . . . . . . . . . . . .</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6"/>
        <w:spacing w:after="0"/>
        <w:tabs>
          <w:tab w:leader="none" w:pos="6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  Delaware</w:t>
      </w:r>
    </w:p>
    <w:p>
      <w:pPr>
        <w:spacing w:after="0" w:line="20" w:lineRule="exact"/>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column">
              <wp:posOffset>0</wp:posOffset>
            </wp:positionH>
            <wp:positionV relativeFrom="paragraph">
              <wp:posOffset>-1636395</wp:posOffset>
            </wp:positionV>
            <wp:extent cx="5636260"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36260" cy="209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-744855</wp:posOffset>
            </wp:positionV>
            <wp:extent cx="563626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3626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-299085</wp:posOffset>
            </wp:positionV>
            <wp:extent cx="563626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3626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146050</wp:posOffset>
            </wp:positionV>
            <wp:extent cx="563626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36260" cy="21590"/>
                    </a:xfrm>
                    <a:prstGeom prst="rect">
                      <a:avLst/>
                    </a:prstGeom>
                    <a:noFill/>
                  </pic:spPr>
                </pic:pic>
              </a:graphicData>
            </a:graphic>
          </wp:anchor>
        </w:drawing>
      </w:r>
    </w:p>
    <w:p>
      <w:pPr>
        <w:spacing w:after="0" w:line="200" w:lineRule="exact"/>
        <w:rPr>
          <w:rFonts w:ascii="Times New Roman" w:cs="Times New Roman" w:eastAsia="Times New Roman" w:hAnsi="Times New Roman"/>
          <w:sz w:val="21"/>
          <w:szCs w:val="21"/>
          <w:color w:val="auto"/>
        </w:rPr>
      </w:pPr>
    </w:p>
    <w:p>
      <w:pPr>
        <w:spacing w:after="0" w:line="229" w:lineRule="exact"/>
        <w:rPr>
          <w:rFonts w:ascii="Times New Roman" w:cs="Times New Roman" w:eastAsia="Times New Roman" w:hAnsi="Times New Roman"/>
          <w:sz w:val="21"/>
          <w:szCs w:val="21"/>
          <w:color w:val="auto"/>
        </w:rPr>
      </w:pPr>
    </w:p>
    <w:tbl>
      <w:tblPr>
        <w:tblLayout w:type="fixed"/>
        <w:tblInd w:w="0" w:type="dxa"/>
        <w:tblCellMar>
          <w:top w:w="0" w:type="dxa"/>
          <w:left w:w="0" w:type="dxa"/>
          <w:bottom w:w="0" w:type="dxa"/>
          <w:right w:w="0" w:type="dxa"/>
        </w:tblCellMar>
      </w:tblPr>
      <w:tr>
        <w:trPr>
          <w:trHeight w:val="282"/>
        </w:trPr>
        <w:tc>
          <w:tcPr>
            <w:tcW w:w="1240" w:type="dxa"/>
            <w:vAlign w:val="bottom"/>
          </w:tcPr>
          <w:p>
            <w:pPr>
              <w:spacing w:after="0"/>
              <w:rPr>
                <w:sz w:val="24"/>
                <w:szCs w:val="24"/>
                <w:color w:val="auto"/>
              </w:rPr>
            </w:pPr>
          </w:p>
        </w:tc>
        <w:tc>
          <w:tcPr>
            <w:tcW w:w="764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5. Sole Voting Power 358,810</w:t>
            </w:r>
          </w:p>
        </w:tc>
        <w:tc>
          <w:tcPr>
            <w:tcW w:w="0" w:type="dxa"/>
            <w:vAlign w:val="bottom"/>
          </w:tcPr>
          <w:p>
            <w:pPr>
              <w:spacing w:after="0"/>
              <w:rPr>
                <w:sz w:val="1"/>
                <w:szCs w:val="1"/>
                <w:color w:val="auto"/>
              </w:rPr>
            </w:pPr>
          </w:p>
        </w:tc>
      </w:tr>
      <w:tr>
        <w:trPr>
          <w:trHeight w:val="214"/>
        </w:trPr>
        <w:tc>
          <w:tcPr>
            <w:tcW w:w="1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180" w:type="dxa"/>
            <w:vAlign w:val="bottom"/>
          </w:tcPr>
          <w:p>
            <w:pPr>
              <w:spacing w:after="0"/>
              <w:rPr>
                <w:sz w:val="18"/>
                <w:szCs w:val="18"/>
                <w:color w:val="auto"/>
              </w:rPr>
            </w:pPr>
          </w:p>
        </w:tc>
        <w:tc>
          <w:tcPr>
            <w:tcW w:w="746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124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7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7640" w:type="dxa"/>
            <w:vAlign w:val="bottom"/>
            <w:gridSpan w:val="2"/>
            <w:vMerge w:val="restart"/>
          </w:tcPr>
          <w:p>
            <w:pPr>
              <w:ind w:left="180"/>
              <w:spacing w:after="0"/>
              <w:rPr>
                <w:sz w:val="20"/>
                <w:szCs w:val="20"/>
                <w:color w:val="auto"/>
              </w:rPr>
            </w:pPr>
            <w:r>
              <w:rPr>
                <w:rFonts w:ascii="Times New Roman" w:cs="Times New Roman" w:eastAsia="Times New Roman" w:hAnsi="Times New Roman"/>
                <w:sz w:val="22"/>
                <w:szCs w:val="22"/>
                <w:color w:val="auto"/>
              </w:rPr>
              <w:t>6. Shared Voting Power 0</w:t>
            </w:r>
          </w:p>
        </w:tc>
        <w:tc>
          <w:tcPr>
            <w:tcW w:w="0" w:type="dxa"/>
            <w:vAlign w:val="bottom"/>
          </w:tcPr>
          <w:p>
            <w:pPr>
              <w:spacing w:after="0"/>
              <w:rPr>
                <w:sz w:val="1"/>
                <w:szCs w:val="1"/>
                <w:color w:val="auto"/>
              </w:rPr>
            </w:pPr>
          </w:p>
        </w:tc>
      </w:tr>
      <w:tr>
        <w:trPr>
          <w:trHeight w:val="174"/>
        </w:trPr>
        <w:tc>
          <w:tcPr>
            <w:tcW w:w="12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2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12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180" w:type="dxa"/>
            <w:vAlign w:val="bottom"/>
          </w:tcPr>
          <w:p>
            <w:pPr>
              <w:spacing w:after="0"/>
              <w:rPr>
                <w:sz w:val="12"/>
                <w:szCs w:val="12"/>
                <w:color w:val="auto"/>
              </w:rPr>
            </w:pPr>
          </w:p>
        </w:tc>
        <w:tc>
          <w:tcPr>
            <w:tcW w:w="746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12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1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640" w:type="dxa"/>
            <w:vAlign w:val="bottom"/>
            <w:gridSpan w:val="2"/>
            <w:vMerge w:val="restart"/>
          </w:tcPr>
          <w:p>
            <w:pPr>
              <w:ind w:left="180"/>
              <w:spacing w:after="0"/>
              <w:rPr>
                <w:sz w:val="20"/>
                <w:szCs w:val="20"/>
                <w:color w:val="auto"/>
              </w:rPr>
            </w:pPr>
            <w:r>
              <w:rPr>
                <w:rFonts w:ascii="Times New Roman" w:cs="Times New Roman" w:eastAsia="Times New Roman" w:hAnsi="Times New Roman"/>
                <w:sz w:val="22"/>
                <w:szCs w:val="22"/>
                <w:color w:val="auto"/>
              </w:rPr>
              <w:t>7. Sole Dispositive Power 2,864,526</w:t>
            </w:r>
          </w:p>
        </w:tc>
        <w:tc>
          <w:tcPr>
            <w:tcW w:w="0" w:type="dxa"/>
            <w:vAlign w:val="bottom"/>
          </w:tcPr>
          <w:p>
            <w:pPr>
              <w:spacing w:after="0"/>
              <w:rPr>
                <w:sz w:val="1"/>
                <w:szCs w:val="1"/>
                <w:color w:val="auto"/>
              </w:rPr>
            </w:pPr>
          </w:p>
        </w:tc>
      </w:tr>
      <w:tr>
        <w:trPr>
          <w:trHeight w:val="147"/>
        </w:trPr>
        <w:tc>
          <w:tcPr>
            <w:tcW w:w="12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2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7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1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Person With</w:t>
            </w:r>
          </w:p>
        </w:tc>
        <w:tc>
          <w:tcPr>
            <w:tcW w:w="180" w:type="dxa"/>
            <w:vAlign w:val="bottom"/>
          </w:tcPr>
          <w:p>
            <w:pPr>
              <w:spacing w:after="0"/>
              <w:rPr>
                <w:sz w:val="10"/>
                <w:szCs w:val="10"/>
                <w:color w:val="auto"/>
              </w:rPr>
            </w:pPr>
          </w:p>
        </w:tc>
        <w:tc>
          <w:tcPr>
            <w:tcW w:w="74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2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column">
              <wp:posOffset>5622925</wp:posOffset>
            </wp:positionH>
            <wp:positionV relativeFrom="paragraph">
              <wp:posOffset>-996950</wp:posOffset>
            </wp:positionV>
            <wp:extent cx="127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-996950</wp:posOffset>
            </wp:positionV>
            <wp:extent cx="127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5622925</wp:posOffset>
            </wp:positionH>
            <wp:positionV relativeFrom="paragraph">
              <wp:posOffset>-551180</wp:posOffset>
            </wp:positionV>
            <wp:extent cx="127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-551180</wp:posOffset>
            </wp:positionV>
            <wp:extent cx="127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5622925</wp:posOffset>
            </wp:positionH>
            <wp:positionV relativeFrom="paragraph">
              <wp:posOffset>-105410</wp:posOffset>
            </wp:positionV>
            <wp:extent cx="127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-105410</wp:posOffset>
            </wp:positionV>
            <wp:extent cx="127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22" w:lineRule="exact"/>
        <w:rPr>
          <w:rFonts w:ascii="Times New Roman" w:cs="Times New Roman" w:eastAsia="Times New Roman" w:hAnsi="Times New Roman"/>
          <w:sz w:val="21"/>
          <w:szCs w:val="21"/>
          <w:color w:val="auto"/>
        </w:rPr>
      </w:pPr>
    </w:p>
    <w:p>
      <w:pPr>
        <w:ind w:left="1640" w:hanging="221"/>
        <w:spacing w:after="0"/>
        <w:tabs>
          <w:tab w:leader="none" w:pos="1640"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Dispositive Power 0</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6"/>
        <w:spacing w:after="0"/>
        <w:tabs>
          <w:tab w:leader="none" w:pos="64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2,864,526</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6"/>
        <w:spacing w:after="0"/>
        <w:tabs>
          <w:tab w:leader="none" w:pos="64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if the Aggregate Amount in Row (9) Excludes Certain Shares (See Instructions)</w:t>
      </w:r>
    </w:p>
    <w:p>
      <w:pPr>
        <w:spacing w:after="0" w:line="20" w:lineRule="exact"/>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column">
              <wp:posOffset>0</wp:posOffset>
            </wp:positionH>
            <wp:positionV relativeFrom="paragraph">
              <wp:posOffset>-744855</wp:posOffset>
            </wp:positionV>
            <wp:extent cx="563626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3626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-299085</wp:posOffset>
            </wp:positionV>
            <wp:extent cx="563626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36260" cy="21590"/>
                    </a:xfrm>
                    <a:prstGeom prst="rect">
                      <a:avLst/>
                    </a:prstGeom>
                    <a:noFill/>
                  </pic:spPr>
                </pic:pic>
              </a:graphicData>
            </a:graphic>
          </wp:anchor>
        </w:drawing>
      </w:r>
    </w:p>
    <w:p>
      <w:pPr>
        <w:sectPr>
          <w:pgSz w:w="11900" w:h="16838" w:orient="portrait"/>
          <w:cols w:equalWidth="0" w:num="1">
            <w:col w:w="10079"/>
          </w:cols>
          <w:pgMar w:left="380" w:top="261" w:right="1440" w:bottom="0" w:gutter="0" w:footer="0" w:header="0"/>
        </w:sectPr>
      </w:pPr>
    </w:p>
    <w:bookmarkStart w:id="2" w:name="page3"/>
    <w:bookmarkEnd w:id="2"/>
    <w:p>
      <w:pPr>
        <w:spacing w:after="0" w:line="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5636260" cy="107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36260" cy="10795"/>
                    </a:xfrm>
                    <a:prstGeom prst="rect">
                      <a:avLst/>
                    </a:prstGeom>
                    <a:noFill/>
                  </pic:spPr>
                </pic:pic>
              </a:graphicData>
            </a:graphic>
          </wp:anchor>
        </w:drawing>
      </w:r>
    </w:p>
    <w:p>
      <w:pPr>
        <w:ind w:left="640" w:hanging="436"/>
        <w:spacing w:after="0"/>
        <w:tabs>
          <w:tab w:leader="none" w:pos="64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5.77 %</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6"/>
        <w:spacing w:after="0"/>
        <w:tabs>
          <w:tab w:leader="none" w:pos="64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-299085</wp:posOffset>
            </wp:positionV>
            <wp:extent cx="5636260"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36260" cy="209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146050</wp:posOffset>
            </wp:positionV>
            <wp:extent cx="563626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3626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146050</wp:posOffset>
            </wp:positionV>
            <wp:extent cx="5636260"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36260" cy="209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Person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47625</wp:posOffset>
            </wp:positionV>
            <wp:extent cx="570039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109" w:lineRule="exact"/>
        <w:rPr>
          <w:sz w:val="20"/>
          <w:szCs w:val="20"/>
          <w:color w:val="auto"/>
        </w:rPr>
      </w:pPr>
    </w:p>
    <w:p>
      <w:pPr>
        <w:ind w:left="640" w:right="6339" w:hanging="436"/>
        <w:spacing w:after="0" w:line="282" w:lineRule="auto"/>
        <w:tabs>
          <w:tab w:leader="none" w:pos="64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Names of Reporting Persons. Allspring Funds Management, LLC</w:t>
      </w:r>
    </w:p>
    <w:p>
      <w:pPr>
        <w:spacing w:after="0" w:line="27" w:lineRule="exact"/>
        <w:rPr>
          <w:sz w:val="20"/>
          <w:szCs w:val="20"/>
          <w:color w:val="auto"/>
        </w:rPr>
      </w:pPr>
    </w:p>
    <w:p>
      <w:pPr>
        <w:ind w:left="640" w:right="8399" w:hanging="4"/>
        <w:spacing w:after="0" w:line="282" w:lineRule="auto"/>
        <w:tabs>
          <w:tab w:leader="none" w:pos="946"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Tax ID 94-3382001</w:t>
      </w:r>
    </w:p>
    <w:p>
      <w:pPr>
        <w:spacing w:after="0" w:line="377" w:lineRule="exact"/>
        <w:rPr>
          <w:rFonts w:ascii="Times New Roman" w:cs="Times New Roman" w:eastAsia="Times New Roman" w:hAnsi="Times New Roman"/>
          <w:sz w:val="21"/>
          <w:szCs w:val="21"/>
          <w:color w:val="auto"/>
        </w:rPr>
      </w:pPr>
    </w:p>
    <w:p>
      <w:pPr>
        <w:ind w:left="640" w:hanging="436"/>
        <w:spacing w:after="0"/>
        <w:tabs>
          <w:tab w:leader="none" w:pos="64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98" w:lineRule="exact"/>
        <w:rPr>
          <w:rFonts w:ascii="Times New Roman" w:cs="Times New Roman" w:eastAsia="Times New Roman" w:hAnsi="Times New Roman"/>
          <w:sz w:val="22"/>
          <w:szCs w:val="22"/>
          <w:color w:val="auto"/>
        </w:rPr>
      </w:pPr>
    </w:p>
    <w:p>
      <w:pPr>
        <w:ind w:left="980" w:hanging="344"/>
        <w:spacing w:after="0"/>
        <w:tabs>
          <w:tab w:leader="none" w:pos="98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98" w:lineRule="exact"/>
        <w:rPr>
          <w:rFonts w:ascii="Times New Roman" w:cs="Times New Roman" w:eastAsia="Times New Roman" w:hAnsi="Times New Roman"/>
          <w:sz w:val="22"/>
          <w:szCs w:val="22"/>
          <w:color w:val="auto"/>
        </w:rPr>
      </w:pPr>
    </w:p>
    <w:p>
      <w:pPr>
        <w:ind w:left="1000" w:hanging="364"/>
        <w:spacing w:after="0"/>
        <w:tabs>
          <w:tab w:leader="none" w:pos="100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6"/>
        <w:spacing w:after="0"/>
        <w:tabs>
          <w:tab w:leader="none" w:pos="64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 . . . . . . . . . . . . . . . . . . . . . . . . . . . . . . . . . . . . . . . . . . . .</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6"/>
        <w:spacing w:after="0"/>
        <w:tabs>
          <w:tab w:leader="none" w:pos="64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-1636395</wp:posOffset>
            </wp:positionV>
            <wp:extent cx="5636260"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36260" cy="209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-744855</wp:posOffset>
            </wp:positionV>
            <wp:extent cx="5636260"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36260" cy="209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-299085</wp:posOffset>
            </wp:positionV>
            <wp:extent cx="5636260"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36260" cy="209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146050</wp:posOffset>
            </wp:positionV>
            <wp:extent cx="5636260"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36260" cy="209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240" w:type="dxa"/>
            <w:vAlign w:val="bottom"/>
          </w:tcPr>
          <w:p>
            <w:pPr>
              <w:spacing w:after="0"/>
              <w:rPr>
                <w:sz w:val="24"/>
                <w:szCs w:val="24"/>
                <w:color w:val="auto"/>
              </w:rPr>
            </w:pPr>
          </w:p>
        </w:tc>
        <w:tc>
          <w:tcPr>
            <w:tcW w:w="764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5. Sole Voting Power 0</w:t>
            </w:r>
          </w:p>
        </w:tc>
        <w:tc>
          <w:tcPr>
            <w:tcW w:w="0" w:type="dxa"/>
            <w:vAlign w:val="bottom"/>
          </w:tcPr>
          <w:p>
            <w:pPr>
              <w:spacing w:after="0"/>
              <w:rPr>
                <w:sz w:val="1"/>
                <w:szCs w:val="1"/>
                <w:color w:val="auto"/>
              </w:rPr>
            </w:pPr>
          </w:p>
        </w:tc>
      </w:tr>
      <w:tr>
        <w:trPr>
          <w:trHeight w:val="214"/>
        </w:trPr>
        <w:tc>
          <w:tcPr>
            <w:tcW w:w="1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180" w:type="dxa"/>
            <w:vAlign w:val="bottom"/>
          </w:tcPr>
          <w:p>
            <w:pPr>
              <w:spacing w:after="0"/>
              <w:rPr>
                <w:sz w:val="18"/>
                <w:szCs w:val="18"/>
                <w:color w:val="auto"/>
              </w:rPr>
            </w:pPr>
          </w:p>
        </w:tc>
        <w:tc>
          <w:tcPr>
            <w:tcW w:w="746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124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7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7640" w:type="dxa"/>
            <w:vAlign w:val="bottom"/>
            <w:gridSpan w:val="2"/>
            <w:vMerge w:val="restart"/>
          </w:tcPr>
          <w:p>
            <w:pPr>
              <w:ind w:left="180"/>
              <w:spacing w:after="0"/>
              <w:rPr>
                <w:sz w:val="20"/>
                <w:szCs w:val="20"/>
                <w:color w:val="auto"/>
              </w:rPr>
            </w:pPr>
            <w:r>
              <w:rPr>
                <w:rFonts w:ascii="Times New Roman" w:cs="Times New Roman" w:eastAsia="Times New Roman" w:hAnsi="Times New Roman"/>
                <w:sz w:val="22"/>
                <w:szCs w:val="22"/>
                <w:color w:val="auto"/>
              </w:rPr>
              <w:t>6. Shared Voting Power 0</w:t>
            </w:r>
          </w:p>
        </w:tc>
        <w:tc>
          <w:tcPr>
            <w:tcW w:w="0" w:type="dxa"/>
            <w:vAlign w:val="bottom"/>
          </w:tcPr>
          <w:p>
            <w:pPr>
              <w:spacing w:after="0"/>
              <w:rPr>
                <w:sz w:val="1"/>
                <w:szCs w:val="1"/>
                <w:color w:val="auto"/>
              </w:rPr>
            </w:pPr>
          </w:p>
        </w:tc>
      </w:tr>
      <w:tr>
        <w:trPr>
          <w:trHeight w:val="174"/>
        </w:trPr>
        <w:tc>
          <w:tcPr>
            <w:tcW w:w="12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2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12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180" w:type="dxa"/>
            <w:vAlign w:val="bottom"/>
          </w:tcPr>
          <w:p>
            <w:pPr>
              <w:spacing w:after="0"/>
              <w:rPr>
                <w:sz w:val="12"/>
                <w:szCs w:val="12"/>
                <w:color w:val="auto"/>
              </w:rPr>
            </w:pPr>
          </w:p>
        </w:tc>
        <w:tc>
          <w:tcPr>
            <w:tcW w:w="746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12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1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640" w:type="dxa"/>
            <w:vAlign w:val="bottom"/>
            <w:gridSpan w:val="2"/>
            <w:vMerge w:val="restart"/>
          </w:tcPr>
          <w:p>
            <w:pPr>
              <w:ind w:left="180"/>
              <w:spacing w:after="0"/>
              <w:rPr>
                <w:sz w:val="20"/>
                <w:szCs w:val="20"/>
                <w:color w:val="auto"/>
              </w:rPr>
            </w:pPr>
            <w:r>
              <w:rPr>
                <w:rFonts w:ascii="Times New Roman" w:cs="Times New Roman" w:eastAsia="Times New Roman" w:hAnsi="Times New Roman"/>
                <w:sz w:val="22"/>
                <w:szCs w:val="22"/>
                <w:color w:val="auto"/>
              </w:rPr>
              <w:t>7. Sole Dispositive Power 0</w:t>
            </w:r>
          </w:p>
        </w:tc>
        <w:tc>
          <w:tcPr>
            <w:tcW w:w="0" w:type="dxa"/>
            <w:vAlign w:val="bottom"/>
          </w:tcPr>
          <w:p>
            <w:pPr>
              <w:spacing w:after="0"/>
              <w:rPr>
                <w:sz w:val="1"/>
                <w:szCs w:val="1"/>
                <w:color w:val="auto"/>
              </w:rPr>
            </w:pPr>
          </w:p>
        </w:tc>
      </w:tr>
      <w:tr>
        <w:trPr>
          <w:trHeight w:val="147"/>
        </w:trPr>
        <w:tc>
          <w:tcPr>
            <w:tcW w:w="12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2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7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1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Person With</w:t>
            </w:r>
          </w:p>
        </w:tc>
        <w:tc>
          <w:tcPr>
            <w:tcW w:w="180" w:type="dxa"/>
            <w:vAlign w:val="bottom"/>
          </w:tcPr>
          <w:p>
            <w:pPr>
              <w:spacing w:after="0"/>
              <w:rPr>
                <w:sz w:val="10"/>
                <w:szCs w:val="10"/>
                <w:color w:val="auto"/>
              </w:rPr>
            </w:pPr>
          </w:p>
        </w:tc>
        <w:tc>
          <w:tcPr>
            <w:tcW w:w="74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2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5622925</wp:posOffset>
            </wp:positionH>
            <wp:positionV relativeFrom="paragraph">
              <wp:posOffset>-996950</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-996950</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5622925</wp:posOffset>
            </wp:positionH>
            <wp:positionV relativeFrom="paragraph">
              <wp:posOffset>-551180</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-551180</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5622925</wp:posOffset>
            </wp:positionH>
            <wp:positionV relativeFrom="paragraph">
              <wp:posOffset>-105410</wp:posOffset>
            </wp:positionV>
            <wp:extent cx="127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-105410</wp:posOffset>
            </wp:positionV>
            <wp:extent cx="127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22" w:lineRule="exact"/>
        <w:rPr>
          <w:sz w:val="20"/>
          <w:szCs w:val="20"/>
          <w:color w:val="auto"/>
        </w:rPr>
      </w:pPr>
    </w:p>
    <w:p>
      <w:pPr>
        <w:ind w:left="1640" w:hanging="221"/>
        <w:spacing w:after="0"/>
        <w:tabs>
          <w:tab w:leader="none" w:pos="164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Dispositive Power 0</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6"/>
        <w:spacing w:after="0"/>
        <w:tabs>
          <w:tab w:leader="none" w:pos="64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0</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6"/>
        <w:spacing w:after="0"/>
        <w:tabs>
          <w:tab w:leader="none" w:pos="64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if the Aggregate Amount in Row (9) Excludes Certain Shares (See Instructions)</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6"/>
        <w:spacing w:after="0"/>
        <w:tabs>
          <w:tab w:leader="none" w:pos="64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0 %</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6"/>
        <w:spacing w:after="0"/>
        <w:tabs>
          <w:tab w:leader="none" w:pos="64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-1636395</wp:posOffset>
            </wp:positionV>
            <wp:extent cx="563626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3626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-1190625</wp:posOffset>
            </wp:positionV>
            <wp:extent cx="563626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3626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-744855</wp:posOffset>
            </wp:positionV>
            <wp:extent cx="5636260"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36260" cy="209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-299085</wp:posOffset>
            </wp:positionV>
            <wp:extent cx="563626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3626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146050</wp:posOffset>
            </wp:positionV>
            <wp:extent cx="563626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3626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146050</wp:posOffset>
            </wp:positionV>
            <wp:extent cx="5636260"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36260" cy="209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102" w:lineRule="exact"/>
        <w:rPr>
          <w:sz w:val="20"/>
          <w:szCs w:val="20"/>
          <w:color w:val="auto"/>
        </w:rPr>
      </w:pPr>
    </w:p>
    <w:p>
      <w:pPr>
        <w:ind w:left="700" w:hanging="374"/>
        <w:spacing w:after="0"/>
        <w:tabs>
          <w:tab w:leader="none" w:pos="70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Issuer</w:t>
      </w:r>
    </w:p>
    <w:p>
      <w:pPr>
        <w:spacing w:after="0" w:line="14" w:lineRule="exact"/>
        <w:rPr>
          <w:rFonts w:ascii="Times New Roman" w:cs="Times New Roman" w:eastAsia="Times New Roman" w:hAnsi="Times New Roman"/>
          <w:sz w:val="22"/>
          <w:szCs w:val="22"/>
          <w:color w:val="auto"/>
        </w:rPr>
      </w:pPr>
    </w:p>
    <w:p>
      <w:pPr>
        <w:ind w:left="7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EURONET WORLDWIDE INC</w:t>
      </w:r>
    </w:p>
    <w:p>
      <w:pPr>
        <w:spacing w:after="0" w:line="74" w:lineRule="exact"/>
        <w:rPr>
          <w:rFonts w:ascii="Times New Roman" w:cs="Times New Roman" w:eastAsia="Times New Roman" w:hAnsi="Times New Roman"/>
          <w:sz w:val="22"/>
          <w:szCs w:val="22"/>
          <w:color w:val="auto"/>
        </w:rPr>
      </w:pPr>
    </w:p>
    <w:p>
      <w:pPr>
        <w:ind w:left="700" w:hanging="374"/>
        <w:spacing w:after="0"/>
        <w:tabs>
          <w:tab w:leader="none" w:pos="70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of Issuer's Principal Executive Offices</w:t>
      </w:r>
    </w:p>
    <w:p>
      <w:pPr>
        <w:spacing w:after="0" w:line="98" w:lineRule="exact"/>
        <w:rPr>
          <w:rFonts w:ascii="Times New Roman" w:cs="Times New Roman" w:eastAsia="Times New Roman" w:hAnsi="Times New Roman"/>
          <w:sz w:val="22"/>
          <w:szCs w:val="22"/>
          <w:color w:val="auto"/>
        </w:rPr>
      </w:pPr>
    </w:p>
    <w:p>
      <w:pPr>
        <w:ind w:left="7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11400 TOMAHAWK CREEK PARKWAYSUITE 300LEAWOOD KS 66211</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02" w:lineRule="exact"/>
        <w:rPr>
          <w:sz w:val="20"/>
          <w:szCs w:val="20"/>
          <w:color w:val="auto"/>
        </w:rPr>
      </w:pPr>
    </w:p>
    <w:p>
      <w:pPr>
        <w:ind w:left="700" w:hanging="374"/>
        <w:spacing w:after="0"/>
        <w:tabs>
          <w:tab w:leader="none" w:pos="70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Persons Filing</w:t>
      </w:r>
    </w:p>
    <w:p>
      <w:pPr>
        <w:spacing w:after="0" w:line="98" w:lineRule="exact"/>
        <w:rPr>
          <w:rFonts w:ascii="Times New Roman" w:cs="Times New Roman" w:eastAsia="Times New Roman" w:hAnsi="Times New Roman"/>
          <w:sz w:val="22"/>
          <w:szCs w:val="22"/>
          <w:color w:val="auto"/>
        </w:rPr>
      </w:pPr>
    </w:p>
    <w:p>
      <w:pPr>
        <w:ind w:left="700" w:right="2079"/>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Schedule 13G is being filed on behalf of the following entities (collectively, the 'Reporting Persons'):</w:t>
      </w:r>
    </w:p>
    <w:p>
      <w:pPr>
        <w:spacing w:after="0" w:line="50" w:lineRule="exact"/>
        <w:rPr>
          <w:rFonts w:ascii="Times New Roman" w:cs="Times New Roman" w:eastAsia="Times New Roman" w:hAnsi="Times New Roman"/>
          <w:sz w:val="22"/>
          <w:szCs w:val="22"/>
          <w:color w:val="auto"/>
        </w:rPr>
      </w:pPr>
    </w:p>
    <w:p>
      <w:pPr>
        <w:ind w:left="7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Allspring Global Investments Holdings, LLC ('AGIH')</w:t>
      </w:r>
    </w:p>
    <w:p>
      <w:pPr>
        <w:sectPr>
          <w:pgSz w:w="11900" w:h="16887" w:orient="portrait"/>
          <w:cols w:equalWidth="0" w:num="1">
            <w:col w:w="10079"/>
          </w:cols>
          <w:pgMar w:left="380" w:top="342" w:right="1440" w:bottom="0" w:gutter="0" w:footer="0" w:header="0"/>
        </w:sectPr>
      </w:pPr>
    </w:p>
    <w:bookmarkStart w:id="3" w:name="page4"/>
    <w:bookmarkEnd w:id="3"/>
    <w:p>
      <w:pPr>
        <w:ind w:left="1000" w:hanging="310"/>
        <w:spacing w:after="0"/>
        <w:tabs>
          <w:tab w:leader="none" w:pos="100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Allspring Global Investments, LLC ('AGI')</w:t>
      </w:r>
    </w:p>
    <w:p>
      <w:pPr>
        <w:spacing w:after="0" w:line="98" w:lineRule="exact"/>
        <w:rPr>
          <w:rFonts w:ascii="Times New Roman" w:cs="Times New Roman" w:eastAsia="Times New Roman" w:hAnsi="Times New Roman"/>
          <w:sz w:val="22"/>
          <w:szCs w:val="22"/>
          <w:color w:val="auto"/>
        </w:rPr>
      </w:pPr>
    </w:p>
    <w:p>
      <w:pPr>
        <w:ind w:left="1060" w:hanging="370"/>
        <w:spacing w:after="0"/>
        <w:tabs>
          <w:tab w:leader="none" w:pos="10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Allspring Funds Management, LLC ('AFM')</w:t>
      </w:r>
    </w:p>
    <w:p>
      <w:pPr>
        <w:spacing w:after="0" w:line="98" w:lineRule="exact"/>
        <w:rPr>
          <w:sz w:val="20"/>
          <w:szCs w:val="20"/>
          <w:color w:val="auto"/>
        </w:rPr>
      </w:pPr>
    </w:p>
    <w:p>
      <w:pPr>
        <w:ind w:left="700" w:right="2019"/>
        <w:spacing w:after="0" w:line="258" w:lineRule="auto"/>
        <w:rPr>
          <w:sz w:val="20"/>
          <w:szCs w:val="20"/>
          <w:color w:val="auto"/>
        </w:rPr>
      </w:pPr>
      <w:r>
        <w:rPr>
          <w:rFonts w:ascii="Times New Roman" w:cs="Times New Roman" w:eastAsia="Times New Roman" w:hAnsi="Times New Roman"/>
          <w:sz w:val="22"/>
          <w:szCs w:val="22"/>
          <w:color w:val="auto"/>
        </w:rPr>
        <w:t>This Schedule 13G is jointly filed by the Reporting Persons pursuant to a Joint Filing Agreement attached hereto as Exhibit B.</w:t>
      </w:r>
    </w:p>
    <w:p>
      <w:pPr>
        <w:spacing w:after="0" w:line="50" w:lineRule="exact"/>
        <w:rPr>
          <w:sz w:val="20"/>
          <w:szCs w:val="20"/>
          <w:color w:val="auto"/>
        </w:rPr>
      </w:pPr>
    </w:p>
    <w:p>
      <w:pPr>
        <w:ind w:left="700" w:right="4259" w:hanging="374"/>
        <w:spacing w:after="0" w:line="332" w:lineRule="auto"/>
        <w:tabs>
          <w:tab w:leader="none" w:pos="70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of Principal Business Office or, if none, Residence The address of each Reporting Person is:</w:t>
      </w:r>
    </w:p>
    <w:p>
      <w:pPr>
        <w:spacing w:after="0" w:line="2" w:lineRule="exact"/>
        <w:rPr>
          <w:rFonts w:ascii="Times New Roman" w:cs="Times New Roman" w:eastAsia="Times New Roman" w:hAnsi="Times New Roman"/>
          <w:sz w:val="22"/>
          <w:szCs w:val="22"/>
          <w:color w:val="auto"/>
        </w:rPr>
      </w:pPr>
    </w:p>
    <w:p>
      <w:pPr>
        <w:ind w:left="7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525 Market St, 10th Fl, San Francisco, CA 94105</w:t>
      </w:r>
    </w:p>
    <w:p>
      <w:pPr>
        <w:spacing w:after="0" w:line="98" w:lineRule="exact"/>
        <w:rPr>
          <w:rFonts w:ascii="Times New Roman" w:cs="Times New Roman" w:eastAsia="Times New Roman" w:hAnsi="Times New Roman"/>
          <w:sz w:val="22"/>
          <w:szCs w:val="22"/>
          <w:color w:val="auto"/>
        </w:rPr>
      </w:pPr>
    </w:p>
    <w:p>
      <w:pPr>
        <w:ind w:left="700" w:right="6239" w:hanging="374"/>
        <w:spacing w:after="0" w:line="258" w:lineRule="auto"/>
        <w:tabs>
          <w:tab w:leader="none" w:pos="70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of each reporting person Delaware</w:t>
      </w:r>
    </w:p>
    <w:p>
      <w:pPr>
        <w:spacing w:after="0" w:line="50" w:lineRule="exact"/>
        <w:rPr>
          <w:rFonts w:ascii="Times New Roman" w:cs="Times New Roman" w:eastAsia="Times New Roman" w:hAnsi="Times New Roman"/>
          <w:sz w:val="22"/>
          <w:szCs w:val="22"/>
          <w:color w:val="auto"/>
        </w:rPr>
      </w:pPr>
    </w:p>
    <w:p>
      <w:pPr>
        <w:ind w:left="700" w:hanging="374"/>
        <w:spacing w:after="0"/>
        <w:tabs>
          <w:tab w:leader="none" w:pos="70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Title of Class of Securities</w:t>
      </w:r>
    </w:p>
    <w:p>
      <w:pPr>
        <w:spacing w:after="0" w:line="14" w:lineRule="exact"/>
        <w:rPr>
          <w:rFonts w:ascii="Times New Roman" w:cs="Times New Roman" w:eastAsia="Times New Roman" w:hAnsi="Times New Roman"/>
          <w:sz w:val="22"/>
          <w:szCs w:val="22"/>
          <w:color w:val="auto"/>
        </w:rPr>
      </w:pPr>
    </w:p>
    <w:p>
      <w:pPr>
        <w:ind w:left="7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w:t>
      </w:r>
    </w:p>
    <w:p>
      <w:pPr>
        <w:spacing w:after="0" w:line="74" w:lineRule="exact"/>
        <w:rPr>
          <w:rFonts w:ascii="Times New Roman" w:cs="Times New Roman" w:eastAsia="Times New Roman" w:hAnsi="Times New Roman"/>
          <w:sz w:val="22"/>
          <w:szCs w:val="22"/>
          <w:color w:val="auto"/>
        </w:rPr>
      </w:pPr>
    </w:p>
    <w:p>
      <w:pPr>
        <w:ind w:left="700" w:right="8019" w:hanging="374"/>
        <w:spacing w:after="0" w:line="282" w:lineRule="auto"/>
        <w:tabs>
          <w:tab w:leader="none" w:pos="70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CUSIP Number 298736109</w:t>
      </w:r>
    </w:p>
    <w:p>
      <w:pPr>
        <w:spacing w:after="0" w:line="374" w:lineRule="exact"/>
        <w:rPr>
          <w:sz w:val="20"/>
          <w:szCs w:val="20"/>
          <w:color w:val="auto"/>
        </w:rPr>
      </w:pPr>
    </w:p>
    <w:p>
      <w:pPr>
        <w:ind w:left="780" w:right="1319" w:hanging="782"/>
        <w:spacing w:after="0" w:line="262" w:lineRule="auto"/>
        <w:rPr>
          <w:sz w:val="20"/>
          <w:szCs w:val="20"/>
          <w:color w:val="auto"/>
        </w:rPr>
      </w:pPr>
      <w:r>
        <w:rPr>
          <w:rFonts w:ascii="Times New Roman" w:cs="Times New Roman" w:eastAsia="Times New Roman" w:hAnsi="Times New Roman"/>
          <w:sz w:val="22"/>
          <w:szCs w:val="22"/>
          <w:b w:val="1"/>
          <w:bCs w:val="1"/>
          <w:color w:val="auto"/>
        </w:rPr>
        <w:t>Item 3. If this statement is filed pursuant to 240.13d-1(b) or 240.13d-2(b) or (c), check whether the person filing is a:</w:t>
      </w:r>
    </w:p>
    <w:p>
      <w:pPr>
        <w:spacing w:after="0" w:line="46" w:lineRule="exact"/>
        <w:rPr>
          <w:sz w:val="20"/>
          <w:szCs w:val="20"/>
          <w:color w:val="auto"/>
        </w:rPr>
      </w:pPr>
    </w:p>
    <w:p>
      <w:pPr>
        <w:ind w:left="780" w:hanging="464"/>
        <w:spacing w:after="0"/>
        <w:tabs>
          <w:tab w:leader="none" w:pos="78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Broker or dealer registered under section 15 of the Act (15 U.S.C. 78c)</w:t>
      </w:r>
    </w:p>
    <w:p>
      <w:pPr>
        <w:spacing w:after="0" w:line="260" w:lineRule="exact"/>
        <w:rPr>
          <w:rFonts w:ascii="Times New Roman" w:cs="Times New Roman" w:eastAsia="Times New Roman" w:hAnsi="Times New Roman"/>
          <w:sz w:val="22"/>
          <w:szCs w:val="22"/>
          <w:color w:val="auto"/>
        </w:rPr>
      </w:pPr>
    </w:p>
    <w:p>
      <w:pPr>
        <w:ind w:left="780" w:hanging="476"/>
        <w:spacing w:after="0"/>
        <w:tabs>
          <w:tab w:leader="none" w:pos="78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Bank as defined in section 3(a)(6) of the Act (15 U.S.C. 78c).</w:t>
      </w:r>
    </w:p>
    <w:p>
      <w:pPr>
        <w:spacing w:after="0" w:line="260" w:lineRule="exact"/>
        <w:rPr>
          <w:rFonts w:ascii="Times New Roman" w:cs="Times New Roman" w:eastAsia="Times New Roman" w:hAnsi="Times New Roman"/>
          <w:sz w:val="22"/>
          <w:szCs w:val="22"/>
          <w:color w:val="auto"/>
        </w:rPr>
      </w:pPr>
    </w:p>
    <w:p>
      <w:pPr>
        <w:ind w:left="780" w:hanging="464"/>
        <w:spacing w:after="0"/>
        <w:tabs>
          <w:tab w:leader="none" w:pos="78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Insurance company as defined in section 3(a)(19) of the Act (15 U.S.C. 78c).</w:t>
      </w:r>
    </w:p>
    <w:p>
      <w:pPr>
        <w:spacing w:after="0" w:line="260" w:lineRule="exact"/>
        <w:rPr>
          <w:rFonts w:ascii="Times New Roman" w:cs="Times New Roman" w:eastAsia="Times New Roman" w:hAnsi="Times New Roman"/>
          <w:sz w:val="22"/>
          <w:szCs w:val="22"/>
          <w:color w:val="auto"/>
        </w:rPr>
      </w:pPr>
    </w:p>
    <w:p>
      <w:pPr>
        <w:ind w:left="1200" w:right="1239" w:hanging="896"/>
        <w:spacing w:after="0" w:line="258" w:lineRule="auto"/>
        <w:tabs>
          <w:tab w:leader="none" w:pos="782"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Investment company registered under section 8 of the Investment Company Act of 1940 (15 U.S.C 80a-8).</w:t>
      </w:r>
    </w:p>
    <w:p>
      <w:pPr>
        <w:spacing w:after="0" w:line="50" w:lineRule="exact"/>
        <w:rPr>
          <w:rFonts w:ascii="Times New Roman" w:cs="Times New Roman" w:eastAsia="Times New Roman" w:hAnsi="Times New Roman"/>
          <w:sz w:val="22"/>
          <w:szCs w:val="22"/>
          <w:color w:val="auto"/>
        </w:rPr>
      </w:pPr>
    </w:p>
    <w:p>
      <w:pPr>
        <w:ind w:left="780" w:hanging="464"/>
        <w:spacing w:after="0"/>
        <w:tabs>
          <w:tab w:leader="none" w:pos="78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An investment adviser in accordance with 240.13d-1(b)(1)(ii)(E);</w:t>
      </w:r>
    </w:p>
    <w:p>
      <w:pPr>
        <w:spacing w:after="0" w:line="260" w:lineRule="exact"/>
        <w:rPr>
          <w:rFonts w:ascii="Times New Roman" w:cs="Times New Roman" w:eastAsia="Times New Roman" w:hAnsi="Times New Roman"/>
          <w:sz w:val="22"/>
          <w:szCs w:val="22"/>
          <w:color w:val="auto"/>
        </w:rPr>
      </w:pPr>
    </w:p>
    <w:p>
      <w:pPr>
        <w:ind w:left="1200" w:right="1499" w:hanging="860"/>
        <w:spacing w:after="0" w:line="258" w:lineRule="auto"/>
        <w:tabs>
          <w:tab w:leader="none" w:pos="782"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An employee benefit plan or endowment fund in accordance with 240.13d-1(b)(1)(ii) (F);</w:t>
      </w:r>
    </w:p>
    <w:p>
      <w:pPr>
        <w:spacing w:after="0" w:line="50" w:lineRule="exact"/>
        <w:rPr>
          <w:rFonts w:ascii="Times New Roman" w:cs="Times New Roman" w:eastAsia="Times New Roman" w:hAnsi="Times New Roman"/>
          <w:sz w:val="22"/>
          <w:szCs w:val="22"/>
          <w:color w:val="auto"/>
        </w:rPr>
      </w:pPr>
    </w:p>
    <w:p>
      <w:pPr>
        <w:ind w:left="780" w:hanging="476"/>
        <w:spacing w:after="0"/>
        <w:tabs>
          <w:tab w:leader="none" w:pos="780"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[X] A parent holding company or control person in accordance with 240.13d-1(b)(1)(ii)(G);</w:t>
      </w:r>
    </w:p>
    <w:p>
      <w:pPr>
        <w:spacing w:after="0" w:line="271" w:lineRule="exact"/>
        <w:rPr>
          <w:rFonts w:ascii="Times New Roman" w:cs="Times New Roman" w:eastAsia="Times New Roman" w:hAnsi="Times New Roman"/>
          <w:sz w:val="21"/>
          <w:szCs w:val="21"/>
          <w:color w:val="auto"/>
        </w:rPr>
      </w:pPr>
    </w:p>
    <w:p>
      <w:pPr>
        <w:ind w:left="1200" w:right="1499" w:hanging="896"/>
        <w:spacing w:after="0" w:line="258" w:lineRule="auto"/>
        <w:tabs>
          <w:tab w:leader="none" w:pos="782"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savings association as defined in Section 3(b) of the Federal Deposit Insurance Act (12 U.S.C. 1813);</w:t>
      </w:r>
    </w:p>
    <w:p>
      <w:pPr>
        <w:spacing w:after="0" w:line="50" w:lineRule="exact"/>
        <w:rPr>
          <w:rFonts w:ascii="Times New Roman" w:cs="Times New Roman" w:eastAsia="Times New Roman" w:hAnsi="Times New Roman"/>
          <w:sz w:val="22"/>
          <w:szCs w:val="22"/>
          <w:color w:val="auto"/>
        </w:rPr>
      </w:pPr>
    </w:p>
    <w:p>
      <w:pPr>
        <w:ind w:left="1200" w:right="1679" w:hanging="848"/>
        <w:spacing w:after="0" w:line="241" w:lineRule="auto"/>
        <w:tabs>
          <w:tab w:leader="none" w:pos="782"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church plan that is excluded from the definition of an investment company under section</w:t>
      </w:r>
    </w:p>
    <w:p>
      <w:pPr>
        <w:spacing w:after="0" w:line="1" w:lineRule="exact"/>
        <w:rPr>
          <w:rFonts w:ascii="Times New Roman" w:cs="Times New Roman" w:eastAsia="Times New Roman" w:hAnsi="Times New Roman"/>
          <w:sz w:val="22"/>
          <w:szCs w:val="22"/>
          <w:color w:val="auto"/>
        </w:rPr>
      </w:pPr>
    </w:p>
    <w:p>
      <w:pPr>
        <w:ind w:left="1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3(c)(14) of the Investment Company Act of 1940 (15 U.S.C. 80a-3);</w:t>
      </w:r>
    </w:p>
    <w:p>
      <w:pPr>
        <w:spacing w:after="0" w:line="74" w:lineRule="exact"/>
        <w:rPr>
          <w:rFonts w:ascii="Times New Roman" w:cs="Times New Roman" w:eastAsia="Times New Roman" w:hAnsi="Times New Roman"/>
          <w:sz w:val="22"/>
          <w:szCs w:val="22"/>
          <w:color w:val="auto"/>
        </w:rPr>
      </w:pPr>
    </w:p>
    <w:p>
      <w:pPr>
        <w:ind w:left="780" w:hanging="428"/>
        <w:spacing w:after="0"/>
        <w:tabs>
          <w:tab w:leader="none" w:pos="78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non-U.S.institution in accordance with 240.13d-1(b)(1)(ii)(J);</w:t>
      </w:r>
    </w:p>
    <w:p>
      <w:pPr>
        <w:spacing w:after="0" w:line="260" w:lineRule="exact"/>
        <w:rPr>
          <w:rFonts w:ascii="Times New Roman" w:cs="Times New Roman" w:eastAsia="Times New Roman" w:hAnsi="Times New Roman"/>
          <w:sz w:val="22"/>
          <w:szCs w:val="22"/>
          <w:color w:val="auto"/>
        </w:rPr>
      </w:pPr>
    </w:p>
    <w:p>
      <w:pPr>
        <w:ind w:left="780" w:hanging="476"/>
        <w:spacing w:after="0"/>
        <w:tabs>
          <w:tab w:leader="none" w:pos="78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Group, in accordance with 240.13d-1(b)(1)(ii)(K).</w:t>
      </w:r>
    </w:p>
    <w:p>
      <w:pPr>
        <w:spacing w:after="0" w:line="260" w:lineRule="exact"/>
        <w:rPr>
          <w:sz w:val="20"/>
          <w:szCs w:val="20"/>
          <w:color w:val="auto"/>
        </w:rPr>
      </w:pPr>
    </w:p>
    <w:p>
      <w:pPr>
        <w:ind w:left="1200" w:right="1859"/>
        <w:spacing w:after="0" w:line="258" w:lineRule="auto"/>
        <w:rPr>
          <w:sz w:val="20"/>
          <w:szCs w:val="20"/>
          <w:color w:val="auto"/>
        </w:rPr>
      </w:pPr>
      <w:r>
        <w:rPr>
          <w:rFonts w:ascii="Times New Roman" w:cs="Times New Roman" w:eastAsia="Times New Roman" w:hAnsi="Times New Roman"/>
          <w:sz w:val="22"/>
          <w:szCs w:val="22"/>
          <w:color w:val="auto"/>
        </w:rPr>
        <w:t>If filing as a non-U.S.institution in accordance with 240.13d-1(b)(1)(ii)(J), please specify the type of institution: ______________</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4. Ownership.</w:t>
      </w:r>
    </w:p>
    <w:p>
      <w:pPr>
        <w:spacing w:after="0" w:line="102" w:lineRule="exact"/>
        <w:rPr>
          <w:sz w:val="20"/>
          <w:szCs w:val="20"/>
          <w:color w:val="auto"/>
        </w:rPr>
      </w:pPr>
    </w:p>
    <w:p>
      <w:pPr>
        <w:ind w:right="1699"/>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50" w:lineRule="exact"/>
        <w:rPr>
          <w:sz w:val="20"/>
          <w:szCs w:val="20"/>
          <w:color w:val="auto"/>
        </w:rPr>
      </w:pPr>
    </w:p>
    <w:p>
      <w:pPr>
        <w:ind w:left="760" w:hanging="407"/>
        <w:spacing w:after="0"/>
        <w:tabs>
          <w:tab w:leader="none" w:pos="76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98" w:lineRule="exact"/>
        <w:rPr>
          <w:rFonts w:ascii="Times New Roman" w:cs="Times New Roman" w:eastAsia="Times New Roman" w:hAnsi="Times New Roman"/>
          <w:sz w:val="22"/>
          <w:szCs w:val="22"/>
          <w:color w:val="auto"/>
        </w:rPr>
      </w:pPr>
    </w:p>
    <w:p>
      <w:pPr>
        <w:ind w:left="1020" w:hanging="262"/>
        <w:spacing w:after="0"/>
        <w:tabs>
          <w:tab w:leader="none" w:pos="1020"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AGIH: 2,873,457</w:t>
      </w:r>
    </w:p>
    <w:p>
      <w:pPr>
        <w:spacing w:after="0" w:line="98" w:lineRule="exact"/>
        <w:rPr>
          <w:rFonts w:ascii="Times New Roman" w:cs="Times New Roman" w:eastAsia="Times New Roman" w:hAnsi="Times New Roman"/>
          <w:sz w:val="22"/>
          <w:szCs w:val="22"/>
          <w:color w:val="auto"/>
        </w:rPr>
      </w:pPr>
    </w:p>
    <w:p>
      <w:pPr>
        <w:ind w:left="1080" w:hanging="322"/>
        <w:spacing w:after="0"/>
        <w:tabs>
          <w:tab w:leader="none" w:pos="1080"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AGI: 2,864,526</w:t>
      </w:r>
    </w:p>
    <w:p>
      <w:pPr>
        <w:spacing w:after="0" w:line="98" w:lineRule="exact"/>
        <w:rPr>
          <w:sz w:val="20"/>
          <w:szCs w:val="20"/>
          <w:color w:val="auto"/>
        </w:rPr>
      </w:pPr>
    </w:p>
    <w:p>
      <w:pPr>
        <w:ind w:left="1080" w:hanging="322"/>
        <w:spacing w:after="0"/>
        <w:tabs>
          <w:tab w:leader="none" w:pos="1080"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AFM: 0</w:t>
      </w:r>
    </w:p>
    <w:p>
      <w:pPr>
        <w:spacing w:after="0" w:line="98" w:lineRule="exact"/>
        <w:rPr>
          <w:rFonts w:ascii="Times New Roman" w:cs="Times New Roman" w:eastAsia="Times New Roman" w:hAnsi="Times New Roman"/>
          <w:sz w:val="22"/>
          <w:szCs w:val="22"/>
          <w:color w:val="auto"/>
        </w:rPr>
      </w:pPr>
    </w:p>
    <w:p>
      <w:pPr>
        <w:ind w:left="760" w:hanging="407"/>
        <w:spacing w:after="0"/>
        <w:tabs>
          <w:tab w:leader="none" w:pos="76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98" w:lineRule="exact"/>
        <w:rPr>
          <w:rFonts w:ascii="Times New Roman" w:cs="Times New Roman" w:eastAsia="Times New Roman" w:hAnsi="Times New Roman"/>
          <w:sz w:val="22"/>
          <w:szCs w:val="22"/>
          <w:color w:val="auto"/>
        </w:rPr>
      </w:pPr>
    </w:p>
    <w:p>
      <w:pPr>
        <w:ind w:left="1020" w:hanging="262"/>
        <w:spacing w:after="0"/>
        <w:tabs>
          <w:tab w:leader="none" w:pos="1020"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AGIH: 5.79%</w:t>
      </w:r>
    </w:p>
    <w:p>
      <w:pPr>
        <w:spacing w:after="0" w:line="98" w:lineRule="exact"/>
        <w:rPr>
          <w:rFonts w:ascii="Times New Roman" w:cs="Times New Roman" w:eastAsia="Times New Roman" w:hAnsi="Times New Roman"/>
          <w:sz w:val="22"/>
          <w:szCs w:val="22"/>
          <w:color w:val="auto"/>
        </w:rPr>
      </w:pPr>
    </w:p>
    <w:p>
      <w:pPr>
        <w:ind w:left="1080" w:hanging="322"/>
        <w:spacing w:after="0"/>
        <w:tabs>
          <w:tab w:leader="none" w:pos="1080"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AGI: 5.77%</w:t>
      </w:r>
    </w:p>
    <w:p>
      <w:pPr>
        <w:spacing w:after="0" w:line="98" w:lineRule="exact"/>
        <w:rPr>
          <w:rFonts w:ascii="Times New Roman" w:cs="Times New Roman" w:eastAsia="Times New Roman" w:hAnsi="Times New Roman"/>
          <w:sz w:val="22"/>
          <w:szCs w:val="22"/>
          <w:color w:val="auto"/>
        </w:rPr>
      </w:pPr>
    </w:p>
    <w:p>
      <w:pPr>
        <w:ind w:left="1080" w:hanging="322"/>
        <w:spacing w:after="0"/>
        <w:tabs>
          <w:tab w:leader="none" w:pos="1080"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AFM: 0%</w:t>
      </w:r>
    </w:p>
    <w:p>
      <w:pPr>
        <w:spacing w:after="0" w:line="98" w:lineRule="exact"/>
        <w:rPr>
          <w:rFonts w:ascii="Times New Roman" w:cs="Times New Roman" w:eastAsia="Times New Roman" w:hAnsi="Times New Roman"/>
          <w:sz w:val="22"/>
          <w:szCs w:val="22"/>
          <w:color w:val="auto"/>
        </w:rPr>
      </w:pPr>
    </w:p>
    <w:p>
      <w:pPr>
        <w:ind w:left="760" w:hanging="407"/>
        <w:spacing w:after="0"/>
        <w:tabs>
          <w:tab w:leader="none" w:pos="76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0079"/>
          </w:cols>
          <w:pgMar w:left="380" w:top="207" w:right="1440" w:bottom="0" w:gutter="0" w:footer="0" w:header="0"/>
        </w:sectPr>
      </w:pPr>
    </w:p>
    <w:bookmarkStart w:id="4" w:name="page5"/>
    <w:bookmarkEnd w:id="4"/>
    <w:p>
      <w:pPr>
        <w:ind w:left="1200" w:hanging="442"/>
        <w:spacing w:after="0"/>
        <w:tabs>
          <w:tab w:leader="none" w:pos="120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98"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 AGIH: 2,787,543</w:t>
      </w:r>
    </w:p>
    <w:p>
      <w:pPr>
        <w:spacing w:after="0" w:line="98"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 AGI: 358,810</w:t>
      </w:r>
    </w:p>
    <w:p>
      <w:pPr>
        <w:spacing w:after="0" w:line="98"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 AFM: 0</w:t>
      </w:r>
    </w:p>
    <w:p>
      <w:pPr>
        <w:spacing w:after="0" w:line="98" w:lineRule="exact"/>
        <w:rPr>
          <w:rFonts w:ascii="Times New Roman" w:cs="Times New Roman" w:eastAsia="Times New Roman" w:hAnsi="Times New Roman"/>
          <w:sz w:val="22"/>
          <w:szCs w:val="22"/>
          <w:color w:val="auto"/>
        </w:rPr>
      </w:pPr>
    </w:p>
    <w:p>
      <w:pPr>
        <w:ind w:left="1200" w:hanging="442"/>
        <w:spacing w:after="0"/>
        <w:tabs>
          <w:tab w:leader="none" w:pos="120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98"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 AGIH: 0</w:t>
      </w:r>
    </w:p>
    <w:p>
      <w:pPr>
        <w:spacing w:after="0" w:line="98"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 AGI: 0</w:t>
      </w:r>
    </w:p>
    <w:p>
      <w:pPr>
        <w:spacing w:after="0" w:line="98"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 AFM: 0</w:t>
      </w:r>
    </w:p>
    <w:p>
      <w:pPr>
        <w:spacing w:after="0" w:line="98" w:lineRule="exact"/>
        <w:rPr>
          <w:rFonts w:ascii="Times New Roman" w:cs="Times New Roman" w:eastAsia="Times New Roman" w:hAnsi="Times New Roman"/>
          <w:sz w:val="22"/>
          <w:szCs w:val="22"/>
          <w:color w:val="auto"/>
        </w:rPr>
      </w:pPr>
    </w:p>
    <w:p>
      <w:pPr>
        <w:ind w:left="1200" w:hanging="442"/>
        <w:spacing w:after="0"/>
        <w:tabs>
          <w:tab w:leader="none" w:pos="120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98"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 AGIH: 2,873,457</w:t>
      </w:r>
    </w:p>
    <w:p>
      <w:pPr>
        <w:spacing w:after="0" w:line="98"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 AGI: 2,864,526</w:t>
      </w:r>
    </w:p>
    <w:p>
      <w:pPr>
        <w:spacing w:after="0" w:line="98"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 AFM: 0</w:t>
      </w:r>
    </w:p>
    <w:p>
      <w:pPr>
        <w:spacing w:after="0" w:line="98" w:lineRule="exact"/>
        <w:rPr>
          <w:rFonts w:ascii="Times New Roman" w:cs="Times New Roman" w:eastAsia="Times New Roman" w:hAnsi="Times New Roman"/>
          <w:sz w:val="22"/>
          <w:szCs w:val="22"/>
          <w:color w:val="auto"/>
        </w:rPr>
      </w:pPr>
    </w:p>
    <w:p>
      <w:pPr>
        <w:ind w:left="1200" w:hanging="442"/>
        <w:spacing w:after="0"/>
        <w:tabs>
          <w:tab w:leader="none" w:pos="120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98"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 AGIH: 0</w:t>
      </w:r>
    </w:p>
    <w:p>
      <w:pPr>
        <w:spacing w:after="0" w:line="98"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 AGI: 0</w:t>
      </w:r>
    </w:p>
    <w:p>
      <w:pPr>
        <w:spacing w:after="0" w:line="98"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 AFM: 0</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a Class</w:t>
      </w:r>
    </w:p>
    <w:p>
      <w:pPr>
        <w:spacing w:after="0" w:line="102" w:lineRule="exact"/>
        <w:rPr>
          <w:sz w:val="20"/>
          <w:szCs w:val="20"/>
          <w:color w:val="auto"/>
        </w:rPr>
      </w:pPr>
    </w:p>
    <w:p>
      <w:pPr>
        <w:ind w:right="1699"/>
        <w:spacing w:after="0" w:line="244"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w:t>
      </w:r>
    </w:p>
    <w:p>
      <w:pPr>
        <w:spacing w:after="0" w:line="200" w:lineRule="exact"/>
        <w:rPr>
          <w:sz w:val="20"/>
          <w:szCs w:val="20"/>
          <w:color w:val="auto"/>
        </w:rPr>
      </w:pPr>
    </w:p>
    <w:p>
      <w:pPr>
        <w:spacing w:after="0" w:line="21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94" w:lineRule="exact"/>
        <w:rPr>
          <w:sz w:val="20"/>
          <w:szCs w:val="20"/>
          <w:color w:val="auto"/>
        </w:rPr>
      </w:pPr>
    </w:p>
    <w:p>
      <w:pPr>
        <w:ind w:left="860" w:right="1299" w:hanging="863"/>
        <w:spacing w:after="0" w:line="262" w:lineRule="auto"/>
        <w:tabs>
          <w:tab w:leader="none" w:pos="84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 or Control Person.</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9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9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48" w:lineRule="exact"/>
        <w:rPr>
          <w:sz w:val="20"/>
          <w:szCs w:val="20"/>
          <w:color w:val="auto"/>
        </w:rPr>
      </w:pPr>
    </w:p>
    <w:p>
      <w:pPr>
        <w:jc w:val="both"/>
        <w:ind w:left="480" w:right="1899"/>
        <w:spacing w:after="0" w:line="236"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36"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25"/>
          <w:szCs w:val="25"/>
          <w:b w:val="1"/>
          <w:bCs w:val="1"/>
          <w:color w:val="auto"/>
        </w:rPr>
        <w:t>SIGNATURE</w:t>
      </w:r>
    </w:p>
    <w:p>
      <w:pPr>
        <w:spacing w:after="0" w:line="322" w:lineRule="exact"/>
        <w:rPr>
          <w:sz w:val="20"/>
          <w:szCs w:val="20"/>
          <w:color w:val="auto"/>
        </w:rPr>
      </w:pPr>
    </w:p>
    <w:p>
      <w:pPr>
        <w:ind w:left="240" w:right="1079"/>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53"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22"/>
          <w:szCs w:val="22"/>
          <w:color w:val="auto"/>
        </w:rPr>
        <w:t>January 11,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1270000</wp:posOffset>
            </wp:positionH>
            <wp:positionV relativeFrom="paragraph">
              <wp:posOffset>19685</wp:posOffset>
            </wp:positionV>
            <wp:extent cx="339471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94710" cy="8890"/>
                    </a:xfrm>
                    <a:prstGeom prst="rect">
                      <a:avLst/>
                    </a:prstGeom>
                    <a:noFill/>
                  </pic:spPr>
                </pic:pic>
              </a:graphicData>
            </a:graphic>
          </wp:anchor>
        </w:drawing>
      </w:r>
    </w:p>
    <w:p>
      <w:pPr>
        <w:spacing w:after="0" w:line="38"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22"/>
          <w:szCs w:val="22"/>
          <w:color w:val="auto"/>
        </w:rPr>
        <w:t>Date</w:t>
      </w:r>
    </w:p>
    <w:p>
      <w:pPr>
        <w:spacing w:after="0" w:line="44"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22"/>
          <w:szCs w:val="22"/>
          <w:color w:val="auto"/>
        </w:rPr>
        <w:t>/s/ Phoutthalom Hord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1270000</wp:posOffset>
            </wp:positionH>
            <wp:positionV relativeFrom="paragraph">
              <wp:posOffset>19685</wp:posOffset>
            </wp:positionV>
            <wp:extent cx="33947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38"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22"/>
          <w:szCs w:val="22"/>
          <w:color w:val="auto"/>
        </w:rPr>
        <w:t>Phoutthalom Hord, Designated Signer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1270000</wp:posOffset>
            </wp:positionH>
            <wp:positionV relativeFrom="paragraph">
              <wp:posOffset>19685</wp:posOffset>
            </wp:positionV>
            <wp:extent cx="33947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38"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22"/>
          <w:szCs w:val="22"/>
          <w:color w:val="auto"/>
        </w:rPr>
        <w:t>Name/Title</w:t>
      </w:r>
    </w:p>
    <w:p>
      <w:pPr>
        <w:sectPr>
          <w:pgSz w:w="11900" w:h="16838" w:orient="portrait"/>
          <w:cols w:equalWidth="0" w:num="1">
            <w:col w:w="10079"/>
          </w:cols>
          <w:pgMar w:left="380" w:top="112" w:right="1440" w:bottom="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1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EXPLANATORY NOTE</w:t>
      </w:r>
    </w:p>
    <w:p>
      <w:pPr>
        <w:spacing w:after="0" w:line="233" w:lineRule="exact"/>
        <w:rPr>
          <w:sz w:val="20"/>
          <w:szCs w:val="20"/>
          <w:color w:val="auto"/>
        </w:rPr>
      </w:pPr>
    </w:p>
    <w:p>
      <w:pPr>
        <w:jc w:val="both"/>
        <w:ind w:left="60" w:right="1279"/>
        <w:spacing w:after="0" w:line="244" w:lineRule="auto"/>
        <w:rPr>
          <w:sz w:val="20"/>
          <w:szCs w:val="20"/>
          <w:color w:val="auto"/>
        </w:rPr>
      </w:pPr>
      <w:r>
        <w:rPr>
          <w:rFonts w:ascii="Times New Roman" w:cs="Times New Roman" w:eastAsia="Times New Roman" w:hAnsi="Times New Roman"/>
          <w:sz w:val="22"/>
          <w:szCs w:val="22"/>
          <w:color w:val="auto"/>
        </w:rPr>
        <w:t>Prior to its sale on November, 1, 2021, Allspring Global Investments Holdings, LLC was a subsidiary of Wells Fargo &amp; Company, and prior to that date, its holdings were included on Schedules 13G filed by Wells Fargo &amp; Company, LLC.</w:t>
      </w:r>
    </w:p>
    <w:p>
      <w:pPr>
        <w:spacing w:after="0" w:line="3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1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JOINT FILING AGREEMENT</w:t>
      </w:r>
    </w:p>
    <w:p>
      <w:pPr>
        <w:spacing w:after="0" w:line="2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The undersigned hereby agree as follows:</w:t>
      </w:r>
    </w:p>
    <w:p>
      <w:pPr>
        <w:spacing w:after="0" w:line="341" w:lineRule="exact"/>
        <w:rPr>
          <w:sz w:val="20"/>
          <w:szCs w:val="20"/>
          <w:color w:val="auto"/>
        </w:rPr>
      </w:pPr>
    </w:p>
    <w:p>
      <w:pPr>
        <w:ind w:left="60" w:right="1259" w:firstLine="2"/>
        <w:spacing w:after="0" w:line="258" w:lineRule="auto"/>
        <w:tabs>
          <w:tab w:leader="none" w:pos="318"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them is individually eligible to use the Schedule 13G to which this Exhibit is attached, and such Schedule 13G is filed on behalf of each of them; and</w:t>
      </w:r>
    </w:p>
    <w:p>
      <w:pPr>
        <w:spacing w:after="0" w:line="50" w:lineRule="exact"/>
        <w:rPr>
          <w:rFonts w:ascii="Times New Roman" w:cs="Times New Roman" w:eastAsia="Times New Roman" w:hAnsi="Times New Roman"/>
          <w:sz w:val="22"/>
          <w:szCs w:val="22"/>
          <w:color w:val="auto"/>
        </w:rPr>
      </w:pPr>
    </w:p>
    <w:p>
      <w:pPr>
        <w:ind w:left="60" w:right="1219" w:firstLine="2"/>
        <w:spacing w:after="0" w:line="238" w:lineRule="auto"/>
        <w:tabs>
          <w:tab w:leader="none" w:pos="378"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them is responsible for the timely filing of such Schedule 13G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January 11, 2023</w:t>
      </w:r>
    </w:p>
    <w:p>
      <w:pPr>
        <w:spacing w:after="0" w:line="2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Allspring Global Investments Holdings, LLC</w:t>
      </w:r>
    </w:p>
    <w:p>
      <w:pPr>
        <w:spacing w:after="0" w:line="314" w:lineRule="exact"/>
        <w:rPr>
          <w:sz w:val="20"/>
          <w:szCs w:val="20"/>
          <w:color w:val="auto"/>
        </w:rPr>
      </w:pPr>
    </w:p>
    <w:p>
      <w:pPr>
        <w:ind w:left="40"/>
        <w:spacing w:after="0"/>
        <w:tabs>
          <w:tab w:leader="none" w:pos="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Phoutthalom Hord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19685</wp:posOffset>
            </wp:positionV>
            <wp:extent cx="344614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3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color w:val="auto"/>
        </w:rPr>
        <w:t>Phoutthalom Hord, Designated Signer</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Allspring Global Investments, LLC</w:t>
      </w:r>
    </w:p>
    <w:p>
      <w:pPr>
        <w:spacing w:after="0" w:line="274" w:lineRule="exact"/>
        <w:rPr>
          <w:sz w:val="20"/>
          <w:szCs w:val="20"/>
          <w:color w:val="auto"/>
        </w:rPr>
      </w:pPr>
    </w:p>
    <w:p>
      <w:pPr>
        <w:ind w:left="40"/>
        <w:spacing w:after="0"/>
        <w:tabs>
          <w:tab w:leader="none" w:pos="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Phoutthalom Hord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19685</wp:posOffset>
            </wp:positionV>
            <wp:extent cx="344614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3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color w:val="auto"/>
        </w:rPr>
        <w:t>Phoutthalom Hord, Vice President</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Allspring Funds Management, LLC</w:t>
      </w:r>
    </w:p>
    <w:p>
      <w:pPr>
        <w:spacing w:after="0" w:line="274" w:lineRule="exact"/>
        <w:rPr>
          <w:sz w:val="20"/>
          <w:szCs w:val="20"/>
          <w:color w:val="auto"/>
        </w:rPr>
      </w:pPr>
    </w:p>
    <w:p>
      <w:pPr>
        <w:ind w:left="40"/>
        <w:spacing w:after="0"/>
        <w:tabs>
          <w:tab w:leader="none" w:pos="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Phoutthalom Hord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19685</wp:posOffset>
            </wp:positionV>
            <wp:extent cx="344614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46145" cy="8890"/>
                    </a:xfrm>
                    <a:prstGeom prst="rect">
                      <a:avLst/>
                    </a:prstGeom>
                    <a:noFill/>
                  </pic:spPr>
                </pic:pic>
              </a:graphicData>
            </a:graphic>
          </wp:anchor>
        </w:drawing>
      </w:r>
    </w:p>
    <w:p>
      <w:pPr>
        <w:spacing w:after="0" w:line="3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color w:val="auto"/>
        </w:rPr>
        <w:t>Phoutthalom Hord, Designated Signer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120" w:right="1299" w:hanging="1079"/>
        <w:spacing w:after="0" w:line="262" w:lineRule="auto"/>
        <w:tabs>
          <w:tab w:leader="none" w:pos="1100" w:val="left"/>
        </w:tabs>
        <w:rPr>
          <w:sz w:val="20"/>
          <w:szCs w:val="20"/>
          <w:color w:val="auto"/>
        </w:rPr>
      </w:pPr>
      <w:r>
        <w:rPr>
          <w:rFonts w:ascii="Times New Roman" w:cs="Times New Roman" w:eastAsia="Times New Roman" w:hAnsi="Times New Roman"/>
          <w:sz w:val="22"/>
          <w:szCs w:val="22"/>
          <w:b w:val="1"/>
          <w:bCs w:val="1"/>
          <w:color w:val="auto"/>
        </w:rPr>
        <w:t>Attention:</w:t>
        <w:tab/>
        <w:t>Intentional misstatements or omissions of fact constitute Federal criminal violations (See 18 U.S.C. 1001)</w:t>
      </w:r>
    </w:p>
    <w:sectPr>
      <w:pgSz w:w="11900" w:h="16838" w:orient="portrait"/>
      <w:cols w:equalWidth="0" w:num="1">
        <w:col w:w="10139"/>
      </w:cols>
      <w:pgMar w:left="32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upperLetter"/>
      <w:start w:val="24"/>
    </w:lvl>
  </w:abstractNum>
  <w:abstractNum w:abstractNumId="1">
    <w:nsid w:val="4E6AFB66"/>
    <w:multiLevelType w:val="hybridMultilevel"/>
    <w:lvl w:ilvl="0">
      <w:lvlJc w:val="left"/>
      <w:lvlText w:val="%1."/>
      <w:numFmt w:val="decimal"/>
      <w:start w:val="1"/>
    </w:lvl>
  </w:abstractNum>
  <w:abstractNum w:abstractNumId="2">
    <w:nsid w:val="25E45D32"/>
    <w:multiLevelType w:val="hybridMultilevel"/>
    <w:lvl w:ilvl="0">
      <w:lvlJc w:val="left"/>
      <w:lvlText w:val="%1"/>
      <w:numFmt w:val="decimal"/>
      <w:start w:val="1"/>
    </w:lvl>
    <w:lvl w:ilvl="1">
      <w:lvlJc w:val="left"/>
      <w:lvlText w:val="(%2)"/>
      <w:numFmt w:val="lowerLetter"/>
      <w:start w:val="2"/>
    </w:lvl>
  </w:abstractNum>
  <w:abstractNum w:abstractNumId="3">
    <w:nsid w:val="519B500D"/>
    <w:multiLevelType w:val="hybridMultilevel"/>
    <w:lvl w:ilvl="0">
      <w:lvlJc w:val="left"/>
      <w:lvlText w:val="%1."/>
      <w:numFmt w:val="decimal"/>
      <w:start w:val="2"/>
    </w:lvl>
    <w:lvl w:ilvl="1">
      <w:lvlJc w:val="left"/>
      <w:lvlText w:val="(%2)"/>
      <w:numFmt w:val="lowerLetter"/>
      <w:start w:val="1"/>
    </w:lvl>
  </w:abstractNum>
  <w:abstractNum w:abstractNumId="4">
    <w:nsid w:val="431BD7B7"/>
    <w:multiLevelType w:val="hybridMultilevel"/>
    <w:lvl w:ilvl="0">
      <w:lvlJc w:val="left"/>
      <w:lvlText w:val="%1."/>
      <w:numFmt w:val="decimal"/>
      <w:start w:val="3"/>
    </w:lvl>
  </w:abstractNum>
  <w:abstractNum w:abstractNumId="5">
    <w:nsid w:val="3F2DBA31"/>
    <w:multiLevelType w:val="hybridMultilevel"/>
    <w:lvl w:ilvl="0">
      <w:lvlJc w:val="left"/>
      <w:lvlText w:val="%1"/>
      <w:numFmt w:val="decimal"/>
      <w:start w:val="1"/>
    </w:lvl>
    <w:lvl w:ilvl="1">
      <w:lvlJc w:val="left"/>
      <w:lvlText w:val="%2."/>
      <w:numFmt w:val="decimal"/>
      <w:start w:val="8"/>
    </w:lvl>
  </w:abstractNum>
  <w:abstractNum w:abstractNumId="6">
    <w:nsid w:val="7C83E458"/>
    <w:multiLevelType w:val="hybridMultilevel"/>
    <w:lvl w:ilvl="0">
      <w:lvlJc w:val="left"/>
      <w:lvlText w:val="%1."/>
      <w:numFmt w:val="decimal"/>
      <w:start w:val="9"/>
    </w:lvl>
    <w:lvl w:ilvl="1">
      <w:lvlJc w:val="left"/>
      <w:lvlText w:val="%2"/>
      <w:numFmt w:val="decimal"/>
      <w:start w:val="1"/>
    </w:lvl>
  </w:abstractNum>
  <w:abstractNum w:abstractNumId="7">
    <w:nsid w:val="257130A3"/>
    <w:multiLevelType w:val="hybridMultilevel"/>
    <w:lvl w:ilvl="0">
      <w:lvlJc w:val="left"/>
      <w:lvlText w:val="%1."/>
      <w:numFmt w:val="decimal"/>
      <w:start w:val="1"/>
    </w:lvl>
  </w:abstractNum>
  <w:abstractNum w:abstractNumId="8">
    <w:nsid w:val="62BBD95A"/>
    <w:multiLevelType w:val="hybridMultilevel"/>
    <w:lvl w:ilvl="0">
      <w:lvlJc w:val="left"/>
      <w:lvlText w:val="%1"/>
      <w:numFmt w:val="decimal"/>
      <w:start w:val="1"/>
    </w:lvl>
    <w:lvl w:ilvl="1">
      <w:lvlJc w:val="left"/>
      <w:lvlText w:val="(%2)"/>
      <w:numFmt w:val="lowerLetter"/>
      <w:start w:val="2"/>
    </w:lvl>
  </w:abstractNum>
  <w:abstractNum w:abstractNumId="9">
    <w:nsid w:val="436C6125"/>
    <w:multiLevelType w:val="hybridMultilevel"/>
    <w:lvl w:ilvl="0">
      <w:lvlJc w:val="left"/>
      <w:lvlText w:val="%1."/>
      <w:numFmt w:val="decimal"/>
      <w:start w:val="2"/>
    </w:lvl>
    <w:lvl w:ilvl="1">
      <w:lvlJc w:val="left"/>
      <w:lvlText w:val="(%2)"/>
      <w:numFmt w:val="lowerLetter"/>
      <w:start w:val="1"/>
    </w:lvl>
  </w:abstractNum>
  <w:abstractNum w:abstractNumId="10">
    <w:nsid w:val="628C895D"/>
    <w:multiLevelType w:val="hybridMultilevel"/>
    <w:lvl w:ilvl="0">
      <w:lvlJc w:val="left"/>
      <w:lvlText w:val="%1"/>
      <w:numFmt w:val="decimal"/>
      <w:start w:val="1"/>
    </w:lvl>
    <w:lvl w:ilvl="1">
      <w:lvlJc w:val="left"/>
      <w:lvlText w:val="%2."/>
      <w:numFmt w:val="decimal"/>
      <w:start w:val="8"/>
    </w:lvl>
  </w:abstractNum>
  <w:abstractNum w:abstractNumId="11">
    <w:nsid w:val="333AB105"/>
    <w:multiLevelType w:val="hybridMultilevel"/>
    <w:lvl w:ilvl="0">
      <w:lvlJc w:val="left"/>
      <w:lvlText w:val="%1."/>
      <w:numFmt w:val="decimal"/>
      <w:start w:val="9"/>
    </w:lvl>
    <w:lvl w:ilvl="1">
      <w:lvlJc w:val="left"/>
      <w:lvlText w:val="%2"/>
      <w:numFmt w:val="decimal"/>
      <w:start w:val="1"/>
    </w:lvl>
  </w:abstractNum>
  <w:abstractNum w:abstractNumId="12">
    <w:nsid w:val="721DA317"/>
    <w:multiLevelType w:val="hybridMultilevel"/>
    <w:lvl w:ilvl="0">
      <w:lvlJc w:val="left"/>
      <w:lvlText w:val="%1."/>
      <w:numFmt w:val="decimal"/>
      <w:start w:val="11"/>
    </w:lvl>
  </w:abstractNum>
  <w:abstractNum w:abstractNumId="13">
    <w:nsid w:val="2443A858"/>
    <w:multiLevelType w:val="hybridMultilevel"/>
    <w:lvl w:ilvl="0">
      <w:lvlJc w:val="left"/>
      <w:lvlText w:val="%1."/>
      <w:numFmt w:val="decimal"/>
      <w:start w:val="1"/>
    </w:lvl>
  </w:abstractNum>
  <w:abstractNum w:abstractNumId="14">
    <w:nsid w:val="2D1D5AE9"/>
    <w:multiLevelType w:val="hybridMultilevel"/>
    <w:lvl w:ilvl="0">
      <w:lvlJc w:val="left"/>
      <w:lvlText w:val="%1"/>
      <w:numFmt w:val="decimal"/>
      <w:start w:val="1"/>
    </w:lvl>
    <w:lvl w:ilvl="1">
      <w:lvlJc w:val="left"/>
      <w:lvlText w:val="(%2)"/>
      <w:numFmt w:val="lowerLetter"/>
      <w:start w:val="2"/>
    </w:lvl>
  </w:abstractNum>
  <w:abstractNum w:abstractNumId="15">
    <w:nsid w:val="6763845E"/>
    <w:multiLevelType w:val="hybridMultilevel"/>
    <w:lvl w:ilvl="0">
      <w:lvlJc w:val="left"/>
      <w:lvlText w:val="%1."/>
      <w:numFmt w:val="decimal"/>
      <w:start w:val="2"/>
    </w:lvl>
    <w:lvl w:ilvl="1">
      <w:lvlJc w:val="left"/>
      <w:lvlText w:val="(%2)"/>
      <w:numFmt w:val="lowerLetter"/>
      <w:start w:val="1"/>
    </w:lvl>
  </w:abstractNum>
  <w:abstractNum w:abstractNumId="16">
    <w:nsid w:val="75A2A8D4"/>
    <w:multiLevelType w:val="hybridMultilevel"/>
    <w:lvl w:ilvl="0">
      <w:lvlJc w:val="left"/>
      <w:lvlText w:val="%1"/>
      <w:numFmt w:val="decimal"/>
      <w:start w:val="1"/>
    </w:lvl>
    <w:lvl w:ilvl="1">
      <w:lvlJc w:val="left"/>
      <w:lvlText w:val="%2."/>
      <w:numFmt w:val="decimal"/>
      <w:start w:val="8"/>
    </w:lvl>
  </w:abstractNum>
  <w:abstractNum w:abstractNumId="17">
    <w:nsid w:val="8EDBDAB"/>
    <w:multiLevelType w:val="hybridMultilevel"/>
    <w:lvl w:ilvl="0">
      <w:lvlJc w:val="left"/>
      <w:lvlText w:val="%1."/>
      <w:numFmt w:val="decimal"/>
      <w:start w:val="9"/>
    </w:lvl>
    <w:lvl w:ilvl="1">
      <w:lvlJc w:val="left"/>
      <w:lvlText w:val="%2"/>
      <w:numFmt w:val="decimal"/>
      <w:start w:val="1"/>
    </w:lvl>
  </w:abstractNum>
  <w:abstractNum w:abstractNumId="18">
    <w:nsid w:val="79838CB2"/>
    <w:multiLevelType w:val="hybridMultilevel"/>
    <w:lvl w:ilvl="0">
      <w:lvlJc w:val="left"/>
      <w:lvlText w:val="(%1)"/>
      <w:numFmt w:val="lowerLetter"/>
      <w:start w:val="1"/>
    </w:lvl>
  </w:abstractNum>
  <w:abstractNum w:abstractNumId="19">
    <w:nsid w:val="4353D0CD"/>
    <w:multiLevelType w:val="hybridMultilevel"/>
    <w:lvl w:ilvl="0">
      <w:lvlJc w:val="left"/>
      <w:lvlText w:val="(%1)"/>
      <w:numFmt w:val="lowerLetter"/>
      <w:start w:val="1"/>
    </w:lvl>
  </w:abstractNum>
  <w:abstractNum w:abstractNumId="20">
    <w:nsid w:val="B03E0C6"/>
    <w:multiLevelType w:val="hybridMultilevel"/>
    <w:lvl w:ilvl="0">
      <w:lvlJc w:val="left"/>
      <w:lvlText w:val="(%1)"/>
      <w:numFmt w:val="lowerRoman"/>
      <w:start w:val="2"/>
    </w:lvl>
  </w:abstractNum>
  <w:abstractNum w:abstractNumId="21">
    <w:nsid w:val="189A769B"/>
    <w:multiLevelType w:val="hybridMultilevel"/>
    <w:lvl w:ilvl="0">
      <w:lvlJc w:val="left"/>
      <w:lvlText w:val="(%1)"/>
      <w:numFmt w:val="lowerLetter"/>
      <w:start w:val="2"/>
    </w:lvl>
  </w:abstractNum>
  <w:abstractNum w:abstractNumId="22">
    <w:nsid w:val="54E49EB4"/>
    <w:multiLevelType w:val="hybridMultilevel"/>
    <w:lvl w:ilvl="0">
      <w:lvlJc w:val="left"/>
      <w:lvlText w:val="(%1)"/>
      <w:numFmt w:val="lowerLetter"/>
      <w:start w:val="1"/>
    </w:lvl>
  </w:abstractNum>
  <w:abstractNum w:abstractNumId="23">
    <w:nsid w:val="71F32454"/>
    <w:multiLevelType w:val="hybridMultilevel"/>
    <w:lvl w:ilvl="0">
      <w:lvlJc w:val="left"/>
      <w:lvlText w:val="(%1)"/>
      <w:numFmt w:val="lowerLetter"/>
      <w:start w:val="1"/>
    </w:lvl>
    <w:lvl w:ilvl="1">
      <w:lvlJc w:val="left"/>
      <w:lvlText w:val="(%2)"/>
      <w:numFmt w:val="lowerRoman"/>
      <w:start w:val="1"/>
    </w:lvl>
  </w:abstractNum>
  <w:abstractNum w:abstractNumId="24">
    <w:nsid w:val="2CA88611"/>
    <w:multiLevelType w:val="hybridMultilevel"/>
    <w:lvl w:ilvl="0">
      <w:lvlJc w:val="left"/>
      <w:lvlText w:val="%1"/>
      <w:numFmt w:val="lowerLetter"/>
      <w:start w:val="1"/>
    </w:lvl>
    <w:lvl w:ilvl="1">
      <w:lvlJc w:val="left"/>
      <w:lvlText w:val="(%2)"/>
      <w:numFmt w:val="lowerLetter"/>
      <w:start w:val="35"/>
    </w:lvl>
  </w:abstractNum>
  <w:abstractNum w:abstractNumId="25">
    <w:nsid w:val="836C40E"/>
    <w:multiLevelType w:val="hybridMultilevel"/>
    <w:lvl w:ilvl="0">
      <w:lvlJc w:val="left"/>
      <w:lvlText w:val="(%1)"/>
      <w:numFmt w:val="lowerLetter"/>
      <w:start w:val="2"/>
    </w:lvl>
    <w:lvl w:ilvl="1">
      <w:lvlJc w:val="left"/>
      <w:lvlText w:val="(%2)"/>
      <w:numFmt w:val="lowerLetter"/>
      <w:start w:val="9"/>
    </w:lvl>
  </w:abstractNum>
  <w:abstractNum w:abstractNumId="26">
    <w:nsid w:val="2901D82"/>
    <w:multiLevelType w:val="hybridMultilevel"/>
    <w:lvl w:ilvl="0">
      <w:lvlJc w:val="left"/>
      <w:lvlText w:val="%1"/>
      <w:numFmt w:val="lowerLetter"/>
      <w:start w:val="1"/>
    </w:lvl>
    <w:lvl w:ilvl="1">
      <w:lvlJc w:val="left"/>
      <w:lvlText w:val="(%2)"/>
      <w:numFmt w:val="lowerLetter"/>
      <w:start w:val="35"/>
    </w:lvl>
  </w:abstractNum>
  <w:abstractNum w:abstractNumId="27">
    <w:nsid w:val="3A95F874"/>
    <w:multiLevelType w:val="hybridMultilevel"/>
    <w:lvl w:ilvl="0">
      <w:lvlJc w:val="left"/>
      <w:lvlText w:val="%1"/>
      <w:numFmt w:val="lowerLetter"/>
      <w:start w:val="1"/>
    </w:lvl>
    <w:lvl w:ilvl="1">
      <w:lvlJc w:val="left"/>
      <w:lvlText w:val="(%2)"/>
      <w:numFmt w:val="lowerLetter"/>
      <w:start w:val="35"/>
    </w:lvl>
  </w:abstractNum>
  <w:abstractNum w:abstractNumId="28">
    <w:nsid w:val="8138641"/>
    <w:multiLevelType w:val="hybridMultilevel"/>
    <w:lvl w:ilvl="0">
      <w:lvlJc w:val="left"/>
      <w:lvlText w:val="(%1)"/>
      <w:numFmt w:val="lowerLetter"/>
      <w:start w:val="3"/>
    </w:lvl>
    <w:lvl w:ilvl="1">
      <w:lvlJc w:val="left"/>
      <w:lvlText w:val="%2"/>
      <w:numFmt w:val="lowerLetter"/>
      <w:start w:val="1"/>
    </w:lvl>
  </w:abstractNum>
  <w:abstractNum w:abstractNumId="29">
    <w:nsid w:val="1E7FF521"/>
    <w:multiLevelType w:val="hybridMultilevel"/>
    <w:lvl w:ilvl="0">
      <w:lvlJc w:val="left"/>
      <w:lvlText w:val="(%1)"/>
      <w:numFmt w:val="lowerRoman"/>
      <w:start w:val="1"/>
    </w:lvl>
  </w:abstractNum>
  <w:abstractNum w:abstractNumId="30">
    <w:nsid w:val="7C3DBD3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2023-01-13T07:56:26Z</dcterms:created>
  <dcterms:modified xsi:type="dcterms:W3CDTF">2023-01-13T07:56:26Z</dcterms:modified>
</cp:coreProperties>
</file>