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65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5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Claassen Scott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" w:hanging="322"/>
        <w:spacing w:after="0"/>
        <w:tabs>
          <w:tab w:leader="none" w:pos="32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2" w:right="580"/>
        <w:spacing w:after="0" w:line="258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8" w:space="720"/>
            <w:col w:w="3142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40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73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90.26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10,184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90.26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10,184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additional 297 shares acquired by the Reporting Person pursuant to the Issuer's Employee Stock Purchase plan during Q3 2021, Q4 2021, Q1 2022, Q2 2022 and Q3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8, 2022, the Reporting Person acquired 73 shares of the Issuer's common stock pursuant to the Euronet Worldwide, Inc. 401K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vests 25% per year beginning Dec 6, 2023, contingent on the Company's share price closing above $99.29 for 30 consecutive days during the four year measurement period.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By Scott Claassen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12/08/2022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3110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2022-12-08T18:59:17Z</dcterms:created>
  <dcterms:modified xsi:type="dcterms:W3CDTF">2022-12-08T18:59:17Z</dcterms:modified>
</cp:coreProperties>
</file>