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9" w:lineRule="exact"/>
        <w:rPr>
          <w:sz w:val="24"/>
          <w:szCs w:val="24"/>
          <w:color w:val="auto"/>
        </w:rPr>
      </w:pPr>
    </w:p>
    <w:p>
      <w:pPr>
        <w:jc w:val="center"/>
        <w:ind w:left="3860" w:right="1420" w:hanging="2462"/>
        <w:spacing w:after="0" w:line="361" w:lineRule="auto"/>
        <w:tabs>
          <w:tab w:leader="none" w:pos="161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1580" w:hanging="209"/>
        <w:spacing w:after="0"/>
        <w:tabs>
          <w:tab w:leader="none" w:pos="1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4"/>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1"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50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October 30, 2020, Euronet Worldwide, Inc. had 52,314,901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10640"/>
        <w:spacing w:after="0"/>
        <w:rPr>
          <w:sz w:val="20"/>
          <w:szCs w:val="20"/>
          <w:color w:val="auto"/>
        </w:rPr>
      </w:pPr>
      <w:r>
        <w:rPr>
          <w:rFonts w:ascii="Arial" w:cs="Arial" w:eastAsia="Arial" w:hAnsi="Arial"/>
          <w:sz w:val="18"/>
          <w:szCs w:val="18"/>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709803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380" w:type="dxa"/>
            <w:vAlign w:val="bottom"/>
            <w:gridSpan w:val="5"/>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7"/>
                <w:szCs w:val="17"/>
                <w:color w:val="auto"/>
              </w:rPr>
            </w:pPr>
          </w:p>
        </w:tc>
        <w:tc>
          <w:tcPr>
            <w:tcW w:w="9340" w:type="dxa"/>
            <w:vAlign w:val="bottom"/>
          </w:tcPr>
          <w:p>
            <w:pPr>
              <w:spacing w:after="0" w:line="202"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9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934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September 30, 2020 and December 31, 2019</w:t>
              </w:r>
            </w:hyperlink>
          </w:p>
        </w:tc>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and Nine Months Ended September 30, 2020 and 2019</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9340" w:type="dxa"/>
            <w:vAlign w:val="bottom"/>
            <w:shd w:val="clear" w:color="auto" w:fill="CCEEFF"/>
          </w:tcPr>
          <w:p>
            <w:pPr>
              <w:spacing w:after="0"/>
              <w:rPr>
                <w:rFonts w:ascii="Arial" w:cs="Arial" w:eastAsia="Arial" w:hAnsi="Arial"/>
                <w:sz w:val="18"/>
                <w:szCs w:val="18"/>
                <w:u w:val="single" w:color="auto"/>
                <w:color w:val="0000EE"/>
                <w:w w:val="96"/>
              </w:rPr>
            </w:pPr>
            <w:hyperlink w:anchor="page5">
              <w:r>
                <w:rPr>
                  <w:rFonts w:ascii="Arial" w:cs="Arial" w:eastAsia="Arial" w:hAnsi="Arial"/>
                  <w:sz w:val="18"/>
                  <w:szCs w:val="18"/>
                  <w:u w:val="single" w:color="auto"/>
                  <w:color w:val="0000EE"/>
                  <w:w w:val="96"/>
                </w:rPr>
                <w:t>Consolidated Statements of Comprehensive Income for the Three and Nine Months Ended September 30, 2020 and 2019</w:t>
              </w:r>
            </w:hyperlink>
          </w:p>
        </w:tc>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Equity for the Three and Nine Months Ended September 30, 2020 and 2019</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934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for the Nine Months Ended September 30, 2020 and 2019</w:t>
              </w:r>
            </w:hyperlink>
          </w:p>
        </w:tc>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the Unaudited Consolidated Financial Statements</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9340" w:type="dxa"/>
            <w:vAlign w:val="bottom"/>
          </w:tcPr>
          <w:p>
            <w:pPr>
              <w:spacing w:after="0" w:line="202" w:lineRule="exact"/>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9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5"/>
                <w:szCs w:val="15"/>
                <w:color w:val="auto"/>
              </w:rPr>
            </w:pPr>
          </w:p>
        </w:tc>
        <w:tc>
          <w:tcPr>
            <w:tcW w:w="93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1038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PART II—OTHER INFORMATION</w:t>
              </w:r>
            </w:hyperlink>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5"/>
                <w:szCs w:val="15"/>
                <w:color w:val="auto"/>
              </w:rPr>
            </w:pPr>
          </w:p>
        </w:tc>
        <w:tc>
          <w:tcPr>
            <w:tcW w:w="93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Proceedings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1A.</w:t>
            </w:r>
          </w:p>
        </w:tc>
        <w:tc>
          <w:tcPr>
            <w:tcW w:w="40" w:type="dxa"/>
            <w:vAlign w:val="bottom"/>
          </w:tcPr>
          <w:p>
            <w:pPr>
              <w:spacing w:after="0"/>
              <w:rPr>
                <w:sz w:val="17"/>
                <w:szCs w:val="17"/>
                <w:color w:val="auto"/>
              </w:rPr>
            </w:pPr>
          </w:p>
        </w:tc>
        <w:tc>
          <w:tcPr>
            <w:tcW w:w="9340" w:type="dxa"/>
            <w:vAlign w:val="bottom"/>
          </w:tcPr>
          <w:p>
            <w:pPr>
              <w:spacing w:after="0" w:line="202" w:lineRule="exact"/>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Risk Factors</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9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Unregistered Sales of Equity Securities and Use of Proceeds</w:t>
              </w:r>
            </w:hyperlink>
          </w:p>
        </w:tc>
        <w:tc>
          <w:tcPr>
            <w:tcW w:w="20" w:type="dxa"/>
            <w:vAlign w:val="bottom"/>
            <w:vMerge w:val="continue"/>
          </w:tcPr>
          <w:p>
            <w:pPr>
              <w:spacing w:after="0"/>
              <w:rPr>
                <w:sz w:val="15"/>
                <w:szCs w:val="15"/>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6.</w:t>
            </w:r>
          </w:p>
        </w:tc>
        <w:tc>
          <w:tcPr>
            <w:tcW w:w="40" w:type="dxa"/>
            <w:vAlign w:val="bottom"/>
          </w:tcPr>
          <w:p>
            <w:pPr>
              <w:spacing w:after="0"/>
              <w:rPr>
                <w:sz w:val="17"/>
                <w:szCs w:val="17"/>
                <w:color w:val="auto"/>
              </w:rPr>
            </w:pPr>
          </w:p>
        </w:tc>
        <w:tc>
          <w:tcPr>
            <w:tcW w:w="9340" w:type="dxa"/>
            <w:vAlign w:val="bottom"/>
          </w:tcPr>
          <w:p>
            <w:pPr>
              <w:spacing w:after="0" w:line="202" w:lineRule="exact"/>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Exhibits</w:t>
              </w:r>
            </w:hyperlink>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9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934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1,008,183</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786,081</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409,683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665,641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3"/>
              </w:rPr>
              <w:t>Trade accounts receivable, net of credit losses of $4,364 at September 30, 2020 and $3,892 at December 31,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201,935</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217,707</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2,918,732</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377,543</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6"/>
              </w:rPr>
              <w:t>Property and equipment, net of accumulated depreciation of $460,963 at September 30, 2020 and $410,243 at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359,980</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743,823</w:t>
            </w: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Acquired intangible assets, net of accumulated amortization of $161,371 at September 30, 2020 and $204,853 at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141,847</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1"/>
              </w:rPr>
              <w:t>Other assets, net of accumulated amortization of $52,458 at September 30, 2020 and $46,788 at December 31, 2019</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115,741</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4,095,356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875,783</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1,013,067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294,557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52,583</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58,588</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1,633,980</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1,090,939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241,977</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56,067</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2,789,598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3,078,324</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60" w:type="dxa"/>
            <w:vAlign w:val="bottom"/>
          </w:tcPr>
          <w:p>
            <w:pPr>
              <w:ind w:left="380"/>
              <w:spacing w:after="0" w:line="201" w:lineRule="exact"/>
              <w:rPr>
                <w:sz w:val="20"/>
                <w:szCs w:val="20"/>
                <w:color w:val="auto"/>
              </w:rPr>
            </w:pPr>
            <w:r>
              <w:rPr>
                <w:rFonts w:ascii="Arial" w:cs="Arial" w:eastAsia="Arial" w:hAnsi="Arial"/>
                <w:sz w:val="18"/>
                <w:szCs w:val="18"/>
                <w:color w:val="auto"/>
                <w:w w:val="92"/>
              </w:rPr>
              <w:t>Common Stock, $0.02 par value. 90,000,000 shares authorized; 62,955,214 issued at September 30, 2020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540"/>
              <w:spacing w:after="0"/>
              <w:rPr>
                <w:sz w:val="20"/>
                <w:szCs w:val="20"/>
                <w:color w:val="auto"/>
              </w:rPr>
            </w:pPr>
            <w:r>
              <w:rPr>
                <w:rFonts w:ascii="Arial" w:cs="Arial" w:eastAsia="Arial" w:hAnsi="Arial"/>
                <w:sz w:val="18"/>
                <w:szCs w:val="18"/>
                <w:color w:val="auto"/>
              </w:rPr>
              <w:t>62,775,762 issued at December 31, 2019</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1,190,058</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w w:val="91"/>
              </w:rPr>
              <w:t>Treasury stock, at cost, 10,645,079 shares at September 30, 2020 and 8,554,908 shares at December 31, 2019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1,016,554</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1,579,274</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09"/>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4,095,356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900"/>
              <w:spacing w:after="0"/>
              <w:rPr>
                <w:sz w:val="20"/>
                <w:szCs w:val="20"/>
                <w:color w:val="auto"/>
              </w:rPr>
            </w:pPr>
            <w:r>
              <w:rPr>
                <w:rFonts w:ascii="Arial" w:cs="Arial" w:eastAsia="Arial" w:hAnsi="Arial"/>
                <w:sz w:val="18"/>
                <w:szCs w:val="18"/>
                <w:color w:val="auto"/>
                <w:w w:val="92"/>
              </w:rPr>
              <w:t>See accompanying notes to the unaudited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55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34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6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664,351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786,986</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1,776,061</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2,056,362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407,598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405,081</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1,117,065</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1,152,725</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101,577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101,354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293,769</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292,699</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55,225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169,333</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160,704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106,021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32,412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27,846</w:t>
            </w:r>
          </w:p>
        </w:tc>
        <w:tc>
          <w:tcPr>
            <w:tcW w:w="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93,470</w:t>
            </w:r>
          </w:p>
        </w:tc>
        <w:tc>
          <w:tcPr>
            <w:tcW w:w="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82,253</w:t>
            </w:r>
          </w:p>
        </w:tc>
      </w:tr>
      <w:tr>
        <w:trPr>
          <w:trHeight w:val="263"/>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598,279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592,996</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1,779,658</w:t>
            </w:r>
          </w:p>
        </w:tc>
        <w:tc>
          <w:tcPr>
            <w:tcW w:w="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1,688,381</w:t>
            </w:r>
          </w:p>
        </w:tc>
      </w:tr>
      <w:tr>
        <w:trPr>
          <w:trHeight w:val="26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66,072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193,990</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6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367,981</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(27,594)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(27,321)</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(17,679)</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(7,880)</w:t>
            </w:r>
          </w:p>
        </w:tc>
      </w:tr>
      <w:tr>
        <w:trPr>
          <w:trHeight w:val="27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 (loss)</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58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(43,678)</w:t>
            </w:r>
          </w:p>
        </w:tc>
        <w:tc>
          <w:tcPr>
            <w:tcW w:w="6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(43,612)</w:t>
            </w:r>
          </w:p>
        </w:tc>
      </w:tr>
      <w:tr>
        <w:trPr>
          <w:trHeight w:val="264"/>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55,366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174,498</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(47,275)</w:t>
            </w: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324,369</w:t>
            </w: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tbl>
      <w:tblPr>
        <w:tblLayout w:type="fixed"/>
        <w:tblInd w:w="4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80" w:type="dxa"/>
            <w:vAlign w:val="bottom"/>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80" w:type="dxa"/>
            <w:vAlign w:val="bottom"/>
          </w:tcPr>
          <w:p>
            <w:pPr>
              <w:ind w:left="140"/>
              <w:spacing w:after="0"/>
              <w:rPr>
                <w:sz w:val="20"/>
                <w:szCs w:val="20"/>
                <w:color w:val="auto"/>
              </w:rPr>
            </w:pPr>
            <w:r>
              <w:rPr>
                <w:rFonts w:ascii="Arial" w:cs="Arial" w:eastAsia="Arial" w:hAnsi="Arial"/>
                <w:sz w:val="18"/>
                <w:szCs w:val="18"/>
                <w:color w:val="auto"/>
              </w:rPr>
              <w:t>Net income (loss) attributable to Euronet Worldwide,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40,249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w w:val="92"/>
              </w:rPr>
              <w:t>Earnings (loss) per share attributable to Euronet Worldwide, Inc. stockholders: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78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52,294,522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54,449,256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53,201,971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55,972,061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90"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jc w:val="right"/>
              <w:spacing w:after="0"/>
              <w:rPr>
                <w:sz w:val="20"/>
                <w:szCs w:val="20"/>
                <w:color w:val="auto"/>
              </w:rPr>
            </w:pPr>
            <w:r>
              <w:rPr>
                <w:rFonts w:ascii="Arial" w:cs="Arial" w:eastAsia="Arial" w:hAnsi="Arial"/>
                <w:sz w:val="18"/>
                <w:szCs w:val="18"/>
                <w:color w:val="auto"/>
              </w:rPr>
              <w:t>(26,423)</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(84,244)</w:t>
            </w:r>
          </w:p>
        </w:tc>
      </w:tr>
      <w:tr>
        <w:trPr>
          <w:trHeight w:val="264"/>
        </w:trPr>
        <w:tc>
          <w:tcPr>
            <w:tcW w:w="920" w:type="dxa"/>
            <w:vAlign w:val="bottom"/>
          </w:tcPr>
          <w:p>
            <w:pPr>
              <w:jc w:val="right"/>
              <w:spacing w:after="0"/>
              <w:rPr>
                <w:sz w:val="20"/>
                <w:szCs w:val="20"/>
                <w:color w:val="auto"/>
              </w:rPr>
            </w:pPr>
            <w:r>
              <w:rPr>
                <w:rFonts w:ascii="Arial" w:cs="Arial" w:eastAsia="Arial" w:hAnsi="Arial"/>
                <w:sz w:val="18"/>
                <w:szCs w:val="18"/>
                <w:color w:val="auto"/>
              </w:rPr>
              <w:t>(73,698)</w:t>
            </w:r>
          </w:p>
        </w:tc>
        <w:tc>
          <w:tcPr>
            <w:tcW w:w="24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240,125</w:t>
            </w:r>
          </w:p>
        </w:tc>
      </w:tr>
      <w:tr>
        <w:trPr>
          <w:trHeight w:val="270"/>
        </w:trPr>
        <w:tc>
          <w:tcPr>
            <w:tcW w:w="9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r>
      <w:tr>
        <w:trPr>
          <w:trHeight w:val="264"/>
        </w:trPr>
        <w:tc>
          <w:tcPr>
            <w:tcW w:w="920" w:type="dxa"/>
            <w:vAlign w:val="bottom"/>
          </w:tcPr>
          <w:p>
            <w:pPr>
              <w:jc w:val="right"/>
              <w:spacing w:after="0"/>
              <w:rPr>
                <w:sz w:val="20"/>
                <w:szCs w:val="20"/>
                <w:color w:val="auto"/>
              </w:rPr>
            </w:pPr>
            <w:r>
              <w:rPr>
                <w:rFonts w:ascii="Arial" w:cs="Arial" w:eastAsia="Arial" w:hAnsi="Arial"/>
                <w:sz w:val="18"/>
                <w:szCs w:val="18"/>
                <w:color w:val="auto"/>
              </w:rPr>
              <w:t>(73,634)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240,303</w:t>
            </w:r>
          </w:p>
        </w:tc>
      </w:tr>
      <w:tr>
        <w:trPr>
          <w:trHeight w:val="20"/>
        </w:trPr>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90"/>
        </w:trPr>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r>
      <w:tr>
        <w:trPr>
          <w:trHeight w:val="20"/>
        </w:trPr>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20"/>
        </w:trPr>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90"/>
        </w:trPr>
        <w:tc>
          <w:tcPr>
            <w:tcW w:w="920" w:type="dxa"/>
            <w:vAlign w:val="bottom"/>
          </w:tcPr>
          <w:p>
            <w:pPr>
              <w:jc w:val="right"/>
              <w:ind w:right="30"/>
              <w:spacing w:after="0"/>
              <w:rPr>
                <w:sz w:val="20"/>
                <w:szCs w:val="20"/>
                <w:color w:val="auto"/>
              </w:rPr>
            </w:pPr>
            <w:r>
              <w:rPr>
                <w:rFonts w:ascii="Arial" w:cs="Arial" w:eastAsia="Arial" w:hAnsi="Arial"/>
                <w:sz w:val="18"/>
                <w:szCs w:val="18"/>
                <w:color w:val="auto"/>
                <w:w w:val="86"/>
              </w:rPr>
              <w:t>52,712,030</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53,180,850</w:t>
            </w:r>
          </w:p>
        </w:tc>
      </w:tr>
      <w:tr>
        <w:trPr>
          <w:trHeight w:val="20"/>
        </w:trPr>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920" w:type="dxa"/>
            <w:vAlign w:val="bottom"/>
          </w:tcPr>
          <w:p>
            <w:pPr>
              <w:jc w:val="right"/>
              <w:ind w:right="30"/>
              <w:spacing w:after="0"/>
              <w:rPr>
                <w:sz w:val="20"/>
                <w:szCs w:val="20"/>
                <w:color w:val="auto"/>
              </w:rPr>
            </w:pPr>
            <w:r>
              <w:rPr>
                <w:rFonts w:ascii="Arial" w:cs="Arial" w:eastAsia="Arial" w:hAnsi="Arial"/>
                <w:sz w:val="18"/>
                <w:szCs w:val="18"/>
                <w:color w:val="auto"/>
                <w:w w:val="86"/>
              </w:rPr>
              <w:t>52,712,030</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54,622,219</w:t>
            </w:r>
          </w:p>
        </w:tc>
      </w:tr>
      <w:tr>
        <w:trPr>
          <w:trHeight w:val="20"/>
        </w:trPr>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805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-222250</wp:posOffset>
            </wp:positionV>
            <wp:extent cx="805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-744855</wp:posOffset>
            </wp:positionV>
            <wp:extent cx="805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-959485</wp:posOffset>
            </wp:positionV>
            <wp:extent cx="805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-1482090</wp:posOffset>
            </wp:positionV>
            <wp:extent cx="805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ectPr>
          <w:pgSz w:w="11900" w:h="16838" w:orient="portrait"/>
          <w:cols w:equalWidth="0" w:num="2">
            <w:col w:w="8720" w:space="300"/>
            <w:col w:w="222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540" w:type="dxa"/>
            <w:vAlign w:val="bottom"/>
            <w:gridSpan w:val="6"/>
          </w:tcPr>
          <w:p>
            <w:pPr>
              <w:jc w:val="center"/>
              <w:ind w:left="2530"/>
              <w:spacing w:after="0"/>
              <w:rPr>
                <w:sz w:val="20"/>
                <w:szCs w:val="20"/>
                <w:color w:val="auto"/>
              </w:rPr>
            </w:pPr>
            <w:r>
              <w:rPr>
                <w:rFonts w:ascii="Arial" w:cs="Arial" w:eastAsia="Arial" w:hAnsi="Arial"/>
                <w:sz w:val="18"/>
                <w:szCs w:val="18"/>
                <w:b w:val="1"/>
                <w:bCs w:val="1"/>
                <w:color w:val="auto"/>
              </w:rPr>
              <w:t>EURONET WORLDWIDE, INC. AND SUBSIDIARIES</w:t>
            </w:r>
          </w:p>
        </w:tc>
        <w:tc>
          <w:tcPr>
            <w:tcW w:w="140" w:type="dxa"/>
            <w:vAlign w:val="bottom"/>
          </w:tcPr>
          <w:p>
            <w:pPr>
              <w:spacing w:after="0"/>
              <w:rPr>
                <w:sz w:val="18"/>
                <w:szCs w:val="18"/>
                <w:color w:val="auto"/>
              </w:rPr>
            </w:pPr>
          </w:p>
        </w:tc>
      </w:tr>
      <w:tr>
        <w:trPr>
          <w:trHeight w:val="216"/>
        </w:trPr>
        <w:tc>
          <w:tcPr>
            <w:tcW w:w="8680" w:type="dxa"/>
            <w:vAlign w:val="bottom"/>
            <w:gridSpan w:val="7"/>
          </w:tcPr>
          <w:p>
            <w:pPr>
              <w:jc w:val="center"/>
              <w:ind w:left="2390"/>
              <w:spacing w:after="0"/>
              <w:rPr>
                <w:sz w:val="20"/>
                <w:szCs w:val="20"/>
                <w:color w:val="auto"/>
              </w:rPr>
            </w:pPr>
            <w:r>
              <w:rPr>
                <w:rFonts w:ascii="Arial" w:cs="Arial" w:eastAsia="Arial" w:hAnsi="Arial"/>
                <w:sz w:val="18"/>
                <w:szCs w:val="18"/>
                <w:b w:val="1"/>
                <w:bCs w:val="1"/>
                <w:color w:val="auto"/>
              </w:rPr>
              <w:t>CONSOLIDATED STATEMENTS OF COMPREHENSIVE INCOME (LOSS)</w:t>
            </w:r>
          </w:p>
        </w:tc>
      </w:tr>
      <w:tr>
        <w:trPr>
          <w:trHeight w:val="234"/>
        </w:trPr>
        <w:tc>
          <w:tcPr>
            <w:tcW w:w="7240" w:type="dxa"/>
            <w:vAlign w:val="bottom"/>
            <w:gridSpan w:val="4"/>
          </w:tcPr>
          <w:p>
            <w:pPr>
              <w:jc w:val="center"/>
              <w:ind w:left="3830"/>
              <w:spacing w:after="0"/>
              <w:rPr>
                <w:sz w:val="20"/>
                <w:szCs w:val="20"/>
                <w:color w:val="auto"/>
              </w:rPr>
            </w:pPr>
            <w:r>
              <w:rPr>
                <w:rFonts w:ascii="Arial" w:cs="Arial" w:eastAsia="Arial" w:hAnsi="Arial"/>
                <w:sz w:val="18"/>
                <w:szCs w:val="18"/>
                <w:b w:val="1"/>
                <w:bCs w:val="1"/>
                <w:color w:val="auto"/>
                <w:w w:val="90"/>
              </w:rPr>
              <w:t>(Unaudited, in thousands)</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720"/>
        </w:trPr>
        <w:tc>
          <w:tcPr>
            <w:tcW w:w="5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2"/>
                <w:szCs w:val="22"/>
                <w:color w:val="auto"/>
              </w:rPr>
            </w:pPr>
          </w:p>
        </w:tc>
      </w:tr>
      <w:tr>
        <w:trPr>
          <w:trHeight w:val="269"/>
        </w:trPr>
        <w:tc>
          <w:tcPr>
            <w:tcW w:w="584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40,315</w:t>
            </w:r>
          </w:p>
        </w:tc>
        <w:tc>
          <w:tcPr>
            <w:tcW w:w="12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137,541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(56,863)</w:t>
            </w:r>
          </w:p>
        </w:tc>
        <w:tc>
          <w:tcPr>
            <w:tcW w:w="1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84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80,678</w:t>
            </w:r>
          </w:p>
        </w:tc>
        <w:tc>
          <w:tcPr>
            <w:tcW w:w="140" w:type="dxa"/>
            <w:vAlign w:val="bottom"/>
          </w:tcPr>
          <w:p>
            <w:pPr>
              <w:spacing w:after="0"/>
              <w:rPr>
                <w:sz w:val="20"/>
                <w:szCs w:val="20"/>
                <w:color w:val="auto"/>
              </w:rPr>
            </w:pPr>
          </w:p>
        </w:tc>
      </w:tr>
      <w:tr>
        <w:trPr>
          <w:trHeight w:val="297"/>
        </w:trPr>
        <w:tc>
          <w:tcPr>
            <w:tcW w:w="5840" w:type="dxa"/>
            <w:vAlign w:val="bottom"/>
          </w:tcPr>
          <w:p>
            <w:pPr>
              <w:ind w:left="3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4"/>
                <w:szCs w:val="24"/>
                <w:color w:val="auto"/>
              </w:rPr>
            </w:pPr>
          </w:p>
        </w:tc>
      </w:tr>
      <w:tr>
        <w:trPr>
          <w:trHeight w:val="263"/>
        </w:trPr>
        <w:tc>
          <w:tcPr>
            <w:tcW w:w="5840" w:type="dxa"/>
            <w:vAlign w:val="bottom"/>
          </w:tcPr>
          <w:p>
            <w:pPr>
              <w:ind w:left="24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80,804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13335</wp:posOffset>
            </wp:positionV>
            <wp:extent cx="1654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jc w:val="right"/>
              <w:ind w:right="433"/>
              <w:spacing w:after="0"/>
              <w:rPr>
                <w:sz w:val="20"/>
                <w:szCs w:val="20"/>
                <w:color w:val="auto"/>
              </w:rPr>
            </w:pPr>
            <w:r>
              <w:rPr>
                <w:rFonts w:ascii="Arial" w:cs="Arial" w:eastAsia="Arial" w:hAnsi="Arial"/>
                <w:sz w:val="14"/>
                <w:szCs w:val="14"/>
                <w:b w:val="1"/>
                <w:bCs w:val="1"/>
                <w:color w:val="auto"/>
                <w:w w:val="83"/>
              </w:rPr>
              <w:t>2020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69"/>
        </w:trPr>
        <w:tc>
          <w:tcPr>
            <w:tcW w:w="800" w:type="dxa"/>
            <w:vAlign w:val="bottom"/>
          </w:tcPr>
          <w:p>
            <w:pPr>
              <w:jc w:val="right"/>
              <w:spacing w:after="0"/>
              <w:rPr>
                <w:sz w:val="20"/>
                <w:szCs w:val="20"/>
                <w:color w:val="auto"/>
              </w:rPr>
            </w:pPr>
            <w:r>
              <w:rPr>
                <w:rFonts w:ascii="Arial" w:cs="Arial" w:eastAsia="Arial" w:hAnsi="Arial"/>
                <w:sz w:val="18"/>
                <w:szCs w:val="18"/>
                <w:color w:val="auto"/>
              </w:rPr>
              <w:t>(73,698)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240,125</w:t>
            </w:r>
          </w:p>
        </w:tc>
      </w:tr>
      <w:tr>
        <w:trPr>
          <w:trHeight w:val="270"/>
        </w:trPr>
        <w:tc>
          <w:tcPr>
            <w:tcW w:w="800" w:type="dxa"/>
            <w:vAlign w:val="bottom"/>
          </w:tcPr>
          <w:p>
            <w:pPr>
              <w:jc w:val="right"/>
              <w:ind w:right="33"/>
              <w:spacing w:after="0"/>
              <w:rPr>
                <w:sz w:val="20"/>
                <w:szCs w:val="20"/>
                <w:color w:val="auto"/>
              </w:rPr>
            </w:pPr>
            <w:r>
              <w:rPr>
                <w:rFonts w:ascii="Arial" w:cs="Arial" w:eastAsia="Arial" w:hAnsi="Arial"/>
                <w:sz w:val="18"/>
                <w:szCs w:val="18"/>
                <w:color w:val="auto"/>
              </w:rPr>
              <w:t>19,360</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(60,887)</w:t>
            </w:r>
          </w:p>
        </w:tc>
      </w:tr>
      <w:tr>
        <w:trPr>
          <w:trHeight w:val="264"/>
        </w:trPr>
        <w:tc>
          <w:tcPr>
            <w:tcW w:w="800" w:type="dxa"/>
            <w:vAlign w:val="bottom"/>
          </w:tcPr>
          <w:p>
            <w:pPr>
              <w:jc w:val="right"/>
              <w:spacing w:after="0"/>
              <w:rPr>
                <w:sz w:val="20"/>
                <w:szCs w:val="20"/>
                <w:color w:val="auto"/>
              </w:rPr>
            </w:pPr>
            <w:r>
              <w:rPr>
                <w:rFonts w:ascii="Arial" w:cs="Arial" w:eastAsia="Arial" w:hAnsi="Arial"/>
                <w:sz w:val="18"/>
                <w:szCs w:val="18"/>
                <w:color w:val="auto"/>
              </w:rPr>
              <w:t>(54,338)</w:t>
            </w:r>
          </w:p>
        </w:tc>
        <w:tc>
          <w:tcPr>
            <w:tcW w:w="30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179,238</w:t>
            </w:r>
          </w:p>
        </w:tc>
      </w:tr>
      <w:tr>
        <w:trPr>
          <w:trHeight w:val="270"/>
        </w:trPr>
        <w:tc>
          <w:tcPr>
            <w:tcW w:w="8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255</w:t>
            </w:r>
          </w:p>
        </w:tc>
      </w:tr>
      <w:tr>
        <w:trPr>
          <w:trHeight w:val="263"/>
        </w:trPr>
        <w:tc>
          <w:tcPr>
            <w:tcW w:w="800" w:type="dxa"/>
            <w:vAlign w:val="bottom"/>
          </w:tcPr>
          <w:p>
            <w:pPr>
              <w:jc w:val="right"/>
              <w:spacing w:after="0"/>
              <w:rPr>
                <w:sz w:val="20"/>
                <w:szCs w:val="20"/>
                <w:color w:val="auto"/>
              </w:rPr>
            </w:pPr>
            <w:r>
              <w:rPr>
                <w:rFonts w:ascii="Arial" w:cs="Arial" w:eastAsia="Arial" w:hAnsi="Arial"/>
                <w:sz w:val="18"/>
                <w:szCs w:val="18"/>
                <w:color w:val="auto"/>
              </w:rPr>
              <w:t>(54,327)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179,493</w:t>
            </w:r>
          </w:p>
        </w:tc>
      </w:tr>
      <w:tr>
        <w:trPr>
          <w:trHeight w:val="20"/>
        </w:trPr>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-7620</wp:posOffset>
            </wp:positionV>
            <wp:extent cx="796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ectPr>
          <w:pgSz w:w="11900" w:h="16838" w:orient="portrait"/>
          <w:cols w:equalWidth="0" w:num="2">
            <w:col w:w="8720" w:space="420"/>
            <w:col w:w="210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57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Outstanding</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Stock</w:t>
            </w:r>
          </w:p>
        </w:tc>
      </w:tr>
      <w:tr>
        <w:trPr>
          <w:trHeight w:val="24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51,819,998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1,104,264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(391,551</w:t>
            </w:r>
            <w:r>
              <w:rPr>
                <w:rFonts w:ascii="Arial" w:cs="Arial" w:eastAsia="Arial" w:hAnsi="Arial"/>
                <w:sz w:val="17"/>
                <w:szCs w:val="17"/>
                <w:color w:val="auto"/>
              </w:rPr>
              <w:t>)</w:t>
            </w: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130,136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1,756)</w:t>
            </w:r>
          </w:p>
        </w:tc>
      </w:tr>
      <w:tr>
        <w:trPr>
          <w:trHeight w:val="27"/>
        </w:trPr>
        <w:tc>
          <w:tcPr>
            <w:tcW w:w="5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6"/>
                <w:szCs w:val="16"/>
                <w:color w:val="auto"/>
              </w:rPr>
              <w:t>Issuance of convertible notes, net of tax</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71,660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conversions of convertible notes, net of tax</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Balance as of March 31, 2019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51,950,140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1,142,691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(393,307</w:t>
            </w:r>
            <w:r>
              <w:rPr>
                <w:rFonts w:ascii="Arial" w:cs="Arial" w:eastAsia="Arial" w:hAnsi="Arial"/>
                <w:sz w:val="17"/>
                <w:szCs w:val="17"/>
                <w:color w:val="auto"/>
              </w:rPr>
              <w:t>)</w:t>
            </w:r>
          </w:p>
        </w:tc>
      </w:tr>
      <w:tr>
        <w:trPr>
          <w:trHeight w:val="27"/>
        </w:trPr>
        <w:tc>
          <w:tcPr>
            <w:tcW w:w="5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46)</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Redemptions and conversions of convertible notes, net of tax</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2,488,243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22,400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50"/>
        </w:trPr>
        <w:tc>
          <w:tcPr>
            <w:tcW w:w="5780" w:type="dxa"/>
            <w:vAlign w:val="bottom"/>
          </w:tcPr>
          <w:p>
            <w:pPr>
              <w:ind w:left="40"/>
              <w:spacing w:after="0"/>
              <w:rPr>
                <w:sz w:val="20"/>
                <w:szCs w:val="20"/>
                <w:color w:val="auto"/>
              </w:rPr>
            </w:pPr>
            <w:r>
              <w:rPr>
                <w:rFonts w:ascii="Arial" w:cs="Arial" w:eastAsia="Arial" w:hAnsi="Arial"/>
                <w:sz w:val="16"/>
                <w:szCs w:val="16"/>
                <w:color w:val="auto"/>
              </w:rPr>
              <w:t>Balance as of June 30, 2019</w:t>
            </w:r>
          </w:p>
        </w:tc>
        <w:tc>
          <w:tcPr>
            <w:tcW w:w="1280" w:type="dxa"/>
            <w:vAlign w:val="bottom"/>
          </w:tcPr>
          <w:p>
            <w:pPr>
              <w:jc w:val="right"/>
              <w:spacing w:after="0"/>
              <w:rPr>
                <w:sz w:val="20"/>
                <w:szCs w:val="20"/>
                <w:color w:val="auto"/>
              </w:rPr>
            </w:pPr>
            <w:r>
              <w:rPr>
                <w:rFonts w:ascii="Arial" w:cs="Arial" w:eastAsia="Arial" w:hAnsi="Arial"/>
                <w:sz w:val="18"/>
                <w:szCs w:val="18"/>
                <w:color w:val="auto"/>
              </w:rPr>
              <w:t>54,480,239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1,172,834</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393,353</w:t>
            </w:r>
            <w:r>
              <w:rPr>
                <w:rFonts w:ascii="Arial" w:cs="Arial" w:eastAsia="Arial" w:hAnsi="Arial"/>
                <w:sz w:val="16"/>
                <w:szCs w:val="16"/>
                <w:color w:val="auto"/>
              </w:rPr>
              <w:t>)</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issued under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September 30,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35,437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178)</w:t>
            </w:r>
          </w:p>
        </w:tc>
      </w:tr>
      <w:tr>
        <w:trPr>
          <w:trHeight w:val="270"/>
        </w:trPr>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275,181)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39,751)</w:t>
            </w:r>
          </w:p>
        </w:tc>
      </w:tr>
      <w:tr>
        <w:trPr>
          <w:trHeight w:val="270"/>
        </w:trPr>
        <w:tc>
          <w:tcPr>
            <w:tcW w:w="4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36"/>
        </w:trPr>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54,240,495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1,179,413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433,282)</w:t>
            </w:r>
          </w:p>
        </w:tc>
      </w:tr>
      <w:tr>
        <w:trPr>
          <w:trHeight w:val="20"/>
        </w:trPr>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Treasury</w:t>
            </w:r>
          </w:p>
        </w:tc>
      </w:tr>
      <w:tr>
        <w:trPr>
          <w:trHeight w:val="210"/>
        </w:trPr>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60" w:type="dxa"/>
            <w:vAlign w:val="bottom"/>
          </w:tcPr>
          <w:p>
            <w:pPr>
              <w:spacing w:after="0"/>
              <w:rPr>
                <w:sz w:val="18"/>
                <w:szCs w:val="18"/>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5"/>
              </w:rPr>
              <w:t>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Stock</w:t>
            </w:r>
          </w:p>
        </w:tc>
      </w:tr>
      <w:tr>
        <w:trPr>
          <w:trHeight w:val="33"/>
        </w:trPr>
        <w:tc>
          <w:tcPr>
            <w:tcW w:w="1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54,220,854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1,256</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1,190,058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(463,704)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-1058545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-715645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-149860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192405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40" w:type="dxa"/>
            <w:vAlign w:val="bottom"/>
          </w:tcPr>
          <w:p>
            <w:pPr>
              <w:jc w:val="right"/>
              <w:spacing w:after="0"/>
              <w:rPr>
                <w:sz w:val="20"/>
                <w:szCs w:val="20"/>
                <w:color w:val="auto"/>
              </w:rPr>
            </w:pPr>
            <w:r>
              <w:rPr>
                <w:rFonts w:ascii="Arial" w:cs="Arial" w:eastAsia="Arial" w:hAnsi="Arial"/>
                <w:sz w:val="16"/>
                <w:szCs w:val="16"/>
                <w:color w:val="auto"/>
              </w:rPr>
              <w:t>80,519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249</w:t>
            </w:r>
            <w:r>
              <w:rPr>
                <w:rFonts w:ascii="Arial" w:cs="Arial" w:eastAsia="Arial" w:hAnsi="Arial"/>
                <w:sz w:val="16"/>
                <w:szCs w:val="16"/>
                <w:color w:val="auto"/>
              </w:rPr>
              <w:t>)</w:t>
            </w:r>
          </w:p>
        </w:tc>
      </w:tr>
      <w:tr>
        <w:trPr>
          <w:trHeight w:val="27"/>
        </w:trPr>
        <w:tc>
          <w:tcPr>
            <w:tcW w:w="5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1440" w:type="dxa"/>
            <w:vAlign w:val="bottom"/>
          </w:tcPr>
          <w:p>
            <w:pPr>
              <w:jc w:val="right"/>
              <w:spacing w:after="0"/>
              <w:rPr>
                <w:sz w:val="20"/>
                <w:szCs w:val="20"/>
                <w:color w:val="auto"/>
              </w:rPr>
            </w:pPr>
            <w:r>
              <w:rPr>
                <w:rFonts w:ascii="Arial" w:cs="Arial" w:eastAsia="Arial" w:hAnsi="Arial"/>
                <w:sz w:val="16"/>
                <w:szCs w:val="16"/>
                <w:color w:val="auto"/>
              </w:rPr>
              <w:t>(2,095,683)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239,763</w:t>
            </w:r>
            <w:r>
              <w:rPr>
                <w:rFonts w:ascii="Arial" w:cs="Arial" w:eastAsia="Arial" w:hAnsi="Arial"/>
                <w:sz w:val="16"/>
                <w:szCs w:val="16"/>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52,205,690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(703,716)</w:t>
            </w: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40" w:type="dxa"/>
            <w:vAlign w:val="bottom"/>
          </w:tcPr>
          <w:p>
            <w:pPr>
              <w:jc w:val="right"/>
              <w:spacing w:after="0"/>
              <w:rPr>
                <w:sz w:val="20"/>
                <w:szCs w:val="20"/>
                <w:color w:val="auto"/>
              </w:rPr>
            </w:pPr>
            <w:r>
              <w:rPr>
                <w:rFonts w:ascii="Arial" w:cs="Arial" w:eastAsia="Arial" w:hAnsi="Arial"/>
                <w:sz w:val="18"/>
                <w:szCs w:val="18"/>
                <w:color w:val="auto"/>
              </w:rPr>
              <w:t>82,841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50"/>
        </w:trPr>
        <w:tc>
          <w:tcPr>
            <w:tcW w:w="5740" w:type="dxa"/>
            <w:vAlign w:val="bottom"/>
          </w:tcPr>
          <w:p>
            <w:pPr>
              <w:ind w:left="40"/>
              <w:spacing w:after="0"/>
              <w:rPr>
                <w:sz w:val="20"/>
                <w:szCs w:val="20"/>
                <w:color w:val="auto"/>
              </w:rPr>
            </w:pPr>
            <w:r>
              <w:rPr>
                <w:rFonts w:ascii="Arial" w:cs="Arial" w:eastAsia="Arial" w:hAnsi="Arial"/>
                <w:sz w:val="16"/>
                <w:szCs w:val="16"/>
                <w:color w:val="auto"/>
              </w:rPr>
              <w:t>Balance as of June 30, 2020</w:t>
            </w:r>
          </w:p>
        </w:tc>
        <w:tc>
          <w:tcPr>
            <w:tcW w:w="1440" w:type="dxa"/>
            <w:vAlign w:val="bottom"/>
          </w:tcPr>
          <w:p>
            <w:pPr>
              <w:jc w:val="right"/>
              <w:spacing w:after="0"/>
              <w:rPr>
                <w:sz w:val="20"/>
                <w:szCs w:val="20"/>
                <w:color w:val="auto"/>
              </w:rPr>
            </w:pPr>
            <w:r>
              <w:rPr>
                <w:rFonts w:ascii="Arial" w:cs="Arial" w:eastAsia="Arial" w:hAnsi="Arial"/>
                <w:sz w:val="18"/>
                <w:szCs w:val="18"/>
                <w:color w:val="auto"/>
              </w:rPr>
              <w:t>52,288,531</w:t>
            </w:r>
          </w:p>
        </w:tc>
        <w:tc>
          <w:tcPr>
            <w:tcW w:w="100" w:type="dxa"/>
            <w:vAlign w:val="bottom"/>
          </w:tcPr>
          <w:p>
            <w:pPr>
              <w:spacing w:after="0"/>
              <w:rPr>
                <w:sz w:val="21"/>
                <w:szCs w:val="21"/>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1,204,985</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703,657</w:t>
            </w:r>
            <w:r>
              <w:rPr>
                <w:rFonts w:ascii="Arial" w:cs="Arial" w:eastAsia="Arial" w:hAnsi="Arial"/>
                <w:sz w:val="16"/>
                <w:szCs w:val="16"/>
                <w:color w:val="auto"/>
              </w:rPr>
              <w:t>)</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3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52,310,135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(703,604)</w:t>
            </w:r>
          </w:p>
        </w:tc>
      </w:tr>
      <w:tr>
        <w:trPr>
          <w:trHeight w:val="20"/>
        </w:trPr>
        <w:tc>
          <w:tcPr>
            <w:tcW w:w="5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right="1000"/>
        <w:spacing w:after="0" w:line="352" w:lineRule="auto"/>
        <w:rPr>
          <w:sz w:val="20"/>
          <w:szCs w:val="20"/>
          <w:color w:val="auto"/>
        </w:rPr>
      </w:pPr>
      <w:r>
        <w:rPr>
          <w:rFonts w:ascii="Arial" w:cs="Arial" w:eastAsia="Arial" w:hAnsi="Arial"/>
          <w:sz w:val="16"/>
          <w:szCs w:val="16"/>
          <w:color w:val="auto"/>
        </w:rPr>
        <w:t>Stock issued under employee stock plans Share-based compensation</w:t>
      </w:r>
    </w:p>
    <w:p>
      <w:pPr>
        <w:ind w:left="40" w:right="440"/>
        <w:spacing w:after="0" w:line="358" w:lineRule="auto"/>
        <w:rPr>
          <w:sz w:val="20"/>
          <w:szCs w:val="20"/>
          <w:color w:val="auto"/>
        </w:rPr>
      </w:pPr>
      <w:r>
        <w:rPr>
          <w:rFonts w:ascii="Arial" w:cs="Arial" w:eastAsia="Arial" w:hAnsi="Arial"/>
          <w:sz w:val="16"/>
          <w:szCs w:val="16"/>
          <w:color w:val="auto"/>
        </w:rPr>
        <w:t>Issuance of convertible notes, net of tax Repurchases and conversions of convertible notes Balance as of March 31, 2019</w:t>
      </w: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issued under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Redemptions and conversions of convertible notes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June 30,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issued under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September 30,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December 31,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issued under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shares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March 31, 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issued under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June 30, 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issued under employee stock plans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September 30, 2020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160"/>
              <w:spacing w:after="0"/>
              <w:rPr>
                <w:sz w:val="20"/>
                <w:szCs w:val="20"/>
                <w:color w:val="auto"/>
              </w:rPr>
            </w:pPr>
            <w:r>
              <w:rPr>
                <w:rFonts w:ascii="Arial" w:cs="Arial" w:eastAsia="Arial" w:hAnsi="Arial"/>
                <w:sz w:val="16"/>
                <w:szCs w:val="16"/>
                <w:b w:val="1"/>
                <w:bCs w:val="1"/>
                <w:color w:val="auto"/>
              </w:rPr>
              <w:t>Retained</w:t>
            </w:r>
          </w:p>
        </w:tc>
        <w:tc>
          <w:tcPr>
            <w:tcW w:w="400" w:type="dxa"/>
            <w:vAlign w:val="bottom"/>
          </w:tcPr>
          <w:p>
            <w:pPr>
              <w:spacing w:after="0"/>
              <w:rPr>
                <w:sz w:val="17"/>
                <w:szCs w:val="17"/>
                <w:color w:val="auto"/>
              </w:rPr>
            </w:pPr>
          </w:p>
        </w:tc>
        <w:tc>
          <w:tcPr>
            <w:tcW w:w="25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Accumulated 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Noncontrolling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Earnings</w:t>
            </w:r>
          </w:p>
        </w:tc>
        <w:tc>
          <w:tcPr>
            <w:tcW w:w="400" w:type="dxa"/>
            <w:vAlign w:val="bottom"/>
          </w:tcPr>
          <w:p>
            <w:pPr>
              <w:spacing w:after="0"/>
              <w:rPr>
                <w:sz w:val="18"/>
                <w:szCs w:val="18"/>
                <w:color w:val="auto"/>
              </w:rPr>
            </w:pPr>
          </w:p>
        </w:tc>
        <w:tc>
          <w:tcPr>
            <w:tcW w:w="250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Interests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669,805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95"/>
              <w:spacing w:after="0"/>
              <w:rPr>
                <w:sz w:val="20"/>
                <w:szCs w:val="20"/>
                <w:color w:val="auto"/>
              </w:rPr>
            </w:pPr>
            <w:r>
              <w:rPr>
                <w:rFonts w:ascii="Arial" w:cs="Arial" w:eastAsia="Arial" w:hAnsi="Arial"/>
                <w:sz w:val="16"/>
                <w:szCs w:val="16"/>
                <w:color w:val="auto"/>
              </w:rPr>
              <w:t>$</w:t>
            </w: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(151,043)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1,232,842</w:t>
            </w:r>
          </w:p>
        </w:tc>
        <w:tc>
          <w:tcPr>
            <w:tcW w:w="80" w:type="dxa"/>
            <w:vAlign w:val="bottom"/>
          </w:tcPr>
          <w:p>
            <w:pPr>
              <w:spacing w:after="0"/>
              <w:rPr>
                <w:sz w:val="18"/>
                <w:szCs w:val="18"/>
                <w:color w:val="auto"/>
              </w:rPr>
            </w:pPr>
          </w:p>
        </w:tc>
      </w:tr>
      <w:tr>
        <w:trPr>
          <w:trHeight w:val="27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34,543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34,579</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16,156</w:t>
            </w: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29</w:t>
            </w: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16,185</w:t>
            </w: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4,490</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71,660</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42,917</w:t>
            </w:r>
            <w:r>
              <w:rPr>
                <w:rFonts w:ascii="Arial" w:cs="Arial" w:eastAsia="Arial" w:hAnsi="Arial"/>
                <w:sz w:val="16"/>
                <w:szCs w:val="16"/>
                <w:color w:val="auto"/>
              </w:rPr>
              <w:t>)</w:t>
            </w:r>
          </w:p>
        </w:tc>
      </w:tr>
      <w:tr>
        <w:trPr>
          <w:trHeight w:val="27"/>
        </w:trPr>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704,348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(167,199)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1,287,910</w:t>
            </w:r>
          </w:p>
        </w:tc>
        <w:tc>
          <w:tcPr>
            <w:tcW w:w="8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68,153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148</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68,005</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12,149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12,161</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6,003</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22,450</w:t>
            </w: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772,501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155,050</w:t>
            </w: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1,398,223</w:t>
            </w:r>
          </w:p>
        </w:tc>
        <w:tc>
          <w:tcPr>
            <w:tcW w:w="8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137,607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66</w:t>
            </w: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137,541</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56,803</w:t>
            </w: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60</w:t>
            </w: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56,863</w:t>
            </w: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954</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5,456</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39,751</w:t>
            </w: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8</w:t>
            </w: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220" w:type="dxa"/>
            <w:vAlign w:val="bottom"/>
          </w:tcPr>
          <w:p>
            <w:pPr>
              <w:jc w:val="right"/>
              <w:ind w:right="37"/>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910,108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2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211,853</w:t>
            </w: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86</w:t>
            </w:r>
            <w:r>
              <w:rPr>
                <w:rFonts w:ascii="Arial" w:cs="Arial" w:eastAsia="Arial" w:hAnsi="Arial"/>
                <w:sz w:val="16"/>
                <w:szCs w:val="16"/>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$ 1,445,552</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ind w:left="140"/>
              <w:spacing w:after="0"/>
              <w:rPr>
                <w:sz w:val="20"/>
                <w:szCs w:val="20"/>
                <w:color w:val="auto"/>
              </w:rPr>
            </w:pPr>
            <w:r>
              <w:rPr>
                <w:rFonts w:ascii="Arial" w:cs="Arial" w:eastAsia="Arial" w:hAnsi="Arial"/>
                <w:sz w:val="16"/>
                <w:szCs w:val="16"/>
                <w:b w:val="1"/>
                <w:bCs w:val="1"/>
                <w:color w:val="auto"/>
              </w:rPr>
              <w:t>Retained</w:t>
            </w:r>
          </w:p>
        </w:tc>
        <w:tc>
          <w:tcPr>
            <w:tcW w:w="400" w:type="dxa"/>
            <w:vAlign w:val="bottom"/>
          </w:tcPr>
          <w:p>
            <w:pPr>
              <w:spacing w:after="0"/>
              <w:rPr>
                <w:sz w:val="24"/>
                <w:szCs w:val="24"/>
                <w:color w:val="auto"/>
              </w:rPr>
            </w:pPr>
          </w:p>
        </w:tc>
        <w:tc>
          <w:tcPr>
            <w:tcW w:w="250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Accumulated Other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400" w:type="dxa"/>
            <w:vAlign w:val="bottom"/>
          </w:tcPr>
          <w:p>
            <w:pPr>
              <w:spacing w:after="0"/>
              <w:rPr>
                <w:sz w:val="18"/>
                <w:szCs w:val="18"/>
                <w:color w:val="auto"/>
              </w:rPr>
            </w:pPr>
          </w:p>
        </w:tc>
        <w:tc>
          <w:tcPr>
            <w:tcW w:w="25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Interests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1,016,554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95"/>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(164,890)</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1,579,342</w:t>
            </w:r>
          </w:p>
        </w:tc>
        <w:tc>
          <w:tcPr>
            <w:tcW w:w="80" w:type="dxa"/>
            <w:vAlign w:val="bottom"/>
          </w:tcPr>
          <w:p>
            <w:pPr>
              <w:spacing w:after="0"/>
              <w:rPr>
                <w:sz w:val="18"/>
                <w:szCs w:val="18"/>
                <w:color w:val="auto"/>
              </w:rPr>
            </w:pPr>
          </w:p>
        </w:tc>
      </w:tr>
      <w:tr>
        <w:trPr>
          <w:trHeight w:val="27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201</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1,720</w:t>
            </w:r>
          </w:p>
        </w:tc>
        <w:tc>
          <w:tcPr>
            <w:tcW w:w="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59,777</w:t>
            </w: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41</w:t>
            </w: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(59,818)</w:t>
            </w:r>
          </w:p>
        </w:tc>
      </w:tr>
      <w:tr>
        <w:trPr>
          <w:trHeight w:val="264"/>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6,338</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(239,763)</w:t>
            </w:r>
          </w:p>
        </w:tc>
      </w:tr>
      <w:tr>
        <w:trPr>
          <w:trHeight w:val="33"/>
        </w:trPr>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1,018,475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(224,667)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1,289,272</w:t>
            </w:r>
          </w:p>
        </w:tc>
        <w:tc>
          <w:tcPr>
            <w:tcW w:w="80" w:type="dxa"/>
            <w:vAlign w:val="bottom"/>
          </w:tcPr>
          <w:p>
            <w:pPr>
              <w:spacing w:after="0"/>
              <w:rPr>
                <w:sz w:val="20"/>
                <w:szCs w:val="20"/>
                <w:color w:val="auto"/>
              </w:rPr>
            </w:pPr>
          </w:p>
        </w:tc>
      </w:tr>
      <w:tr>
        <w:trPr>
          <w:trHeight w:val="30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115,804</w:t>
            </w: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115,733</w:t>
            </w:r>
            <w:r>
              <w:rPr>
                <w:rFonts w:ascii="Arial" w:cs="Arial" w:eastAsia="Arial" w:hAnsi="Arial"/>
                <w:sz w:val="16"/>
                <w:szCs w:val="16"/>
                <w:color w:val="auto"/>
              </w:rPr>
              <w:t>)</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32,145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32,172</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3,824</w:t>
            </w:r>
          </w:p>
        </w:tc>
        <w:tc>
          <w:tcPr>
            <w:tcW w:w="80" w:type="dxa"/>
            <w:vAlign w:val="bottom"/>
          </w:tcPr>
          <w:p>
            <w:pPr>
              <w:spacing w:after="0"/>
              <w:rPr>
                <w:sz w:val="23"/>
                <w:szCs w:val="23"/>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Borders>
              <w:bottom w:val="single" w:sz="8" w:color="auto"/>
            </w:tcBorders>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902,671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192,522</w:t>
            </w: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76</w:t>
            </w: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1,212,660</w:t>
            </w:r>
          </w:p>
        </w:tc>
        <w:tc>
          <w:tcPr>
            <w:tcW w:w="8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40,249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40,315</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47,006</w:t>
            </w:r>
          </w:p>
        </w:tc>
      </w:tr>
      <w:tr>
        <w:trPr>
          <w:trHeight w:val="270"/>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r>
      <w:tr>
        <w:trPr>
          <w:trHeight w:val="270"/>
        </w:trPr>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80" w:type="dxa"/>
            <w:vAlign w:val="bottom"/>
            <w:tcBorders>
              <w:bottom w:val="single" w:sz="8" w:color="auto"/>
            </w:tcBorders>
          </w:tcPr>
          <w:p>
            <w:pPr>
              <w:spacing w:after="0"/>
              <w:rPr>
                <w:sz w:val="23"/>
                <w:szCs w:val="23"/>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942,920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(145,583)</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1,305,758</w:t>
            </w:r>
          </w:p>
        </w:tc>
        <w:tc>
          <w:tcPr>
            <w:tcW w:w="80" w:type="dxa"/>
            <w:vAlign w:val="bottom"/>
            <w:tcBorders>
              <w:bottom w:val="single" w:sz="8" w:color="auto"/>
            </w:tcBorders>
          </w:tcPr>
          <w:p>
            <w:pPr>
              <w:spacing w:after="0"/>
              <w:rPr>
                <w:sz w:val="20"/>
                <w:szCs w:val="20"/>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-6943090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-6600190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-6257290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-5914390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-5562600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-5219700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-4876800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-4533900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-4191000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-3848100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-3505200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-2939415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-2596515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-2253615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-1910715</wp:posOffset>
            </wp:positionV>
            <wp:extent cx="71323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-1559560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-1216660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-873760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-530860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-187960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3700" w:space="720"/>
            <w:col w:w="6820"/>
          </w:cols>
          <w:pgMar w:left="320" w:top="130"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See accompanying notes to the unaudited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13335</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r>
      <w:tr>
        <w:trPr>
          <w:trHeight w:val="210"/>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240,125</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82,253</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15,949</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13,313</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9,831</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4,719</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(62,078)</w:t>
            </w:r>
          </w:p>
        </w:tc>
      </w:tr>
      <w:tr>
        <w:trPr>
          <w:trHeight w:val="216"/>
        </w:trPr>
        <w:tc>
          <w:tcPr>
            <w:tcW w:w="8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58,559</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r>
      <w:tr>
        <w:trPr>
          <w:trHeight w:val="210"/>
        </w:trPr>
        <w:tc>
          <w:tcPr>
            <w:tcW w:w="85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220,416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364,379</w:t>
            </w: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(100,443)</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(7,276)</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10"/>
        </w:trPr>
        <w:tc>
          <w:tcPr>
            <w:tcW w:w="85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(104,401)</w:t>
            </w: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r>
      <w:tr>
        <w:trPr>
          <w:trHeight w:val="230"/>
        </w:trPr>
        <w:tc>
          <w:tcPr>
            <w:tcW w:w="854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2,365,698</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(2,580,871)</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1,194,900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(446,702)</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Net repayments from short-term debt obligations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(18,793)</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w:t>
            </w:r>
          </w:p>
        </w:tc>
      </w:tr>
      <w:tr>
        <w:trPr>
          <w:trHeight w:val="216"/>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r>
      <w:tr>
        <w:trPr>
          <w:trHeight w:val="243"/>
        </w:trPr>
        <w:tc>
          <w:tcPr>
            <w:tcW w:w="8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461,632</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(57,807)</w:t>
            </w:r>
          </w:p>
        </w:tc>
      </w:tr>
      <w:tr>
        <w:trPr>
          <w:trHeight w:val="216"/>
        </w:trPr>
        <w:tc>
          <w:tcPr>
            <w:tcW w:w="8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663,803</w:t>
            </w: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1,817,379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1,130,952</w:t>
            </w:r>
          </w:p>
        </w:tc>
      </w:tr>
      <w:tr>
        <w:trPr>
          <w:trHeight w:val="175"/>
        </w:trPr>
        <w:tc>
          <w:tcPr>
            <w:tcW w:w="85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250"/>
        </w:trPr>
        <w:tc>
          <w:tcPr>
            <w:tcW w:w="8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1,748,695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1,794,755</w:t>
            </w:r>
          </w:p>
        </w:tc>
      </w:tr>
      <w:tr>
        <w:trPr>
          <w:trHeight w:val="156"/>
        </w:trPr>
        <w:tc>
          <w:tcPr>
            <w:tcW w:w="8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6"/>
        </w:trPr>
        <w:tc>
          <w:tcPr>
            <w:tcW w:w="854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3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w:t>
            </w:r>
          </w:p>
        </w:tc>
      </w:tr>
      <w:tr>
        <w:trPr>
          <w:trHeight w:val="202"/>
        </w:trPr>
        <w:tc>
          <w:tcPr>
            <w:tcW w:w="8540" w:type="dxa"/>
            <w:vAlign w:val="bottom"/>
          </w:tcPr>
          <w:p>
            <w:pPr>
              <w:ind w:left="40"/>
              <w:spacing w:after="0" w:line="201" w:lineRule="exact"/>
              <w:rPr>
                <w:sz w:val="20"/>
                <w:szCs w:val="20"/>
                <w:color w:val="auto"/>
              </w:rPr>
            </w:pPr>
            <w:r>
              <w:rPr>
                <w:rFonts w:ascii="Arial" w:cs="Arial" w:eastAsia="Arial" w:hAnsi="Arial"/>
                <w:sz w:val="18"/>
                <w:szCs w:val="18"/>
                <w:color w:val="auto"/>
              </w:rPr>
              <w:t>Income taxes paid during the period</w:t>
            </w:r>
          </w:p>
        </w:tc>
        <w:tc>
          <w:tcPr>
            <w:tcW w:w="2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50,300</w:t>
            </w:r>
          </w:p>
        </w:tc>
        <w:tc>
          <w:tcPr>
            <w:tcW w:w="380" w:type="dxa"/>
            <w:vAlign w:val="bottom"/>
            <w:gridSpan w:val="2"/>
          </w:tcPr>
          <w:p>
            <w:pPr>
              <w:jc w:val="right"/>
              <w:ind w:right="107"/>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55,025</w:t>
            </w:r>
          </w:p>
        </w:tc>
      </w:tr>
      <w:tr>
        <w:trPr>
          <w:trHeight w:val="230"/>
        </w:trPr>
        <w:tc>
          <w:tcPr>
            <w:tcW w:w="8540" w:type="dxa"/>
            <w:vAlign w:val="bottom"/>
          </w:tcPr>
          <w:p>
            <w:pPr>
              <w:ind w:left="290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540" w:type="dxa"/>
            <w:vAlign w:val="bottom"/>
          </w:tcPr>
          <w:p>
            <w:pPr>
              <w:ind w:left="55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9"/>
        </w:trPr>
        <w:tc>
          <w:tcPr>
            <w:tcW w:w="8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audited consolidated financial statements of the Company for the year ended December 31, 2019, including the notes thereto, set forth in the Company’s 2019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Euronet’s Electronic Funds Transfer ("EFT") Processing Segment normally experiences its heaviest demand for dynamic currency conversion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(coronavirus)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outbreak of the COVID-19 (coronavirus) pandemic has resulted in varying degrees of travel restrictions and shelter-in-place and other social distancing orders in most of the countries where the Company operates during the three and nine months ended September 30, 2020. Although the majority of these orders went into effect in late February 2020 or early March 2020, new orders are being implemented, or reinstated, as the pandemic spreads around the globe and there is a resurgence of infections.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the Company has a higher mix of digital distribution or a higher concentration of retailers that are deemed essential and have remained open during the pandemic.</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response to the COVID-19 driven impacts, the Company has implemented several key measures to offset the impact across the business, including renegotiating certain third party contracts, reducing travel, decreasing planned 2020 capital expenditures, and expanding ATM winterizations (placing them in dormancy status, terminating, or re-negotiating) in more sites and more markets.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00" w:lineRule="exact"/>
        <w:rPr>
          <w:sz w:val="20"/>
          <w:szCs w:val="20"/>
          <w:color w:val="auto"/>
        </w:rPr>
      </w:pPr>
    </w:p>
    <w:p>
      <w:pPr>
        <w:spacing w:after="0" w:line="2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"Accounting for Convertible Instruments and Contracts in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Entity's Own Equity" </w:t>
      </w:r>
      <w:r>
        <w:rPr>
          <w:rFonts w:ascii="Arial" w:cs="Arial" w:eastAsia="Arial" w:hAnsi="Arial"/>
          <w:sz w:val="16"/>
          <w:szCs w:val="16"/>
          <w:color w:val="auto"/>
        </w:rPr>
        <w:t>which simplifies the accounting for convertible instruments by eliminating certain accounting models when the conversion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Early adoption is permitted. The Company is currently evaluating the impact the adoption of ASU 2020-06 will have on the consolidated financial statements.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which provides optional expedients and exceptions for contracts, hedging relationships, and other transactions affected by reference rate reform due to the anticipated cessation of LIBOR on or before December 31, 2021. This guidance is effective from March 12, 2020 through December 31, 2022 and could impact the accounting for LIBOR provisions in the Company’s unsecured credit agreement. The Company does not expect that the adoption of this guidance will have a significant impact on its consolidated financial statements.</w:t>
      </w:r>
    </w:p>
    <w:p>
      <w:pPr>
        <w:spacing w:after="0" w:line="188"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The Company adopted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(Topic 326), as of January 1, 2020, which requires entities to measure all expected credit losses for financial assets held at the reporting date based on historical experience, current conditions, and reasonable and supportable forecasts. This replaced the existing incurred loss model and is applicable to the measurement of credit losses on financial assets measured at amortized cost. The adoption of this standard did not have a significant impact on the Company's consolidated financial statements and related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SETTLEMENT ASSETS AND OBLIGATIONS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amounts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r>
      <w:tr>
        <w:trPr>
          <w:trHeight w:val="152"/>
        </w:trPr>
        <w:tc>
          <w:tcPr>
            <w:tcW w:w="8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Settlement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272,467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282,188</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credit losses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574,410</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107,301</w:t>
            </w:r>
          </w:p>
        </w:tc>
      </w:tr>
      <w:tr>
        <w:trPr>
          <w:trHeight w:val="297"/>
        </w:trPr>
        <w:tc>
          <w:tcPr>
            <w:tcW w:w="8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settlement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1,013,067</w:t>
            </w:r>
          </w:p>
        </w:tc>
      </w:tr>
      <w:tr>
        <w:trPr>
          <w:trHeight w:val="237"/>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Trade account payables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346,391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504,667</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508,400</w:t>
            </w:r>
          </w:p>
        </w:tc>
      </w:tr>
      <w:tr>
        <w:trPr>
          <w:trHeight w:val="257"/>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Total settlement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1,013,067</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portion of the Company's credit losses are recorded in the accounts receivable within settlement assets. The balance of credit losses related to accounts receivable within settlement assets was $29.9 million and $24.0 million as of September 30, 2020 and December 31, 2019,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r>
      <w:tr>
        <w:trPr>
          <w:trHeight w:val="24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385,031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31,237</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395,378</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273,948</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45,358</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1,794,755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1,130,952</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144" w:lineRule="exact"/>
        <w:rPr>
          <w:sz w:val="20"/>
          <w:szCs w:val="20"/>
          <w:color w:val="auto"/>
        </w:rPr>
      </w:pPr>
    </w:p>
    <w:p>
      <w:pPr>
        <w:jc w:val="both"/>
        <w:ind w:right="460"/>
        <w:spacing w:after="0" w:line="257"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 if such conversion would be dilutive.</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computation of diluted weighted average number of common shares outstanding: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40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2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September 30,</w:t>
            </w:r>
          </w:p>
        </w:tc>
      </w:tr>
      <w:tr>
        <w:trPr>
          <w:trHeight w:val="257"/>
        </w:trPr>
        <w:tc>
          <w:tcPr>
            <w:tcW w:w="6260" w:type="dxa"/>
            <w:vAlign w:val="bottom"/>
          </w:tcPr>
          <w:p>
            <w:pPr>
              <w:spacing w:after="0"/>
              <w:rPr>
                <w:sz w:val="22"/>
                <w:szCs w:val="22"/>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2"/>
                <w:szCs w:val="22"/>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52,294,522</w:t>
            </w:r>
          </w:p>
        </w:tc>
        <w:tc>
          <w:tcPr>
            <w:tcW w:w="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54,449,256</w:t>
            </w:r>
          </w:p>
        </w:tc>
      </w:tr>
      <w:tr>
        <w:trPr>
          <w:trHeight w:val="256"/>
        </w:trPr>
        <w:tc>
          <w:tcPr>
            <w:tcW w:w="6260" w:type="dxa"/>
            <w:vAlign w:val="bottom"/>
          </w:tcPr>
          <w:p>
            <w:pPr>
              <w:ind w:left="140"/>
              <w:spacing w:after="0"/>
              <w:rPr>
                <w:sz w:val="20"/>
                <w:szCs w:val="20"/>
                <w:color w:val="auto"/>
              </w:rPr>
            </w:pPr>
            <w:r>
              <w:rPr>
                <w:rFonts w:ascii="Arial" w:cs="Arial" w:eastAsia="Arial" w:hAnsi="Arial"/>
                <w:sz w:val="18"/>
                <w:szCs w:val="18"/>
                <w:color w:val="auto"/>
                <w:w w:val="91"/>
              </w:rPr>
              <w:t>Incremental shares from assumed exercise of stock options and vesting of restricted</w:t>
            </w: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6260" w:type="dxa"/>
            <w:vAlign w:val="bottom"/>
          </w:tcPr>
          <w:p>
            <w:pPr>
              <w:ind w:left="460"/>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spacing w:after="0"/>
              <w:rPr>
                <w:sz w:val="20"/>
                <w:szCs w:val="20"/>
                <w:color w:val="auto"/>
              </w:rPr>
            </w:pPr>
            <w:r>
              <w:rPr>
                <w:rFonts w:ascii="Arial" w:cs="Arial" w:eastAsia="Arial" w:hAnsi="Arial"/>
                <w:sz w:val="18"/>
                <w:szCs w:val="18"/>
                <w:color w:val="auto"/>
              </w:rPr>
              <w:t>907,449</w:t>
            </w:r>
          </w:p>
        </w:tc>
        <w:tc>
          <w:tcPr>
            <w:tcW w:w="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1,522,805</w:t>
            </w:r>
          </w:p>
        </w:tc>
      </w:tr>
      <w:tr>
        <w:trPr>
          <w:trHeight w:val="27"/>
        </w:trPr>
        <w:tc>
          <w:tcPr>
            <w:tcW w:w="62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26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53,201,971</w:t>
            </w:r>
          </w:p>
        </w:tc>
        <w:tc>
          <w:tcPr>
            <w:tcW w:w="4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55,972,061</w:t>
            </w:r>
          </w:p>
        </w:tc>
      </w:tr>
      <w:tr>
        <w:trPr>
          <w:trHeight w:val="20"/>
        </w:trPr>
        <w:tc>
          <w:tcPr>
            <w:tcW w:w="6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1517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1517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13335</wp:posOffset>
            </wp:positionV>
            <wp:extent cx="1560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87" w:lineRule="exact"/>
        <w:rPr>
          <w:sz w:val="20"/>
          <w:szCs w:val="20"/>
          <w:color w:val="auto"/>
        </w:rPr>
      </w:pPr>
    </w:p>
    <w:p>
      <w:pPr>
        <w:ind w:left="140"/>
        <w:spacing w:after="0"/>
        <w:tabs>
          <w:tab w:leader="none" w:pos="14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color w:val="auto"/>
        </w:rPr>
        <w:t>52,712,030</w:t>
      </w:r>
      <w:r>
        <w:rPr>
          <w:sz w:val="20"/>
          <w:szCs w:val="20"/>
          <w:color w:val="auto"/>
        </w:rPr>
        <w:tab/>
      </w:r>
      <w:r>
        <w:rPr>
          <w:rFonts w:ascii="Arial" w:cs="Arial" w:eastAsia="Arial" w:hAnsi="Arial"/>
          <w:sz w:val="15"/>
          <w:szCs w:val="15"/>
          <w:color w:val="auto"/>
        </w:rPr>
        <w:t>53,180,850</w:t>
      </w:r>
    </w:p>
    <w:p>
      <w:pPr>
        <w:spacing w:after="0" w:line="3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1,441,369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52,712,030</w:t>
      </w:r>
      <w:r>
        <w:rPr>
          <w:rFonts w:ascii="Arial" w:cs="Arial" w:eastAsia="Arial" w:hAnsi="Arial"/>
          <w:sz w:val="15"/>
          <w:szCs w:val="15"/>
          <w:color w:val="auto"/>
        </w:rPr>
        <w:t>54,622,219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31750</wp:posOffset>
            </wp:positionV>
            <wp:extent cx="156019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195" cy="25400"/>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-147320</wp:posOffset>
            </wp:positionV>
            <wp:extent cx="1560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00" w:space="360"/>
            <w:col w:w="2180"/>
          </w:cols>
          <w:pgMar w:left="320" w:top="125" w:right="339" w:bottom="1440" w:gutter="0" w:footer="0" w:header="0"/>
          <w:type w:val="continuous"/>
        </w:sectPr>
      </w:pPr>
    </w:p>
    <w:p>
      <w:pPr>
        <w:spacing w:after="0" w:line="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the Company's weighted average common shares outstanding during the period. The calculation of diluted earnings (loss) per share excludes stock options or shares of restricted stock that are anti-dilutive to the Company’s weighted average common shares outstanding of approximately 1,122,000 and 1,887,000 for the three and nine months ended September 30, 2020, respectively, and approximately 751,000 and 841,000 for the three and nine months ended September 30, 2019, respectively.</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issued Convertible Senior Notes ("Convertible Notes") due March 2049 on March 18, 2019. The Company's Convertible Notes currently have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were included in the calculation of diluted earnings (loss)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 market price per share per share of common stock was $91.10 on September 30, 2020 and $146.30 on September 30, 2019,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for the three and nine months ended September 30, 2020 and 2019. See Note 8, Debt Obligations, to the consolidated financial statements for more information about the Convertible Notes.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had authorized a stock repurchase program allowing Euronet to repurchase up to $375 million in value</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or 10.0 million shares of stock through March 31, 2020. On March 11, 2019, in connection with the issuance of the Convertible Notes, the Board of Directors authorized an additional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three months ended September 30, 2020, there were no repurchases of stock under the repurchase programs and for the nine months ended September 30, 2020, the Company repurchased $239.8 million in value of Euronet common stock under the repurchase programs. Repurchases under either current program may take place in the open market or in privately negotiated transactions, including derivative transactions, and may be made under a Rule 10b5-1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a foreign currency translation gain of $47.0 million and $19.4 million for the three and nine months ended September 30, 2020, respectively, and a loss of $56.9 million</w:t>
      </w:r>
    </w:p>
    <w:p>
      <w:pPr>
        <w:ind w:right="320"/>
        <w:spacing w:after="0" w:line="260" w:lineRule="auto"/>
        <w:rPr>
          <w:sz w:val="20"/>
          <w:szCs w:val="20"/>
          <w:color w:val="auto"/>
        </w:rPr>
      </w:pPr>
      <w:r>
        <w:rPr>
          <w:rFonts w:ascii="Arial" w:cs="Arial" w:eastAsia="Arial" w:hAnsi="Arial"/>
          <w:sz w:val="18"/>
          <w:szCs w:val="18"/>
          <w:color w:val="auto"/>
        </w:rPr>
        <w:t>and $60.9 million for the three and nine months ended September 30, 2019, respectively. There were no reclassifications of foreign currency translation into the consolidated statements of income for the three and nine months ended September 30, 2020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2020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Acquired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2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0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141,847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743,823</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885,670</w:t>
            </w:r>
          </w:p>
        </w:tc>
        <w:tc>
          <w:tcPr>
            <w:tcW w:w="0" w:type="dxa"/>
            <w:vAlign w:val="bottom"/>
          </w:tcPr>
          <w:p>
            <w:pPr>
              <w:spacing w:after="0"/>
              <w:rPr>
                <w:sz w:val="1"/>
                <w:szCs w:val="1"/>
                <w:color w:val="auto"/>
              </w:rPr>
            </w:pPr>
          </w:p>
        </w:tc>
      </w:tr>
      <w:tr>
        <w:trPr>
          <w:trHeight w:val="216"/>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728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(17,020)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123,577</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641,886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765,463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total goodwill balance of $641.9 million as of September 30, 2020, $388.5 million relates to the Money Transfer Segment, $131.9 million relates to the epay Segment and the remaining $121.5 million relates to the EFT Processing Segment. Estimated amortization expense on intangible assets with finite lives as of September 30, 2020, is expected to total $5.6 million for the remainder of 2020, $22.0 million for 2021, $20.9 million for 2022, $16.1 million for 2023, $9.6 million for 2024 and $6.5 million for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Impairment Charges</w:t>
      </w:r>
    </w:p>
    <w:p>
      <w:pPr>
        <w:spacing w:after="0" w:line="18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COVID-19 pandemic and subsequent mitigation efforts, which include global business shutdowns, the closing of borders and the implementation of mandatory social distancing requirements, has created an unprecedented disruption to our business that began in March 2020. These mitigation efforts coupled with the negative economic impacts to the tourism industry caused a decline in revenues and changes to our forecasts. The Company tests for goodwill impairment on an annual basis in the fourth quarter each year and whenever events or circumstances dictate an interim impairment test is required. The Company determined the totality of these events constituted a triggering event that required us to perform an interim goodwill impairment assessment as of June 1, 2020. The Company concluded a triggering event had occurred for six reporting units, resulting in quantitative impairment tests. Three reporting units are within the EFT segment, two reporting units are within the Money Transfer segment, and one reporting unit is within the epay segment.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actual and projected EBITDA, selected market multiple, and the estimated control premium. If the carrying value of the reporting unit exceeds its fair value, a goodwill impairment loss equal to such excess would be recognized. The DCF Model and Market Approach Model utilize Level 3 inputs in the fair value hierarchy as they include unobservable inputs that require significant management assumptions.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completed an interim goodwill impairment test during the second quarter of 2020. It determined, after performing a quantitative review of six reporting units, that the fair value of three of the reporting units exceeded the respective carrying amounts. For the remaining three reporting units, the quantitative test indicated that the fair value of each of the reporting units was less than the respective carrying amounts. As a result, the Company recorded a non-cash goodwill impairment charge of $104.6 million with respect to the xe, Innova and Pure Commerce reporting units. $21.9 million of the impairment charge was included within the EFT Segment, and $82.7 million of the impairment charge was included in the Money Transfer Segment. We have and will continue to evaluate our goodwill and long-lived assets for potential triggering events as conditions warrant.</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2019 annual impairment test and 2020 interim impairment test could change, which may result in the Company recording material non-cash impairment charges during the year in which these changes take place. As additional information regarding the impact of the COVID-19 pandemic on the Company's business, including intangible assets, becomes available, the impacts to cash flows and the related impact on recovery of intangible assets will be evaluated.</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third quarter of 2020, the Company recorded a $1.5 million non-cash impairment charge for acquired intangible assets, specifically related to customer lists in the xe reporting unit.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4"/>
                <w:szCs w:val="14"/>
                <w:color w:val="auto"/>
              </w:rPr>
            </w:pPr>
          </w:p>
        </w:tc>
      </w:tr>
      <w:tr>
        <w:trPr>
          <w:trHeight w:val="210"/>
        </w:trPr>
        <w:tc>
          <w:tcPr>
            <w:tcW w:w="864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September 30, 2020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r>
      <w:tr>
        <w:trPr>
          <w:trHeight w:val="209"/>
        </w:trPr>
        <w:tc>
          <w:tcPr>
            <w:tcW w:w="8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264,575</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246,699</w:t>
            </w:r>
          </w:p>
        </w:tc>
      </w:tr>
      <w:tr>
        <w:trPr>
          <w:trHeight w:val="216"/>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41,563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41,935</w:t>
            </w:r>
          </w:p>
        </w:tc>
      </w:tr>
      <w:tr>
        <w:trPr>
          <w:trHeight w:val="216"/>
        </w:trPr>
        <w:tc>
          <w:tcPr>
            <w:tcW w:w="8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16"/>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86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294,557</w:t>
            </w:r>
          </w:p>
        </w:tc>
      </w:tr>
      <w:tr>
        <w:trPr>
          <w:trHeight w:val="20"/>
        </w:trPr>
        <w:tc>
          <w:tcPr>
            <w:tcW w:w="8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UNEARNED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decrease in the deferred revenue balance for the nine months ended September 30, 2020 is primarily driven by $31.5 million of cash payments received in the current year for which the Company has not yet satisfied the performance obligations, offset by $34.3 million of revenues recognized that were included in the deferred revenue balance as of December 31,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2020</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8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436,965</w:t>
            </w: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6"/>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1.375% Senior Notes, due 2026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703,200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673,440</w:t>
            </w: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6"/>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6,215</w:t>
            </w: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1,152,486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1,116,620</w:t>
            </w:r>
          </w:p>
        </w:tc>
      </w:tr>
      <w:tr>
        <w:trPr>
          <w:trHeight w:val="21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w:t>
            </w:r>
          </w:p>
        </w:tc>
      </w:tr>
      <w:tr>
        <w:trPr>
          <w:trHeight w:val="210"/>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Carrying value of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1,133,510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1,097,028</w:t>
            </w:r>
          </w:p>
        </w:tc>
      </w:tr>
      <w:tr>
        <w:trPr>
          <w:trHeight w:val="216"/>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r>
      <w:tr>
        <w:trPr>
          <w:trHeight w:val="209"/>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1,132,626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1,090,939</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 Facility") for $1.0 billion that expires</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unsecured revolving credit agreement allows for borrowings in Australian dollars, British pounds sterling, Canadian dollars, Czech koruna, Danish krone, euro, Hungarian forints, Japanese yen, New Zealand dollars, Norwegian krone, Polish zlotys, Swedish krona, Swiss francs, and U.S. dollars. The revolving credit facility contains</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$200 million sublimit for the issuance of letters of credit, a $50 million sublimit for U.S. dollar swingline loans, and a $90 million sublimit for certain foreign currencies swingline loans. The unsecured revolving credit agreement contains customary affirmative and negative covenants, events of default and financial covenants. The Company was in compliance with all debt covenants, as of September 30,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28, 2019, the Company redeemed all of the remaining principal amount outstanding of the Company's 1.5% Convertible Senior Notes due 2044 (the "Retired Convertible Notes") for cash at a redemption price equal to 100% of the principal amount of the Retired Convertible Notes redeemed plus accrued and unpaid interest, if any, to, but excluding, May 28, 2020.</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color w:val="auto"/>
        </w:rPr>
        <w:t>Contractual interest expense for the Convertible Notes was $1.0 million and $3.0 million for the three and nine months ended September 30, 2020, respectively and $1.0 million and $2.1 million for the three and nine months ended September 30, 2019, respectively. Accretion expense for the Convertible Notes was $3.8 million and $11.4 million for the three and nine months ended September 30, 2020, respectively</w:t>
      </w:r>
    </w:p>
    <w:p>
      <w:pPr>
        <w:ind w:right="480"/>
        <w:spacing w:after="0" w:line="281" w:lineRule="auto"/>
        <w:rPr>
          <w:sz w:val="20"/>
          <w:szCs w:val="20"/>
          <w:color w:val="auto"/>
        </w:rPr>
      </w:pPr>
      <w:r>
        <w:rPr>
          <w:rFonts w:ascii="Arial" w:cs="Arial" w:eastAsia="Arial" w:hAnsi="Arial"/>
          <w:sz w:val="16"/>
          <w:szCs w:val="16"/>
          <w:color w:val="auto"/>
        </w:rPr>
        <w:t>and $3.7 million and $7.9 million for the three and nine months ended September 30, 2019, respectively. Contractual interest expense for the Retired Convertible Notes was $1.5 million for the nine months ended September 30, 2019. Accretion expense for the Retired Convertible Notes</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was $4.6 million for the nine months ended September 30, 2019. The effective interest rate was 4.4% for the three and nine months ended September 30, 2020. As of September 30, 2020, the unamortized discount was $76.7 million and will be amortized through March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 Senior Notes due 2026</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September 30, 2020, the Company has outstanding €600 million ($703.2 million) principal amount of the Senior Notes. In addition, the Company may redeem some or all of these notes on or after February 22, 2026 at their principal amount plus any accrued and unpaid interest.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September 30, 2020 and December 31, 2019, borrowings under these arrangements were $0.9 million and $6.2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Uncommitted Line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4, 2019, the Company entered into an Uncommitted Loan Agreement with Bank of America which provided Euronet up</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ACTIVITIES</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September 30, 2020, the Company had foreign currency forward contracts outstanding in the U.S. with a notional value of $180 million. The foreign currency forward contracts consist primarily in Australian dollars, Canadian dollars, British pounds sterling, euro and Mexican pesos.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As of September 30, 2020, the Company had foreign currency forward contracts outstanding with a notional value of $213 million, primarily in euro.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$14.4 million and $45.7 million for the three and nine months ended September 30, 2020, respectively, and $17.5 million and $52.2 million for the three and nine months ended September 30, 2019,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September 30, 2020 was approximately $1.3 billion. The significant majority of customer contracts are written in major currencies such as the euro,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British pounds sterling, Australian dollar and New Zealand dollar.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0"/>
              </w:rPr>
              <w:t>Asset Derivatives</w:t>
            </w: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4"/>
                <w:szCs w:val="14"/>
                <w:b w:val="1"/>
                <w:bCs w:val="1"/>
                <w:color w:val="auto"/>
              </w:rPr>
              <w:t>Liability Derivatives</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3"/>
              </w:rPr>
              <w:t>September 30, 2020</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31, 2019</w:t>
            </w:r>
          </w:p>
        </w:tc>
        <w:tc>
          <w:tcPr>
            <w:tcW w:w="1180" w:type="dxa"/>
            <w:vAlign w:val="bottom"/>
            <w:vMerge w:val="continue"/>
          </w:tcPr>
          <w:p>
            <w:pPr>
              <w:spacing w:after="0"/>
              <w:rPr>
                <w:sz w:val="9"/>
                <w:szCs w:val="9"/>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September 30, 2020</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71"/>
        </w:trPr>
        <w:tc>
          <w:tcPr>
            <w:tcW w:w="3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Location</w:t>
            </w:r>
          </w:p>
        </w:tc>
        <w:tc>
          <w:tcPr>
            <w:tcW w:w="132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320" w:type="dxa"/>
            <w:vAlign w:val="bottom"/>
            <w:gridSpan w:val="3"/>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 hedging</w:t>
            </w:r>
          </w:p>
        </w:tc>
        <w:tc>
          <w:tcPr>
            <w:tcW w:w="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86"/>
              </w:rPr>
              <w:t>Prepaid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0"/>
              </w:rPr>
              <w:t>Accrued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expenses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expenses and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other current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other current</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2"/>
          </w:tcPr>
          <w:p>
            <w:pPr>
              <w:jc w:val="center"/>
              <w:ind w:right="40"/>
              <w:spacing w:after="0"/>
              <w:rPr>
                <w:sz w:val="20"/>
                <w:szCs w:val="20"/>
                <w:color w:val="auto"/>
              </w:rPr>
            </w:pPr>
            <w:r>
              <w:rPr>
                <w:rFonts w:ascii="Arial" w:cs="Arial" w:eastAsia="Arial" w:hAnsi="Arial"/>
                <w:sz w:val="18"/>
                <w:szCs w:val="18"/>
                <w:color w:val="auto"/>
                <w:w w:val="80"/>
              </w:rPr>
              <w:t>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49,574</w:t>
            </w:r>
          </w:p>
        </w:tc>
        <w:tc>
          <w:tcPr>
            <w:tcW w:w="60" w:type="dxa"/>
            <w:vAlign w:val="bottom"/>
          </w:tcPr>
          <w:p>
            <w:pPr>
              <w:spacing w:after="0"/>
              <w:rPr>
                <w:sz w:val="20"/>
                <w:szCs w:val="20"/>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54,765</w:t>
            </w:r>
          </w:p>
        </w:tc>
        <w:tc>
          <w:tcPr>
            <w:tcW w:w="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360" w:type="dxa"/>
            <w:vAlign w:val="bottom"/>
          </w:tcPr>
          <w:p>
            <w:pPr>
              <w:jc w:val="right"/>
              <w:ind w:right="208"/>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(41,563)</w:t>
            </w:r>
          </w:p>
        </w:tc>
        <w:tc>
          <w:tcPr>
            <w:tcW w:w="60" w:type="dxa"/>
            <w:vAlign w:val="bottom"/>
          </w:tcPr>
          <w:p>
            <w:pPr>
              <w:spacing w:after="0"/>
              <w:rPr>
                <w:sz w:val="20"/>
                <w:szCs w:val="20"/>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2020 and December 31, 2019 (in thousands):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Net Amounts</w:t>
            </w:r>
          </w:p>
        </w:tc>
        <w:tc>
          <w:tcPr>
            <w:tcW w:w="18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September 30, 2020</w:t>
            </w: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Recognized Assets</w:t>
            </w: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Received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324"/>
        </w:trPr>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Net Amounts</w:t>
            </w:r>
          </w:p>
        </w:tc>
        <w:tc>
          <w:tcPr>
            <w:tcW w:w="16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080" w:type="dxa"/>
            <w:vAlign w:val="bottom"/>
          </w:tcPr>
          <w:p>
            <w:pPr>
              <w:jc w:val="right"/>
              <w:ind w:right="162"/>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48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00" w:lineRule="exact"/>
        <w:rPr>
          <w:sz w:val="20"/>
          <w:szCs w:val="20"/>
          <w:color w:val="auto"/>
        </w:rPr>
      </w:pPr>
    </w:p>
    <w:p>
      <w:pPr>
        <w:spacing w:after="0" w:line="2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and nine months ended September 30, 2020 and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gridSpan w:val="10"/>
          </w:tcPr>
          <w:p>
            <w:pPr>
              <w:jc w:val="right"/>
              <w:ind w:right="479"/>
              <w:spacing w:after="0"/>
              <w:rPr>
                <w:sz w:val="20"/>
                <w:szCs w:val="20"/>
                <w:color w:val="auto"/>
              </w:rPr>
            </w:pPr>
            <w:r>
              <w:rPr>
                <w:rFonts w:ascii="Arial" w:cs="Arial" w:eastAsia="Arial" w:hAnsi="Arial"/>
                <w:sz w:val="14"/>
                <w:szCs w:val="14"/>
                <w:b w:val="1"/>
                <w:bCs w:val="1"/>
                <w:color w:val="auto"/>
                <w:w w:val="98"/>
              </w:rPr>
              <w:t>Amount of Gain Recognized in Income on Derivative Contracts (a)</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0"/>
                <w:szCs w:val="10"/>
                <w:color w:val="auto"/>
              </w:rPr>
            </w:pPr>
          </w:p>
        </w:tc>
        <w:tc>
          <w:tcPr>
            <w:tcW w:w="2280" w:type="dxa"/>
            <w:vAlign w:val="bottom"/>
            <w:gridSpan w:val="4"/>
          </w:tcPr>
          <w:p>
            <w:pPr>
              <w:jc w:val="center"/>
              <w:ind w:right="219"/>
              <w:spacing w:after="0" w:line="119"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Location of Gain Recognized in Income on</w:t>
            </w: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3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line="20" w:lineRule="exact"/>
              <w:rPr>
                <w:sz w:val="1"/>
                <w:szCs w:val="1"/>
                <w:color w:val="auto"/>
              </w:rPr>
            </w:pPr>
          </w:p>
        </w:tc>
      </w:tr>
      <w:tr>
        <w:trPr>
          <w:trHeight w:val="171"/>
        </w:trPr>
        <w:tc>
          <w:tcPr>
            <w:tcW w:w="31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2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Derivative Contracts</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0"/>
              </w:rPr>
              <w:t>Foreign currency exchange contracts - Ria</w:t>
            </w:r>
          </w:p>
        </w:tc>
        <w:tc>
          <w:tcPr>
            <w:tcW w:w="8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Foreign currency exchange (loss)</w:t>
            </w: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gain,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(4,060)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(4,283)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bl>
    <w:p>
      <w:pPr>
        <w:ind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-70485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left="580" w:right="420"/>
        <w:spacing w:after="0" w:line="277"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-241935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50" w:lineRule="exact"/>
        <w:rPr>
          <w:sz w:val="20"/>
          <w:szCs w:val="20"/>
          <w:color w:val="auto"/>
        </w:rPr>
      </w:pPr>
    </w:p>
    <w:p>
      <w:pPr>
        <w:ind w:left="580" w:right="280"/>
        <w:spacing w:after="0" w:line="27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-241935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As of September 30, 2020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Balance Sheet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1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Classification</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current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current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liabilities</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(41,563)</w:t>
            </w:r>
          </w:p>
        </w:tc>
        <w:tc>
          <w:tcPr>
            <w:tcW w:w="0" w:type="dxa"/>
            <w:vAlign w:val="bottom"/>
          </w:tcPr>
          <w:p>
            <w:pPr>
              <w:spacing w:after="0"/>
              <w:rPr>
                <w:sz w:val="1"/>
                <w:szCs w:val="1"/>
                <w:color w:val="auto"/>
              </w:rPr>
            </w:pPr>
          </w:p>
        </w:tc>
      </w:tr>
      <w:tr>
        <w:trPr>
          <w:trHeight w:val="61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As of December 31, 2019</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30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10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95"/>
              <w:spacing w:after="0"/>
              <w:rPr>
                <w:sz w:val="20"/>
                <w:szCs w:val="20"/>
                <w:color w:val="auto"/>
              </w:rPr>
            </w:pPr>
            <w:r>
              <w:rPr>
                <w:rFonts w:ascii="Arial" w:cs="Arial" w:eastAsia="Arial" w:hAnsi="Arial"/>
                <w:sz w:val="14"/>
                <w:szCs w:val="14"/>
                <w:b w:val="1"/>
                <w:bCs w:val="1"/>
                <w:color w:val="auto"/>
                <w:w w:val="92"/>
              </w:rPr>
              <w:t>Classification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0"/>
              </w:rPr>
              <w:t>Other current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0"/>
              </w:rPr>
              <w:t>assets</w:t>
            </w:r>
          </w:p>
        </w:tc>
        <w:tc>
          <w:tcPr>
            <w:tcW w:w="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54,765</w:t>
            </w:r>
          </w:p>
        </w:tc>
        <w:tc>
          <w:tcPr>
            <w:tcW w:w="0" w:type="dxa"/>
            <w:vAlign w:val="bottom"/>
          </w:tcPr>
          <w:p>
            <w:pPr>
              <w:spacing w:after="0"/>
              <w:rPr>
                <w:sz w:val="1"/>
                <w:szCs w:val="1"/>
                <w:color w:val="auto"/>
              </w:rPr>
            </w:pP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0"/>
              </w:rPr>
              <w:t>Other current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liabilities</w:t>
            </w: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using quoted prices in inactive markets for identical liabilities (Level 2). </w:t>
      </w:r>
      <w:r>
        <w:rPr>
          <w:rFonts w:ascii="Arial" w:cs="Arial" w:eastAsia="Arial" w:hAnsi="Arial"/>
          <w:sz w:val="17"/>
          <w:szCs w:val="17"/>
          <w:color w:val="252525"/>
        </w:rPr>
        <w:t>As of September 30, 2020,</w:t>
      </w:r>
      <w:r>
        <w:rPr>
          <w:rFonts w:ascii="Arial" w:cs="Arial" w:eastAsia="Arial" w:hAnsi="Arial"/>
          <w:sz w:val="17"/>
          <w:szCs w:val="17"/>
          <w:color w:val="auto"/>
        </w:rPr>
        <w:t xml:space="preserve"> the fair values of the Convertible Notes and Senior Notes were $642.6 million and $687.8 million, respectively, with carrying values of $448.3 million and $703.2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224" w:lineRule="exact"/>
        <w:rPr>
          <w:sz w:val="20"/>
          <w:szCs w:val="20"/>
          <w:color w:val="auto"/>
        </w:rPr>
      </w:pPr>
    </w:p>
    <w:p>
      <w:pPr>
        <w:ind w:left="1040" w:right="200" w:hanging="681"/>
        <w:spacing w:after="0" w:line="296"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and the United States.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34" w:lineRule="exact"/>
        <w:rPr>
          <w:rFonts w:ascii="Arial" w:cs="Arial" w:eastAsia="Arial" w:hAnsi="Arial"/>
          <w:sz w:val="16"/>
          <w:szCs w:val="16"/>
          <w:color w:val="auto"/>
        </w:rPr>
      </w:pPr>
    </w:p>
    <w:p>
      <w:pPr>
        <w:ind w:left="1040" w:right="460" w:hanging="681"/>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251" w:lineRule="exact"/>
        <w:rPr>
          <w:rFonts w:ascii="Arial" w:cs="Arial" w:eastAsia="Arial" w:hAnsi="Arial"/>
          <w:sz w:val="18"/>
          <w:szCs w:val="18"/>
          <w:color w:val="auto"/>
        </w:rPr>
      </w:pPr>
    </w:p>
    <w:p>
      <w:pPr>
        <w:ind w:left="1040" w:right="180" w:hanging="681"/>
        <w:spacing w:after="0" w:line="27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AFEX Money Express, IME, and xe. Ria, AFEX Money Express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For the Three Months Ended September 30, 2020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Transfer</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144,062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323,092</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664,351</w:t>
            </w:r>
          </w:p>
        </w:tc>
        <w:tc>
          <w:tcPr>
            <w:tcW w:w="0" w:type="dxa"/>
            <w:vAlign w:val="bottom"/>
          </w:tcPr>
          <w:p>
            <w:pPr>
              <w:spacing w:after="0"/>
              <w:rPr>
                <w:sz w:val="1"/>
                <w:szCs w:val="1"/>
                <w:color w:val="auto"/>
              </w:rPr>
            </w:pPr>
          </w:p>
        </w:tc>
      </w:tr>
      <w:tr>
        <w:trPr>
          <w:trHeight w:val="237"/>
        </w:trPr>
        <w:tc>
          <w:tcPr>
            <w:tcW w:w="452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407,598</w:t>
            </w:r>
          </w:p>
        </w:tc>
        <w:tc>
          <w:tcPr>
            <w:tcW w:w="0" w:type="dxa"/>
            <w:vAlign w:val="bottom"/>
          </w:tcPr>
          <w:p>
            <w:pPr>
              <w:spacing w:after="0"/>
              <w:rPr>
                <w:sz w:val="1"/>
                <w:szCs w:val="1"/>
                <w:color w:val="auto"/>
              </w:rPr>
            </w:pPr>
          </w:p>
        </w:tc>
      </w:tr>
      <w:tr>
        <w:trPr>
          <w:trHeight w:val="243"/>
        </w:trPr>
        <w:tc>
          <w:tcPr>
            <w:tcW w:w="452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101,577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55,225</w:t>
            </w:r>
          </w:p>
        </w:tc>
        <w:tc>
          <w:tcPr>
            <w:tcW w:w="0" w:type="dxa"/>
            <w:vAlign w:val="bottom"/>
          </w:tcPr>
          <w:p>
            <w:pPr>
              <w:spacing w:after="0"/>
              <w:rPr>
                <w:sz w:val="1"/>
                <w:szCs w:val="1"/>
                <w:color w:val="auto"/>
              </w:rPr>
            </w:pPr>
          </w:p>
        </w:tc>
      </w:tr>
      <w:tr>
        <w:trPr>
          <w:trHeight w:val="243"/>
        </w:trPr>
        <w:tc>
          <w:tcPr>
            <w:tcW w:w="4520" w:type="dxa"/>
            <w:vAlign w:val="bottom"/>
            <w:gridSpan w:val="4"/>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32,412</w:t>
            </w:r>
          </w:p>
        </w:tc>
        <w:tc>
          <w:tcPr>
            <w:tcW w:w="0" w:type="dxa"/>
            <w:vAlign w:val="bottom"/>
          </w:tcPr>
          <w:p>
            <w:pPr>
              <w:spacing w:after="0"/>
              <w:rPr>
                <w:sz w:val="1"/>
                <w:szCs w:val="1"/>
                <w:color w:val="auto"/>
              </w:rPr>
            </w:pPr>
          </w:p>
        </w:tc>
      </w:tr>
      <w:tr>
        <w:trPr>
          <w:trHeight w:val="237"/>
        </w:trPr>
        <w:tc>
          <w:tcPr>
            <w:tcW w:w="4520" w:type="dxa"/>
            <w:vAlign w:val="bottom"/>
            <w:gridSpan w:val="4"/>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137,901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176,690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275,466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598,279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47,626</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rPr>
              <w:t>For the Three Months Ended September 30, 2019</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Services,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0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Transfer</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280,837</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786,986</w:t>
            </w:r>
          </w:p>
        </w:tc>
        <w:tc>
          <w:tcPr>
            <w:tcW w:w="0" w:type="dxa"/>
            <w:vAlign w:val="bottom"/>
          </w:tcPr>
          <w:p>
            <w:pPr>
              <w:spacing w:after="0"/>
              <w:rPr>
                <w:sz w:val="1"/>
                <w:szCs w:val="1"/>
                <w:color w:val="auto"/>
              </w:rPr>
            </w:pPr>
          </w:p>
        </w:tc>
      </w:tr>
      <w:tr>
        <w:trPr>
          <w:trHeight w:val="23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405,081</w:t>
            </w:r>
          </w:p>
        </w:tc>
        <w:tc>
          <w:tcPr>
            <w:tcW w:w="0" w:type="dxa"/>
            <w:vAlign w:val="bottom"/>
          </w:tcPr>
          <w:p>
            <w:pPr>
              <w:spacing w:after="0"/>
              <w:rPr>
                <w:sz w:val="1"/>
                <w:szCs w:val="1"/>
                <w:color w:val="auto"/>
              </w:rPr>
            </w:pPr>
          </w:p>
        </w:tc>
      </w:tr>
      <w:tr>
        <w:trPr>
          <w:trHeight w:val="243"/>
        </w:trPr>
        <w:tc>
          <w:tcPr>
            <w:tcW w:w="452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101,354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0" w:type="dxa"/>
            <w:vAlign w:val="bottom"/>
          </w:tcPr>
          <w:p>
            <w:pPr>
              <w:spacing w:after="0"/>
              <w:rPr>
                <w:sz w:val="1"/>
                <w:szCs w:val="1"/>
                <w:color w:val="auto"/>
              </w:rPr>
            </w:pPr>
          </w:p>
        </w:tc>
      </w:tr>
      <w:tr>
        <w:trPr>
          <w:trHeight w:val="243"/>
        </w:trPr>
        <w:tc>
          <w:tcPr>
            <w:tcW w:w="452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27,846</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245,189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592,996</w:t>
            </w:r>
          </w:p>
        </w:tc>
        <w:tc>
          <w:tcPr>
            <w:tcW w:w="0" w:type="dxa"/>
            <w:vAlign w:val="bottom"/>
          </w:tcPr>
          <w:p>
            <w:pPr>
              <w:spacing w:after="0"/>
              <w:rPr>
                <w:sz w:val="1"/>
                <w:szCs w:val="1"/>
                <w:color w:val="auto"/>
              </w:rPr>
            </w:pPr>
          </w:p>
        </w:tc>
      </w:tr>
      <w:tr>
        <w:trPr>
          <w:trHeight w:val="257"/>
        </w:trPr>
        <w:tc>
          <w:tcPr>
            <w:tcW w:w="4500" w:type="dxa"/>
            <w:vAlign w:val="bottom"/>
            <w:gridSpan w:val="3"/>
          </w:tcPr>
          <w:p>
            <w:pPr>
              <w:ind w:left="600"/>
              <w:spacing w:after="0"/>
              <w:rPr>
                <w:sz w:val="20"/>
                <w:szCs w:val="20"/>
                <w:color w:val="auto"/>
              </w:rPr>
            </w:pPr>
            <w:r>
              <w:rPr>
                <w:rFonts w:ascii="Arial" w:cs="Arial" w:eastAsia="Arial" w:hAnsi="Arial"/>
                <w:sz w:val="18"/>
                <w:szCs w:val="18"/>
                <w:color w:val="auto"/>
              </w:rPr>
              <w:t>Operating income (expense)</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For the Nine Months Ended September 30,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Corporate Services,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EFT Processing</w:t>
            </w:r>
          </w:p>
        </w:tc>
        <w:tc>
          <w:tcPr>
            <w:tcW w:w="120" w:type="dxa"/>
            <w:vAlign w:val="bottom"/>
            <w:gridSpan w:val="2"/>
            <w:vMerge w:val="restart"/>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epay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Money Transfer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Eliminations and</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559,413</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852,189</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1,776,061</w:t>
            </w:r>
          </w:p>
        </w:tc>
        <w:tc>
          <w:tcPr>
            <w:tcW w:w="0" w:type="dxa"/>
            <w:vAlign w:val="bottom"/>
          </w:tcPr>
          <w:p>
            <w:pPr>
              <w:spacing w:after="0"/>
              <w:rPr>
                <w:sz w:val="1"/>
                <w:szCs w:val="1"/>
                <w:color w:val="auto"/>
              </w:rPr>
            </w:pPr>
          </w:p>
        </w:tc>
      </w:tr>
      <w:tr>
        <w:trPr>
          <w:trHeight w:val="237"/>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1,117,065</w:t>
            </w:r>
          </w:p>
        </w:tc>
        <w:tc>
          <w:tcPr>
            <w:tcW w:w="0" w:type="dxa"/>
            <w:vAlign w:val="bottom"/>
          </w:tcPr>
          <w:p>
            <w:pPr>
              <w:spacing w:after="0"/>
              <w:rPr>
                <w:sz w:val="1"/>
                <w:szCs w:val="1"/>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293,769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169,333</w:t>
            </w:r>
          </w:p>
        </w:tc>
        <w:tc>
          <w:tcPr>
            <w:tcW w:w="0" w:type="dxa"/>
            <w:vAlign w:val="bottom"/>
          </w:tcPr>
          <w:p>
            <w:pPr>
              <w:spacing w:after="0"/>
              <w:rPr>
                <w:sz w:val="1"/>
                <w:szCs w:val="1"/>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106,021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93,470</w:t>
            </w:r>
          </w:p>
        </w:tc>
        <w:tc>
          <w:tcPr>
            <w:tcW w:w="0" w:type="dxa"/>
            <w:vAlign w:val="bottom"/>
          </w:tcPr>
          <w:p>
            <w:pPr>
              <w:spacing w:after="0"/>
              <w:rPr>
                <w:sz w:val="1"/>
                <w:szCs w:val="1"/>
                <w:color w:val="auto"/>
              </w:rPr>
            </w:pPr>
          </w:p>
        </w:tc>
      </w:tr>
      <w:tr>
        <w:trPr>
          <w:trHeight w:val="237"/>
        </w:trPr>
        <w:tc>
          <w:tcPr>
            <w:tcW w:w="432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413,855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502,676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837,482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1,779,658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56,737</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b w:val="1"/>
                <w:bCs w:val="1"/>
                <w:color w:val="auto"/>
              </w:rPr>
              <w:t>For the Nine Months Ended September 30, 2019</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2"/>
              </w:rPr>
              <w:t>Corporate Services,</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0"/>
              </w:rPr>
              <w:t>EFT Processing</w:t>
            </w:r>
          </w:p>
        </w:tc>
        <w:tc>
          <w:tcPr>
            <w:tcW w:w="10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Money Transfer</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Eliminations and</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693,837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551,345</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814,201</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2,056,362</w:t>
            </w:r>
          </w:p>
        </w:tc>
        <w:tc>
          <w:tcPr>
            <w:tcW w:w="0" w:type="dxa"/>
            <w:vAlign w:val="bottom"/>
          </w:tcPr>
          <w:p>
            <w:pPr>
              <w:spacing w:after="0"/>
              <w:rPr>
                <w:sz w:val="1"/>
                <w:szCs w:val="1"/>
                <w:color w:val="auto"/>
              </w:rPr>
            </w:pPr>
          </w:p>
        </w:tc>
      </w:tr>
      <w:tr>
        <w:trPr>
          <w:trHeight w:val="237"/>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1,152,725</w:t>
            </w:r>
          </w:p>
        </w:tc>
        <w:tc>
          <w:tcPr>
            <w:tcW w:w="0" w:type="dxa"/>
            <w:vAlign w:val="bottom"/>
          </w:tcPr>
          <w:p>
            <w:pPr>
              <w:spacing w:after="0"/>
              <w:rPr>
                <w:sz w:val="1"/>
                <w:szCs w:val="1"/>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292,699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160,704</w:t>
            </w:r>
          </w:p>
        </w:tc>
        <w:tc>
          <w:tcPr>
            <w:tcW w:w="0" w:type="dxa"/>
            <w:vAlign w:val="bottom"/>
          </w:tcPr>
          <w:p>
            <w:pPr>
              <w:spacing w:after="0"/>
              <w:rPr>
                <w:sz w:val="1"/>
                <w:szCs w:val="1"/>
                <w:color w:val="auto"/>
              </w:rPr>
            </w:pPr>
          </w:p>
        </w:tc>
      </w:tr>
      <w:tr>
        <w:trPr>
          <w:trHeight w:val="243"/>
        </w:trPr>
        <w:tc>
          <w:tcPr>
            <w:tcW w:w="43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82,253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449,652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495,728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712,433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1,688,381</w:t>
            </w:r>
          </w:p>
        </w:tc>
        <w:tc>
          <w:tcPr>
            <w:tcW w:w="0" w:type="dxa"/>
            <w:vAlign w:val="bottom"/>
          </w:tcPr>
          <w:p>
            <w:pPr>
              <w:spacing w:after="0"/>
              <w:rPr>
                <w:sz w:val="1"/>
                <w:szCs w:val="1"/>
                <w:color w:val="auto"/>
              </w:rPr>
            </w:pPr>
          </w:p>
        </w:tc>
      </w:tr>
      <w:tr>
        <w:trPr>
          <w:trHeight w:val="257"/>
        </w:trPr>
        <w:tc>
          <w:tcPr>
            <w:tcW w:w="432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101,768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367,981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total assets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 as of</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4180" w:type="dxa"/>
            <w:vAlign w:val="bottom"/>
          </w:tcPr>
          <w:p>
            <w:pPr>
              <w:spacing w:after="0"/>
              <w:rPr>
                <w:sz w:val="21"/>
                <w:szCs w:val="21"/>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2020</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50"/>
        </w:trPr>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4500" w:type="dxa"/>
            <w:vAlign w:val="bottom"/>
            <w:tcBorders>
              <w:top w:val="single" w:sz="8" w:color="auto"/>
              <w:bottom w:val="single" w:sz="8" w:color="CCEEFF"/>
            </w:tcBorders>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1,914,144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4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812,444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962,671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1,480,624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1,560,136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4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298,903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220,715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50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4,095,356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4,657,666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Arial" w:cs="Arial" w:eastAsia="Arial" w:hAnsi="Arial"/>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3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rPr>
              <w:t>For the Three Months Ended September 30, 2020</w:t>
            </w: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2"/>
          </w:tcPr>
          <w:p>
            <w:pPr>
              <w:jc w:val="right"/>
              <w:ind w:right="533"/>
              <w:spacing w:after="0"/>
              <w:rPr>
                <w:sz w:val="20"/>
                <w:szCs w:val="20"/>
                <w:color w:val="auto"/>
              </w:rPr>
            </w:pPr>
            <w:r>
              <w:rPr>
                <w:rFonts w:ascii="Arial" w:cs="Arial" w:eastAsia="Arial" w:hAnsi="Arial"/>
                <w:sz w:val="14"/>
                <w:szCs w:val="14"/>
                <w:b w:val="1"/>
                <w:bCs w:val="1"/>
                <w:color w:val="auto"/>
              </w:rPr>
              <w:t>For the Nine Months Ended September 30, 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EFT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6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rPr>
              <w:t>EFT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Money</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Processing</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Transfer</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Transfer</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107,182</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131,330</w:t>
            </w:r>
          </w:p>
        </w:tc>
        <w:tc>
          <w:tcPr>
            <w:tcW w:w="40" w:type="dxa"/>
            <w:vAlign w:val="bottom"/>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127,399</w:t>
            </w:r>
          </w:p>
        </w:tc>
        <w:tc>
          <w:tcPr>
            <w:tcW w:w="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365,911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317,187</w:t>
            </w:r>
          </w:p>
        </w:tc>
        <w:tc>
          <w:tcPr>
            <w:tcW w:w="2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936,871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152,195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199,158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42,461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102,603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422,980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568,044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74,327</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69,916</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91,116</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17,747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18,793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20,906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39,703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144,062</w:t>
            </w: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198,939</w:t>
            </w:r>
          </w:p>
        </w:tc>
        <w:tc>
          <w:tcPr>
            <w:tcW w:w="4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323,092</w:t>
            </w:r>
          </w:p>
        </w:tc>
        <w:tc>
          <w:tcPr>
            <w:tcW w:w="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664,351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368,375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559,413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852,189</w:t>
            </w:r>
          </w:p>
        </w:tc>
        <w:tc>
          <w:tcPr>
            <w:tcW w:w="2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1,776,061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15"/>
          </w:tcPr>
          <w:p>
            <w:pPr>
              <w:jc w:val="right"/>
              <w:spacing w:after="0"/>
              <w:rPr>
                <w:sz w:val="20"/>
                <w:szCs w:val="20"/>
                <w:color w:val="auto"/>
              </w:rPr>
            </w:pPr>
            <w:r>
              <w:rPr>
                <w:rFonts w:ascii="Arial" w:cs="Arial" w:eastAsia="Arial" w:hAnsi="Arial"/>
                <w:sz w:val="14"/>
                <w:szCs w:val="14"/>
                <w:b w:val="1"/>
                <w:bCs w:val="1"/>
                <w:color w:val="auto"/>
              </w:rPr>
              <w:t>For the Three Months Ended September 30, 2019</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2"/>
          </w:tcPr>
          <w:p>
            <w:pPr>
              <w:jc w:val="right"/>
              <w:ind w:right="573"/>
              <w:spacing w:after="0"/>
              <w:rPr>
                <w:sz w:val="20"/>
                <w:szCs w:val="20"/>
                <w:color w:val="auto"/>
              </w:rPr>
            </w:pPr>
            <w:r>
              <w:rPr>
                <w:rFonts w:ascii="Arial" w:cs="Arial" w:eastAsia="Arial" w:hAnsi="Arial"/>
                <w:sz w:val="14"/>
                <w:szCs w:val="14"/>
                <w:b w:val="1"/>
                <w:bCs w:val="1"/>
                <w:color w:val="auto"/>
              </w:rPr>
              <w:t>For the Nine Months Ended September 30, 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EFT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Money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rPr>
              <w:t>EFT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9"/>
              </w:rPr>
              <w:t>Money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7"/>
              </w:rPr>
              <w:t>Processing</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Transfer</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Transfer</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274,313</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130,602</w:t>
            </w:r>
          </w:p>
        </w:tc>
        <w:tc>
          <w:tcPr>
            <w:tcW w:w="40" w:type="dxa"/>
            <w:vAlign w:val="bottom"/>
            <w:shd w:val="clear" w:color="auto" w:fill="CCEEFF"/>
          </w:tcPr>
          <w:p>
            <w:pPr>
              <w:spacing w:after="0"/>
              <w:rPr>
                <w:sz w:val="23"/>
                <w:szCs w:val="23"/>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94,625</w:t>
            </w:r>
          </w:p>
        </w:tc>
        <w:tc>
          <w:tcPr>
            <w:tcW w:w="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499,540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574,620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368,830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273,760</w:t>
            </w:r>
          </w:p>
        </w:tc>
        <w:tc>
          <w:tcPr>
            <w:tcW w:w="2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1,217,210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37,218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193,924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24,880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114,614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428,349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567,843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83,767</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94,317</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93,865</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10,865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12,568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18,227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316,188</w:t>
            </w:r>
          </w:p>
        </w:tc>
        <w:tc>
          <w:tcPr>
            <w:tcW w:w="20" w:type="dxa"/>
            <w:vAlign w:val="bottom"/>
          </w:tcPr>
          <w:p>
            <w:pPr>
              <w:spacing w:after="0"/>
              <w:rPr>
                <w:sz w:val="22"/>
                <w:szCs w:val="22"/>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191,071</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280,837</w:t>
            </w:r>
          </w:p>
        </w:tc>
        <w:tc>
          <w:tcPr>
            <w:tcW w:w="20" w:type="dxa"/>
            <w:vAlign w:val="bottom"/>
          </w:tcPr>
          <w:p>
            <w:pPr>
              <w:spacing w:after="0"/>
              <w:rPr>
                <w:sz w:val="22"/>
                <w:szCs w:val="22"/>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786,986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693,837</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551,345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814,201</w:t>
            </w:r>
          </w:p>
        </w:tc>
        <w:tc>
          <w:tcPr>
            <w:tcW w:w="20" w:type="dxa"/>
            <w:vAlign w:val="bottom"/>
          </w:tcPr>
          <w:p>
            <w:pPr>
              <w:spacing w:after="0"/>
              <w:rPr>
                <w:sz w:val="22"/>
                <w:szCs w:val="22"/>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2,056,362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Company's effective income tax rate was 27.2% and (55.9)% for the three and nine months ended </w:t>
      </w:r>
      <w:r>
        <w:rPr>
          <w:rFonts w:ascii="Arial" w:cs="Arial" w:eastAsia="Arial" w:hAnsi="Arial"/>
          <w:sz w:val="17"/>
          <w:szCs w:val="17"/>
          <w:color w:val="252525"/>
        </w:rPr>
        <w:t>September 30, 2020</w:t>
      </w:r>
      <w:r>
        <w:rPr>
          <w:rFonts w:ascii="Arial" w:cs="Arial" w:eastAsia="Arial" w:hAnsi="Arial"/>
          <w:sz w:val="17"/>
          <w:szCs w:val="17"/>
          <w:color w:val="auto"/>
        </w:rPr>
        <w:t xml:space="preserve">, respectively, compared to 21.2% and 26.0% for the three and nine months ended </w:t>
      </w:r>
      <w:r>
        <w:rPr>
          <w:rFonts w:ascii="Arial" w:cs="Arial" w:eastAsia="Arial" w:hAnsi="Arial"/>
          <w:sz w:val="17"/>
          <w:szCs w:val="17"/>
          <w:color w:val="252525"/>
        </w:rPr>
        <w:t>September 30, 2019</w:t>
      </w:r>
      <w:r>
        <w:rPr>
          <w:rFonts w:ascii="Arial" w:cs="Arial" w:eastAsia="Arial" w:hAnsi="Arial"/>
          <w:sz w:val="17"/>
          <w:szCs w:val="17"/>
          <w:color w:val="auto"/>
        </w:rPr>
        <w:t xml:space="preserve">, respectively. The Company's effective income tax rate for the three and nine months ended </w:t>
      </w:r>
      <w:r>
        <w:rPr>
          <w:rFonts w:ascii="Arial" w:cs="Arial" w:eastAsia="Arial" w:hAnsi="Arial"/>
          <w:sz w:val="17"/>
          <w:szCs w:val="17"/>
          <w:color w:val="252525"/>
        </w:rPr>
        <w:t>September 30, 2020</w:t>
      </w:r>
      <w:r>
        <w:rPr>
          <w:rFonts w:ascii="Arial" w:cs="Arial" w:eastAsia="Arial" w:hAnsi="Arial"/>
          <w:sz w:val="17"/>
          <w:szCs w:val="17"/>
          <w:color w:val="auto"/>
        </w:rPr>
        <w:t xml:space="preserve"> was higher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and second quarter of 2020 for net operating losses in those jurisdictions which have a limited history of profitable earnings. The Company's effective income tax rate for the three and nine months ended September 30,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w:t>
      </w:r>
    </w:p>
    <w:p>
      <w:pPr>
        <w:spacing w:after="0" w:line="200" w:lineRule="exact"/>
        <w:rPr>
          <w:sz w:val="20"/>
          <w:szCs w:val="20"/>
          <w:color w:val="auto"/>
        </w:rPr>
      </w:pPr>
    </w:p>
    <w:p>
      <w:pPr>
        <w:spacing w:after="0" w:line="2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September 30, 2020, the Company had $71.7 million of stand-by letters of credit/bank guarantees issued on its behalf, of which $46.9 million are outstanding under the Credit Facility. The remaining stand-by letters of credit/bank guarantees are collateralized by $4.1 million of cash deposits held by the respective issuing banks.</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2020, the Company had granted off balance sheet guarantees for cash in various ATM networks amounting to $12.1 million over the terms of the cash supply agreements and performance guarantees amounting to approximately $36.3 million over the terms of agreements with the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47" w:lineRule="exact"/>
        <w:rPr>
          <w:sz w:val="20"/>
          <w:szCs w:val="20"/>
          <w:color w:val="auto"/>
        </w:rPr>
      </w:pPr>
    </w:p>
    <w:p>
      <w:pPr>
        <w:ind w:left="580" w:right="60"/>
        <w:spacing w:after="0" w:line="286" w:lineRule="auto"/>
        <w:rPr>
          <w:sz w:val="20"/>
          <w:szCs w:val="20"/>
          <w:color w:val="auto"/>
        </w:rPr>
      </w:pPr>
      <w:r>
        <w:rPr>
          <w:rFonts w:ascii="Arial" w:cs="Arial" w:eastAsia="Arial" w:hAnsi="Arial"/>
          <w:sz w:val="17"/>
          <w:szCs w:val="17"/>
          <w:color w:val="auto"/>
        </w:rPr>
        <w:t>In connection with contracts with financial institutions in the EFT Processing Segment, the Company is responsible for damage to ATMs and theft of ATM network cash. As of September 30, 2020, the balance of such cash used in the Company's ATM networks for which the Company was responsible was approximately $506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-382270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5" w:lineRule="exact"/>
        <w:rPr>
          <w:sz w:val="20"/>
          <w:szCs w:val="20"/>
          <w:color w:val="auto"/>
        </w:rPr>
      </w:pPr>
    </w:p>
    <w:p>
      <w:pPr>
        <w:ind w:left="580" w:right="320"/>
        <w:spacing w:after="0" w:line="311" w:lineRule="auto"/>
        <w:rPr>
          <w:sz w:val="20"/>
          <w:szCs w:val="20"/>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-393065</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29" w:lineRule="exact"/>
        <w:rPr>
          <w:sz w:val="20"/>
          <w:szCs w:val="20"/>
          <w:color w:val="auto"/>
        </w:rPr>
      </w:pPr>
    </w:p>
    <w:p>
      <w:pPr>
        <w:ind w:left="580" w:right="180"/>
        <w:spacing w:after="0" w:line="263"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-370840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4" w:lineRule="exact"/>
        <w:rPr>
          <w:sz w:val="20"/>
          <w:szCs w:val="20"/>
          <w:color w:val="auto"/>
        </w:rPr>
      </w:pPr>
    </w:p>
    <w:p>
      <w:pPr>
        <w:ind w:left="580" w:right="80"/>
        <w:spacing w:after="0" w:line="263" w:lineRule="auto"/>
        <w:rPr>
          <w:sz w:val="20"/>
          <w:szCs w:val="20"/>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-370840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4"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-794385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44" w:lineRule="exact"/>
        <w:rPr>
          <w:sz w:val="20"/>
          <w:szCs w:val="20"/>
          <w:color w:val="auto"/>
        </w:rPr>
      </w:pPr>
    </w:p>
    <w:p>
      <w:pPr>
        <w:ind w:left="580" w:right="180"/>
        <w:spacing w:after="0" w:line="263" w:lineRule="auto"/>
        <w:rPr>
          <w:sz w:val="20"/>
          <w:szCs w:val="20"/>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-370840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4" w:lineRule="exact"/>
        <w:rPr>
          <w:sz w:val="20"/>
          <w:szCs w:val="20"/>
          <w:color w:val="auto"/>
        </w:rPr>
      </w:pPr>
    </w:p>
    <w:p>
      <w:pPr>
        <w:ind w:left="60" w:right="1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2020 or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 AND CONTINGENCIES</w:t>
      </w:r>
    </w:p>
    <w:p>
      <w:pPr>
        <w:spacing w:after="0" w:line="22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The Company evaluated the likelihood of exercising the renewal and termination options beginning with the adoption of the new accounting lease standard on January 1, 2019, concluding 1) the options were not reasonably certain to be exercised and thus were not considered in determining the lease terms, and associated payment impacts were excluded from lease payments and 2) termination options were reasonably certain not to be exercised and therefore the stated lease payment schedule of the lease was used to determine the lease term.</w:t>
      </w:r>
    </w:p>
    <w:p>
      <w:pPr>
        <w:spacing w:after="0" w:line="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second quarter of 2020, the impact of the COVID-19 pandemic was a significant event that caused a significant change in circumstances and business plans to manage our portfolio of ATM leases. Specifically we downsized, through the exercise of termination clauses and the reduction of monthly costs by renegotiating payment terms of our ATM leases. The Company's execution of the business plan to renegotiate terms and downsize the portfolio of ATM leases constituted a reassessment event during the second quarter of 2020. The reassessment event required the Company to reevaluate the accounting for the portfolio of ATM leases, including lease terms. Due to the recent increased frequency of ATM site lease terminations, modifications, and greater unpredictability whether or not future lease terminations will be exercised, the Company is no longer able to conclude that termination options are reasonably certain not to be exercised. This reassessment conclusion impacts the lease term evaluation, instead of determining the lease term based on the stated lease payment schedule of the lease, now the lease term will be evaluated when the Company has the contractual ability to terminate the lease (most leases allow for a termination upon advance notice of between 30 and 90 days). As a result of the lease term reassessment, $211.9 million of right of use assets and $211.9 million lease liabilities were reassessed to have a term shorter than 12 months, thus were subject to the short-term lease exemption and removed from the balance sheet beginning June 30, 2020. New, amended, and modified ATM site leases with termination options exercisable within 12 months will be excluded from the right of use lease asset and lease liability balances in the future.</w:t>
      </w:r>
    </w:p>
    <w:p>
      <w:pPr>
        <w:spacing w:after="0" w:line="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Payments for ATM site leases with termination options subject to the short-term lease exemption are expensed in the period incurred. The short-term lease expense for the three months ended September 30, 2020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(with initial lease terms in excess of one year) as of September 30, 2020 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As of September 30, 2020</w:t>
            </w:r>
          </w:p>
        </w:tc>
      </w:tr>
      <w:tr>
        <w:trPr>
          <w:trHeight w:val="251"/>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2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b w:val="1"/>
                <w:bCs w:val="1"/>
                <w:color w:val="auto"/>
              </w:rPr>
              <w:t>Operating Leases (1)</w:t>
            </w:r>
          </w:p>
        </w:tc>
      </w:tr>
      <w:tr>
        <w:trPr>
          <w:trHeight w:val="21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90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rPr>
              <w:t>2021</w:t>
            </w:r>
          </w:p>
        </w:tc>
        <w:tc>
          <w:tcPr>
            <w:tcW w:w="2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43,626</w:t>
            </w:r>
          </w:p>
        </w:tc>
      </w:tr>
      <w:tr>
        <w:trPr>
          <w:trHeight w:val="21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32,544</w:t>
            </w: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rPr>
              <w:t>2023</w:t>
            </w:r>
          </w:p>
        </w:tc>
        <w:tc>
          <w:tcPr>
            <w:tcW w:w="2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22,780</w:t>
            </w:r>
          </w:p>
        </w:tc>
      </w:tr>
      <w:tr>
        <w:trPr>
          <w:trHeight w:val="21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r>
      <w:tr>
        <w:trPr>
          <w:trHeight w:val="216"/>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4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35,185</w:t>
            </w:r>
          </w:p>
        </w:tc>
      </w:tr>
      <w:tr>
        <w:trPr>
          <w:trHeight w:val="21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162,053</w:t>
            </w:r>
          </w:p>
        </w:tc>
      </w:tr>
      <w:tr>
        <w:trPr>
          <w:trHeight w:val="216"/>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24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r>
      <w:tr>
        <w:trPr>
          <w:trHeight w:val="20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158,595</w:t>
            </w:r>
          </w:p>
        </w:tc>
      </w:tr>
    </w:tbl>
    <w:p>
      <w:pPr>
        <w:spacing w:after="0" w:line="310" w:lineRule="exact"/>
        <w:rPr>
          <w:sz w:val="20"/>
          <w:szCs w:val="20"/>
          <w:color w:val="auto"/>
        </w:rPr>
      </w:pPr>
    </w:p>
    <w:p>
      <w:pPr>
        <w:jc w:val="both"/>
        <w:ind w:left="660" w:right="140" w:hanging="328"/>
        <w:spacing w:after="0" w:line="293" w:lineRule="auto"/>
        <w:tabs>
          <w:tab w:leader="none" w:pos="672"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76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Expense</w:t>
            </w: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76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700" w:type="dxa"/>
            <w:vAlign w:val="bottom"/>
            <w:vMerge w:val="continue"/>
          </w:tcPr>
          <w:p>
            <w:pPr>
              <w:spacing w:after="0"/>
              <w:rPr>
                <w:sz w:val="12"/>
                <w:szCs w:val="12"/>
                <w:color w:val="auto"/>
              </w:rPr>
            </w:pPr>
          </w:p>
        </w:tc>
        <w:tc>
          <w:tcPr>
            <w:tcW w:w="3160" w:type="dxa"/>
            <w:vAlign w:val="bottom"/>
            <w:vMerge w:val="restart"/>
          </w:tcPr>
          <w:p>
            <w:pPr>
              <w:jc w:val="center"/>
              <w:ind w:left="613"/>
              <w:spacing w:after="0"/>
              <w:rPr>
                <w:sz w:val="20"/>
                <w:szCs w:val="20"/>
                <w:color w:val="auto"/>
              </w:rPr>
            </w:pPr>
            <w:r>
              <w:rPr>
                <w:rFonts w:ascii="Arial" w:cs="Arial" w:eastAsia="Arial" w:hAnsi="Arial"/>
                <w:sz w:val="14"/>
                <w:szCs w:val="14"/>
                <w:b w:val="1"/>
                <w:bCs w:val="1"/>
                <w:color w:val="auto"/>
                <w:w w:val="91"/>
              </w:rPr>
              <w:t>Income Statement Classification</w:t>
            </w:r>
          </w:p>
        </w:tc>
        <w:tc>
          <w:tcPr>
            <w:tcW w:w="80" w:type="dxa"/>
            <w:vAlign w:val="bottom"/>
            <w:vMerge w:val="restart"/>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1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5"/>
              </w:rPr>
              <w:t>30, 2019</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3240" w:type="dxa"/>
            <w:vAlign w:val="bottom"/>
            <w:gridSpan w:val="2"/>
          </w:tcPr>
          <w:p>
            <w:pPr>
              <w:jc w:val="center"/>
              <w:ind w:left="533"/>
              <w:spacing w:after="0"/>
              <w:rPr>
                <w:sz w:val="20"/>
                <w:szCs w:val="20"/>
                <w:color w:val="auto"/>
              </w:rPr>
            </w:pPr>
            <w:r>
              <w:rPr>
                <w:rFonts w:ascii="Arial" w:cs="Arial" w:eastAsia="Arial" w:hAnsi="Arial"/>
                <w:sz w:val="18"/>
                <w:szCs w:val="18"/>
                <w:color w:val="auto"/>
                <w:w w:val="89"/>
              </w:rPr>
              <w:t>Selling, general and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240" w:type="dxa"/>
            <w:vAlign w:val="bottom"/>
            <w:gridSpan w:val="2"/>
          </w:tcPr>
          <w:p>
            <w:pPr>
              <w:jc w:val="center"/>
              <w:ind w:left="533"/>
              <w:spacing w:after="0"/>
              <w:rPr>
                <w:sz w:val="20"/>
                <w:szCs w:val="20"/>
                <w:color w:val="auto"/>
              </w:rPr>
            </w:pPr>
            <w:r>
              <w:rPr>
                <w:rFonts w:ascii="Arial" w:cs="Arial" w:eastAsia="Arial" w:hAnsi="Arial"/>
                <w:sz w:val="18"/>
                <w:szCs w:val="18"/>
                <w:color w:val="auto"/>
                <w:w w:val="91"/>
              </w:rPr>
              <w:t>administrative and Direct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3240" w:type="dxa"/>
            <w:vAlign w:val="bottom"/>
            <w:gridSpan w:val="2"/>
          </w:tcPr>
          <w:p>
            <w:pPr>
              <w:jc w:val="center"/>
              <w:ind w:left="533"/>
              <w:spacing w:after="0"/>
              <w:rPr>
                <w:sz w:val="20"/>
                <w:szCs w:val="20"/>
                <w:color w:val="auto"/>
              </w:rPr>
            </w:pPr>
            <w:r>
              <w:rPr>
                <w:rFonts w:ascii="Arial" w:cs="Arial" w:eastAsia="Arial" w:hAnsi="Arial"/>
                <w:sz w:val="18"/>
                <w:szCs w:val="18"/>
                <w:color w:val="auto"/>
                <w:w w:val="90"/>
              </w:rPr>
              <w:t>operating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14,694</w:t>
            </w:r>
          </w:p>
        </w:tc>
        <w:tc>
          <w:tcPr>
            <w:tcW w:w="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35,068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68,927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98,641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jc w:val="center"/>
              <w:ind w:left="533"/>
              <w:spacing w:after="0"/>
              <w:rPr>
                <w:sz w:val="20"/>
                <w:szCs w:val="20"/>
                <w:color w:val="auto"/>
              </w:rPr>
            </w:pPr>
            <w:r>
              <w:rPr>
                <w:rFonts w:ascii="Arial" w:cs="Arial" w:eastAsia="Arial" w:hAnsi="Arial"/>
                <w:sz w:val="18"/>
                <w:szCs w:val="18"/>
                <w:color w:val="auto"/>
                <w:w w:val="89"/>
              </w:rPr>
              <w:t>Selling, general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center"/>
              <w:ind w:left="533"/>
              <w:spacing w:after="0"/>
              <w:rPr>
                <w:sz w:val="20"/>
                <w:szCs w:val="20"/>
                <w:color w:val="auto"/>
              </w:rPr>
            </w:pPr>
            <w:r>
              <w:rPr>
                <w:rFonts w:ascii="Arial" w:cs="Arial" w:eastAsia="Arial" w:hAnsi="Arial"/>
                <w:sz w:val="18"/>
                <w:szCs w:val="18"/>
                <w:color w:val="auto"/>
                <w:w w:val="91"/>
              </w:rPr>
              <w:t>administrative and Direct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and variable lease expense</w:t>
            </w:r>
          </w:p>
        </w:tc>
        <w:tc>
          <w:tcPr>
            <w:tcW w:w="316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0"/>
              </w:rPr>
              <w:t>operating costs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26,429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47,390</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31,541</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Total lease expense</w:t>
            </w: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41,123</w:t>
            </w:r>
          </w:p>
        </w:tc>
        <w:tc>
          <w:tcPr>
            <w:tcW w:w="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47,721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116,317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130,182</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September 30,</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2020</w:t>
      </w:r>
    </w:p>
    <w:p>
      <w:pPr>
        <w:spacing w:after="0" w:line="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5.2</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2.2%</w:t>
      </w:r>
    </w:p>
    <w:p>
      <w:pPr>
        <w:spacing w:after="0" w:line="222" w:lineRule="exact"/>
        <w:rPr>
          <w:sz w:val="20"/>
          <w:szCs w:val="20"/>
          <w:color w:val="auto"/>
        </w:rPr>
      </w:pPr>
    </w:p>
    <w:p>
      <w:pPr>
        <w:sectPr>
          <w:pgSz w:w="11900" w:h="16838" w:orient="portrait"/>
          <w:cols w:equalWidth="0" w:num="2">
            <w:col w:w="9560" w:space="720"/>
            <w:col w:w="960"/>
          </w:cols>
          <w:pgMar w:left="320" w:top="125"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Nine Months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8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2280" w:type="dxa"/>
            <w:vAlign w:val="bottom"/>
            <w:gridSpan w:val="2"/>
          </w:tcPr>
          <w:p>
            <w:pPr>
              <w:jc w:val="center"/>
              <w:ind w:left="107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66,402</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97,209</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1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176,104</w:t>
            </w:r>
          </w:p>
        </w:tc>
        <w:tc>
          <w:tcPr>
            <w:tcW w:w="0" w:type="dxa"/>
            <w:vAlign w:val="bottom"/>
          </w:tcPr>
          <w:p>
            <w:pPr>
              <w:spacing w:after="0"/>
              <w:rPr>
                <w:sz w:val="1"/>
                <w:szCs w:val="1"/>
                <w:color w:val="auto"/>
              </w:rPr>
            </w:pPr>
          </w:p>
        </w:tc>
      </w:tr>
      <w:tr>
        <w:trPr>
          <w:trHeight w:val="176"/>
        </w:trPr>
        <w:tc>
          <w:tcPr>
            <w:tcW w:w="7900" w:type="dxa"/>
            <w:vAlign w:val="bottom"/>
          </w:tcPr>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900" w:type="dxa"/>
            <w:vAlign w:val="bottom"/>
          </w:tcPr>
          <w:p>
            <w:pPr>
              <w:ind w:left="5540"/>
              <w:spacing w:after="0"/>
              <w:rPr>
                <w:sz w:val="20"/>
                <w:szCs w:val="20"/>
                <w:color w:val="auto"/>
              </w:rPr>
            </w:pPr>
            <w:r>
              <w:rPr>
                <w:rFonts w:ascii="Arial" w:cs="Arial" w:eastAsia="Arial" w:hAnsi="Arial"/>
                <w:sz w:val="18"/>
                <w:szCs w:val="18"/>
                <w:color w:val="auto"/>
              </w:rPr>
              <w:t>22</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9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34" w:lineRule="exact"/>
        <w:rPr>
          <w:sz w:val="20"/>
          <w:szCs w:val="20"/>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the COVID-19 pandemic on our business;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0" w:lineRule="exact"/>
        <w:rPr>
          <w:rFonts w:ascii="Arial" w:cs="Arial" w:eastAsia="Arial" w:hAnsi="Arial"/>
          <w:sz w:val="18"/>
          <w:szCs w:val="18"/>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the effect of the COVID-19 pandemic on our business; conditions in world financial markets and general economic conditions, including the effects in Europe of the negotiations related to the United Kingdom's departure from the European Union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 the impact of changes in laws and regulations affecting the profitability of our services, including regulation of DCC transactions or ATM access fees by the E.U.; our ability to comply with increasingly stringent regulatory requirements, including anti-money laundering, anti-terrorism, anti-bribery, consumer and data protection and the E.U.'s General Data Privacy Regulation and the Services Payment Directive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general economic, financial and market conditions and the duration and extent of any economic downturns related to the COVID-19 pandemic or future events; the cost of borrowing, availability of credit and terms of and compliance with debt covenants; renewal of sources of funding as they expire and the availability of replacement funding; the outlook for markets we serve; and those factors referred to above and as set forth and more fully described in Part I, Item 1A — Risk Factors of our Annual Report on Form 10-K for the year ended December 31, 2019 and Part II, Item 1A of our Quarterly Report on Form 10-Q for the period ended June 30, 2020.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347" w:lineRule="exact"/>
        <w:rPr>
          <w:sz w:val="20"/>
          <w:szCs w:val="20"/>
          <w:color w:val="auto"/>
        </w:rPr>
      </w:pPr>
    </w:p>
    <w:p>
      <w:pPr>
        <w:ind w:left="620" w:right="80" w:hanging="171"/>
        <w:spacing w:after="0" w:line="25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43,956 ATMs and approximately 324,000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160" w:lineRule="exact"/>
        <w:rPr>
          <w:rFonts w:ascii="Arial" w:cs="Arial" w:eastAsia="Arial" w:hAnsi="Arial"/>
          <w:sz w:val="18"/>
          <w:szCs w:val="18"/>
          <w:color w:val="auto"/>
        </w:rPr>
      </w:pPr>
    </w:p>
    <w:p>
      <w:pPr>
        <w:ind w:left="620" w:right="260" w:hanging="171"/>
        <w:spacing w:after="0" w:line="259"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717,000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59" w:lineRule="exact"/>
        <w:rPr>
          <w:rFonts w:ascii="Arial" w:cs="Arial" w:eastAsia="Arial" w:hAnsi="Arial"/>
          <w:sz w:val="18"/>
          <w:szCs w:val="18"/>
          <w:color w:val="auto"/>
        </w:rPr>
      </w:pPr>
    </w:p>
    <w:p>
      <w:pPr>
        <w:ind w:left="620" w:right="20" w:hanging="171"/>
        <w:spacing w:after="0" w:line="289"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AFEX Money Express, IME and xe and global account-to-account money transfer services under the brand name xe. We offer services under the brand names Ria, AFEX Money Express and IME through a network of sending agents, Company-owned stores (primarily in North America, Europe and Malaysia) and our websites (riamoneytransfer.com and online.imeremit.com), disbursing money transfers through a worldwide correspondent network that includes approximately 447,000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85"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22% and 21% of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nine months ended September 30, 2020,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30% and 31% of total consolidated revenues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respectively,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65% of epay Segment revenues. Other electronic content offered by this segment includes digital content such as music, games and software, as well as, other products including mobile wallets, prepaid long distance calling card plans, prepaid Internet plans, prepaid debit cards, gift cards, vouchers, transport payments, lottery payments, bill payment, and money transfer.</w:t>
      </w:r>
    </w:p>
    <w:p>
      <w:pPr>
        <w:spacing w:after="0" w:line="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49% and 48% of total consolidated revenues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2020,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IME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71" w:lineRule="exact"/>
        <w:rPr>
          <w:sz w:val="20"/>
          <w:szCs w:val="20"/>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ATM networks;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80" w:hanging="621"/>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98" w:lineRule="exact"/>
        <w:rPr>
          <w:rFonts w:ascii="Arial" w:cs="Arial" w:eastAsia="Arial" w:hAnsi="Arial"/>
          <w:sz w:val="18"/>
          <w:szCs w:val="18"/>
          <w:color w:val="auto"/>
        </w:rPr>
      </w:pPr>
    </w:p>
    <w:p>
      <w:pPr>
        <w:ind w:left="1040" w:right="60" w:hanging="681"/>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116" w:lineRule="exact"/>
        <w:rPr>
          <w:sz w:val="20"/>
          <w:szCs w:val="20"/>
          <w:color w:val="auto"/>
        </w:rPr>
      </w:pPr>
    </w:p>
    <w:p>
      <w:pPr>
        <w:ind w:left="1040" w:hanging="68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ectPr>
          <w:pgSz w:w="11900" w:h="16838" w:orient="portrait"/>
          <w:cols w:equalWidth="0" w:num="1">
            <w:col w:w="11160"/>
          </w:cols>
          <w:pgMar w:left="320" w:top="125" w:right="419" w:bottom="1440" w:gutter="0" w:footer="0" w:header="0"/>
        </w:sect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sponsorship agreements where our licenses are not applicable;</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98" w:lineRule="exact"/>
        <w:rPr>
          <w:rFonts w:ascii="Arial" w:cs="Arial" w:eastAsia="Arial" w:hAnsi="Arial"/>
          <w:sz w:val="18"/>
          <w:szCs w:val="18"/>
          <w:color w:val="auto"/>
        </w:rPr>
      </w:pPr>
    </w:p>
    <w:p>
      <w:pPr>
        <w:ind w:left="1040" w:right="20" w:hanging="681"/>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156" w:lineRule="exact"/>
        <w:rPr>
          <w:rFonts w:ascii="Arial" w:cs="Arial" w:eastAsia="Arial" w:hAnsi="Arial"/>
          <w:sz w:val="18"/>
          <w:szCs w:val="18"/>
          <w:color w:val="auto"/>
        </w:rPr>
      </w:pPr>
    </w:p>
    <w:p>
      <w:pPr>
        <w:ind w:left="1040" w:right="280" w:hanging="681"/>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in laws and regulations affecting the profitability of our services, including regulation of DCC transactions by the E.U.;</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overall market trends on ATM transactions in our current target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continued development and implementation of our software products and their ability to interact with other leading products; and</w:t>
      </w:r>
    </w:p>
    <w:p>
      <w:pPr>
        <w:spacing w:after="0" w:line="209" w:lineRule="exact"/>
        <w:rPr>
          <w:rFonts w:ascii="Arial" w:cs="Arial" w:eastAsia="Arial" w:hAnsi="Arial"/>
          <w:sz w:val="17"/>
          <w:szCs w:val="17"/>
          <w:color w:val="auto"/>
        </w:rPr>
      </w:pPr>
    </w:p>
    <w:p>
      <w:pPr>
        <w:ind w:left="1040" w:right="240" w:hanging="681"/>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may limit access to ATM locations, create consumer fear regarding contracting the virus by touching ATM screens, keyboards or cash, impact consumer cross-border travel habits and reduce high margin cross-border transactions.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6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116" w:lineRule="exact"/>
        <w:rPr>
          <w:sz w:val="20"/>
          <w:szCs w:val="20"/>
          <w:color w:val="auto"/>
        </w:rPr>
      </w:pPr>
    </w:p>
    <w:p>
      <w:pPr>
        <w:ind w:left="1040" w:hanging="681"/>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209" w:lineRule="exact"/>
        <w:rPr>
          <w:rFonts w:ascii="Arial" w:cs="Arial" w:eastAsia="Arial" w:hAnsi="Arial"/>
          <w:sz w:val="17"/>
          <w:szCs w:val="17"/>
          <w:color w:val="auto"/>
        </w:rPr>
      </w:pPr>
    </w:p>
    <w:p>
      <w:pPr>
        <w:ind w:left="1040" w:right="360" w:hanging="681"/>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use of third-party providers such as ourselves to supply electronic processing solutions for existing and additional digital content;</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221" w:lineRule="exact"/>
        <w:rPr>
          <w:rFonts w:ascii="Arial" w:cs="Arial" w:eastAsia="Arial" w:hAnsi="Arial"/>
          <w:sz w:val="16"/>
          <w:szCs w:val="16"/>
          <w:color w:val="auto"/>
        </w:rPr>
      </w:pPr>
    </w:p>
    <w:p>
      <w:pPr>
        <w:ind w:left="1040" w:right="40" w:hanging="681"/>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ectPr>
          <w:pgSz w:w="11900" w:h="16838" w:orient="portrait"/>
          <w:cols w:equalWidth="0" w:num="1">
            <w:col w:w="11100"/>
          </w:cols>
          <w:pgMar w:left="320" w:top="125" w:right="479" w:bottom="1440" w:gutter="0" w:footer="0" w:header="0"/>
        </w:sect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98" w:lineRule="exact"/>
        <w:rPr>
          <w:rFonts w:ascii="Arial" w:cs="Arial" w:eastAsia="Arial" w:hAnsi="Arial"/>
          <w:sz w:val="18"/>
          <w:szCs w:val="18"/>
          <w:color w:val="auto"/>
        </w:rPr>
      </w:pPr>
    </w:p>
    <w:p>
      <w:pPr>
        <w:ind w:left="1040" w:right="360" w:hanging="681"/>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98" w:lineRule="exact"/>
        <w:rPr>
          <w:rFonts w:ascii="Arial" w:cs="Arial" w:eastAsia="Arial" w:hAnsi="Arial"/>
          <w:sz w:val="18"/>
          <w:szCs w:val="18"/>
          <w:color w:val="auto"/>
        </w:rPr>
      </w:pPr>
    </w:p>
    <w:p>
      <w:pPr>
        <w:ind w:left="1040" w:right="100" w:hanging="681"/>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may limit access to POS merchant locations, our ability to maintain and grow our relationships with digital content providers that are experiencing increased demand due to the COVID-19 pandemic, and increase our credit risk as many of our merchants may be closed from time to time as nonessential services.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116" w:lineRule="exact"/>
        <w:rPr>
          <w:sz w:val="20"/>
          <w:szCs w:val="20"/>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98" w:lineRule="exact"/>
        <w:rPr>
          <w:rFonts w:ascii="Arial" w:cs="Arial" w:eastAsia="Arial" w:hAnsi="Arial"/>
          <w:sz w:val="18"/>
          <w:szCs w:val="18"/>
          <w:color w:val="auto"/>
        </w:rPr>
      </w:pPr>
    </w:p>
    <w:p>
      <w:pPr>
        <w:ind w:left="1040" w:right="720" w:hanging="681"/>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96" w:lineRule="exact"/>
        <w:rPr>
          <w:rFonts w:ascii="Arial" w:cs="Arial" w:eastAsia="Arial" w:hAnsi="Arial"/>
          <w:sz w:val="16"/>
          <w:szCs w:val="16"/>
          <w:color w:val="auto"/>
        </w:rPr>
      </w:pPr>
    </w:p>
    <w:p>
      <w:pPr>
        <w:ind w:left="1040" w:right="60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221" w:lineRule="exact"/>
        <w:rPr>
          <w:rFonts w:ascii="Arial" w:cs="Arial" w:eastAsia="Arial" w:hAnsi="Arial"/>
          <w:sz w:val="16"/>
          <w:szCs w:val="16"/>
          <w:color w:val="auto"/>
        </w:rPr>
      </w:pPr>
    </w:p>
    <w:p>
      <w:pPr>
        <w:ind w:left="1040" w:right="8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98" w:lineRule="exact"/>
        <w:rPr>
          <w:rFonts w:ascii="Arial" w:cs="Arial" w:eastAsia="Arial" w:hAnsi="Arial"/>
          <w:sz w:val="18"/>
          <w:szCs w:val="18"/>
          <w:color w:val="auto"/>
        </w:rPr>
      </w:pPr>
    </w:p>
    <w:p>
      <w:pPr>
        <w:ind w:left="1040" w:right="20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143" w:lineRule="exact"/>
        <w:rPr>
          <w:rFonts w:ascii="Arial" w:cs="Arial" w:eastAsia="Arial" w:hAnsi="Arial"/>
          <w:sz w:val="18"/>
          <w:szCs w:val="18"/>
          <w:color w:val="auto"/>
        </w:rPr>
      </w:pPr>
    </w:p>
    <w:p>
      <w:pPr>
        <w:ind w:left="1040" w:right="56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98"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98" w:lineRule="exact"/>
        <w:rPr>
          <w:rFonts w:ascii="Arial" w:cs="Arial" w:eastAsia="Arial" w:hAnsi="Arial"/>
          <w:sz w:val="18"/>
          <w:szCs w:val="18"/>
          <w:color w:val="auto"/>
        </w:rPr>
      </w:pPr>
    </w:p>
    <w:p>
      <w:pPr>
        <w:ind w:left="1040" w:right="260" w:hanging="681"/>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w:t>
      </w:r>
    </w:p>
    <w:p>
      <w:pPr>
        <w:spacing w:after="0" w:line="143" w:lineRule="exact"/>
        <w:rPr>
          <w:rFonts w:ascii="Arial" w:cs="Arial" w:eastAsia="Arial" w:hAnsi="Arial"/>
          <w:sz w:val="18"/>
          <w:szCs w:val="18"/>
          <w:color w:val="auto"/>
        </w:rPr>
      </w:pPr>
    </w:p>
    <w:p>
      <w:pPr>
        <w:ind w:left="1040" w:hanging="68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98" w:lineRule="exact"/>
        <w:rPr>
          <w:rFonts w:ascii="Arial" w:cs="Arial" w:eastAsia="Arial" w:hAnsi="Arial"/>
          <w:sz w:val="18"/>
          <w:szCs w:val="18"/>
          <w:color w:val="auto"/>
        </w:rPr>
      </w:pPr>
    </w:p>
    <w:p>
      <w:pPr>
        <w:ind w:left="1040" w:right="80" w:hanging="681"/>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impact on worker migration and employment opportunities, the ability of our customers to access agent network locations due to government ordered business closures, and the potential for an increase in credit risk and customer agent receivable defaults.</w:t>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 months ended September 30, 2020 and 2019 are summarized in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gridSpan w:val="9"/>
          </w:tcPr>
          <w:p>
            <w:pPr>
              <w:ind w:left="60"/>
              <w:spacing w:after="0"/>
              <w:rPr>
                <w:sz w:val="20"/>
                <w:szCs w:val="20"/>
                <w:color w:val="auto"/>
              </w:rPr>
            </w:pPr>
            <w:r>
              <w:rPr>
                <w:rFonts w:ascii="Arial" w:cs="Arial" w:eastAsia="Arial" w:hAnsi="Arial"/>
                <w:sz w:val="14"/>
                <w:szCs w:val="14"/>
                <w:b w:val="1"/>
                <w:bCs w:val="1"/>
                <w:color w:val="auto"/>
              </w:rPr>
              <w:t>Revenues for the Three Months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Revenues for the Nine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93"/>
              <w:spacing w:after="0"/>
              <w:rPr>
                <w:sz w:val="20"/>
                <w:szCs w:val="20"/>
                <w:color w:val="auto"/>
              </w:rPr>
            </w:pPr>
            <w:r>
              <w:rPr>
                <w:rFonts w:ascii="Arial" w:cs="Arial" w:eastAsia="Arial" w:hAnsi="Arial"/>
                <w:sz w:val="14"/>
                <w:szCs w:val="14"/>
                <w:b w:val="1"/>
                <w:bCs w:val="1"/>
                <w:color w:val="auto"/>
              </w:rPr>
              <w:t>Ended September 30,</w:t>
            </w:r>
          </w:p>
        </w:tc>
        <w:tc>
          <w:tcPr>
            <w:tcW w:w="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4"/>
              </w:rPr>
              <w:t>Increase</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7"/>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Percent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(172,126)</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3"/>
                <w:szCs w:val="23"/>
                <w:color w:val="auto"/>
              </w:rPr>
            </w:pPr>
          </w:p>
        </w:tc>
        <w:tc>
          <w:tcPr>
            <w:tcW w:w="200" w:type="dxa"/>
            <w:vAlign w:val="bottom"/>
            <w:gridSpan w:val="3"/>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368,375</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693,837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(325,462)</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198,939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191,071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559,413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551,345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852,189</w:t>
            </w: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814,201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666,093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788,096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(122,003)</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1,779,977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2,059,383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(279,406)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Corporate services, eliminations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other</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254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664,351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786,986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(122,635)</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c>
          <w:tcPr>
            <w:tcW w:w="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1,776,061</w:t>
            </w:r>
          </w:p>
        </w:tc>
        <w:tc>
          <w:tcPr>
            <w:tcW w:w="60" w:type="dxa"/>
            <w:vAlign w:val="bottom"/>
          </w:tcPr>
          <w:p>
            <w:pPr>
              <w:spacing w:after="0"/>
              <w:rPr>
                <w:sz w:val="22"/>
                <w:szCs w:val="22"/>
                <w:color w:val="auto"/>
              </w:rPr>
            </w:pPr>
          </w:p>
        </w:tc>
        <w:tc>
          <w:tcPr>
            <w:tcW w:w="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2,056,362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Operating Income (Expense) for</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Operating Income (Expense) for</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8"/>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Year-over-Year Change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the Nine Months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88"/>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6,161</w:t>
            </w:r>
          </w:p>
        </w:tc>
        <w:tc>
          <w:tcPr>
            <w:tcW w:w="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150,901</w:t>
            </w:r>
          </w:p>
        </w:tc>
        <w:tc>
          <w:tcPr>
            <w:tcW w:w="2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(144,740)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(289,665)</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22,249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20,063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56,737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47,626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35,648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11,978</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14,707</w:t>
            </w: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101,768</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20" w:type="dxa"/>
            <w:vAlign w:val="bottom"/>
            <w:tcBorders>
              <w:bottom w:val="single" w:sz="8" w:color="auto"/>
            </w:tcBorders>
            <w:shd w:val="clear" w:color="auto" w:fill="CCEEFF"/>
          </w:tcPr>
          <w:p>
            <w:pPr>
              <w:spacing w:after="0"/>
              <w:rPr>
                <w:sz w:val="23"/>
                <w:szCs w:val="23"/>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25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76,036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206,612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(130,576)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25,964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401,570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(375,606)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Corporate services, eliminations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other</w:t>
            </w:r>
          </w:p>
        </w:tc>
        <w:tc>
          <w:tcPr>
            <w:tcW w:w="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2,658</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(29,561)</w:t>
            </w: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 w:type="dxa"/>
            <w:vAlign w:val="bottom"/>
            <w:tcBorders>
              <w:bottom w:val="single" w:sz="8" w:color="auto"/>
            </w:tcBorders>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254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66,072</w:t>
            </w:r>
          </w:p>
        </w:tc>
        <w:tc>
          <w:tcPr>
            <w:tcW w:w="4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193,990</w:t>
            </w:r>
          </w:p>
        </w:tc>
        <w:tc>
          <w:tcPr>
            <w:tcW w:w="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(127,918)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(3,597)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367,981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(371,578)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Average Translation Rate</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Average Translation Rate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Nine Months Ended September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320" w:type="dxa"/>
            <w:vAlign w:val="bottom"/>
            <w:gridSpan w:val="2"/>
          </w:tcPr>
          <w:p>
            <w:pPr>
              <w:ind w:left="380"/>
              <w:spacing w:after="0" w:line="139" w:lineRule="exact"/>
              <w:rPr>
                <w:sz w:val="20"/>
                <w:szCs w:val="20"/>
                <w:color w:val="auto"/>
              </w:rPr>
            </w:pPr>
            <w:r>
              <w:rPr>
                <w:rFonts w:ascii="Arial" w:cs="Arial" w:eastAsia="Arial" w:hAnsi="Arial"/>
                <w:sz w:val="14"/>
                <w:szCs w:val="14"/>
                <w:b w:val="1"/>
                <w:bCs w:val="1"/>
                <w:color w:val="auto"/>
              </w:rPr>
              <w:t>Increase</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240" w:type="dxa"/>
            <w:vAlign w:val="bottom"/>
          </w:tcPr>
          <w:p>
            <w:pPr>
              <w:jc w:val="right"/>
              <w:ind w:right="274"/>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(Decrease) Percent</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(Decrease) Percent</w:t>
            </w:r>
          </w:p>
        </w:tc>
        <w:tc>
          <w:tcPr>
            <w:tcW w:w="0" w:type="dxa"/>
            <w:vAlign w:val="bottom"/>
          </w:tcPr>
          <w:p>
            <w:pPr>
              <w:spacing w:after="0"/>
              <w:rPr>
                <w:sz w:val="1"/>
                <w:szCs w:val="1"/>
                <w:color w:val="auto"/>
              </w:rPr>
            </w:pPr>
          </w:p>
        </w:tc>
      </w:tr>
      <w:tr>
        <w:trPr>
          <w:trHeight w:val="269"/>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0.6852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0.6768</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0.6993</w:t>
            </w: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British pounds sterling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1.2916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1.2709</w:t>
            </w:r>
          </w:p>
        </w:tc>
        <w:tc>
          <w:tcPr>
            <w:tcW w:w="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1.2734</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0.0033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0.0034</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0.0032</w:t>
            </w:r>
          </w:p>
        </w:tc>
        <w:tc>
          <w:tcPr>
            <w:tcW w:w="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0.0035</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0.0142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0.0135</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0.0143</w:t>
            </w: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0.2382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0.2403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0.2364</w:t>
            </w:r>
          </w:p>
        </w:tc>
        <w:tc>
          <w:tcPr>
            <w:tcW w:w="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0.2420</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0.6483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0.6383</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0.6640</w:t>
            </w: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0.2633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0.2573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0.2544</w:t>
            </w:r>
          </w:p>
        </w:tc>
        <w:tc>
          <w:tcPr>
            <w:tcW w:w="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0.2613</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1"/>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three and nine months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3"/>
            <w:vMerge w:val="restart"/>
          </w:tcPr>
          <w:p>
            <w:pPr>
              <w:jc w:val="right"/>
              <w:ind w:right="184"/>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80" w:type="dxa"/>
            <w:vAlign w:val="bottom"/>
            <w:gridSpan w:val="3"/>
            <w:vMerge w:val="restart"/>
          </w:tcPr>
          <w:p>
            <w:pPr>
              <w:jc w:val="right"/>
              <w:ind w:right="144"/>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63"/>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144,062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316,188</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(172,126)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368,375</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693,837</w:t>
            </w: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(325,462)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111,116</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232,627</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300,460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23,936</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68,562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29,033</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00" w:type="dxa"/>
            <w:vAlign w:val="bottom"/>
            <w:gridSpan w:val="2"/>
          </w:tcPr>
          <w:p>
            <w:pPr>
              <w:ind w:left="180"/>
              <w:spacing w:after="0"/>
              <w:rPr>
                <w:sz w:val="20"/>
                <w:szCs w:val="20"/>
                <w:color w:val="auto"/>
              </w:rPr>
            </w:pPr>
            <w:r>
              <w:rPr>
                <w:rFonts w:ascii="Arial" w:cs="Arial" w:eastAsia="Arial" w:hAnsi="Arial"/>
                <w:sz w:val="18"/>
                <w:szCs w:val="18"/>
                <w:color w:val="auto"/>
                <w:w w:val="97"/>
              </w:rPr>
              <w:t>Goodwill and acquired intangible assets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21,861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21,861</w:t>
            </w:r>
          </w:p>
        </w:tc>
        <w:tc>
          <w:tcPr>
            <w:tcW w:w="60" w:type="dxa"/>
            <w:vAlign w:val="bottom"/>
          </w:tcPr>
          <w:p>
            <w:pPr>
              <w:spacing w:after="0"/>
              <w:rPr>
                <w:sz w:val="22"/>
                <w:szCs w:val="22"/>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18,044</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61,772</w:t>
            </w:r>
          </w:p>
        </w:tc>
        <w:tc>
          <w:tcPr>
            <w:tcW w:w="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52,464</w:t>
            </w:r>
          </w:p>
        </w:tc>
        <w:tc>
          <w:tcPr>
            <w:tcW w:w="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137,901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165,287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413,855</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449,652</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150,901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(144,740)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244,185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(289,665)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ATMs as of September 30,</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47,086</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43,143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44,574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EFT Processing Segment total revenues for the three and nine months ended September 30, 2020 were $144.1 million and $368.4 million, respectively, a decrease of $172.1 million or 54% and $325.5 million or 47% compared to the same periods in 2019, respectively. Total revenues for the three and</w:t>
      </w:r>
    </w:p>
    <w:p>
      <w:pPr>
        <w:ind w:right="80"/>
        <w:spacing w:after="0" w:line="270" w:lineRule="auto"/>
        <w:rPr>
          <w:sz w:val="20"/>
          <w:szCs w:val="20"/>
          <w:color w:val="auto"/>
        </w:rPr>
      </w:pPr>
      <w:r>
        <w:rPr>
          <w:rFonts w:ascii="Arial" w:cs="Arial" w:eastAsia="Arial" w:hAnsi="Arial"/>
          <w:sz w:val="17"/>
          <w:szCs w:val="17"/>
          <w:color w:val="auto"/>
        </w:rPr>
        <w:t>nine months ended September 30, 2020 decreased due to the impact of fewer active ATMs and fewer high-margin cross-border transactions (DCC), related to COVID-19 pandemic-driven government-imposed border and business closures and shelter-in-place orders. The government imposed border and business closures and shelter-in-place orders were in effect for the majority of the three and nine months ended September 30, 2020. These closures and orders resulted in a decrease in revenues for the three and nine months ended September 30, 2020 compared to the three and nine months ended September 30, 2019. Foreign currency movements increased total revenues by approximately $3.2 million and $1.6 million for the three and nine months ended September 30, 2020, respectively, compared to the same periods in 2019.</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Average monthly revenues per ATM were $1,085 and $949 for the three and nine months ended September 30, 2020, respectively, compared</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$2,238 and $1,730 for the three and nine months ended September 30, 2019, respectively. Revenues per transaction were $0.16 for both the three and nine months ended September 30, 2020, compared to $0.40 and $0.31 for the three and nine months ended September 30, 2019, respectively. The decreases in average monthly revenues per ATM were attributable to the decreases in DCC transactions, which earn higher revenues per transaction than other ATM or card-based services, and surcharges. The decrease in DCC transactions was due to the decline in tourism throughout Europe driven by the border and business closures during the three and nine months ended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EFT Processing Segment direct operating costs were $82.6 million and $232.6 million for the three and nine months ended September 30, 2020, respectively, a decrease of $28.5 million or 26% and $67.8 million or 23% compared to the same periods in 2019, respectively. Direct operating costs in the EFT Processing Segment consist primarily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direct operating costs was primarily due to the decrease in the number of ATMs under management, renegotiated and reduced site rental fees, and reduced operating costs for ATM's winterized during COVID-19 imposed restrictions. Foreign currency movements increased direct operating costs for the three and nine months ended September 30, 2020 by approximately $2.1 million and $0.5 million, respectively, compared to the same periods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Gross profit, which is calculated as revenues less direct operating costs, was $61.4 million and $135.7 million for the three and nine months ended September 30, 2020, respectively, compared to $205.1 million and $393.4 million for the three and nine months ended September 30, 2019, respectively. Gross profit as a percentage of revenues (“gross margin”) was 42.6% and 36.9% for the three and nine months ended September 30, 2020, respectively, compared to 64.9% and 56.7% for the three and nine months ended September 30, 2019, respectively. The decrease in gross profit and gross margin was attributable to the decrease in DCC transactions and domestic and international surcharge.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Salaries and benefits expense increased $1.2 million or 5% and $3.9 million or 6% for the three and nine months ended September 30, 2020, respectively, compared to the same periods in 2019. The increase for the three and nine months ended September 30, 2020 was primarily due to additional headcount to support expansion in the United States and long-term growth strategy, partially offset by a decrease in bonus expense. The border and business closures and shelter-in-place orders that took effect in late February 2020 and March 2020 in response to the COVID-19 pandemic reduced transaction volumes and revenues through the end of the third quarter of 2020, but human resources to support actual and planned growth were added throughout 2019 as well as the early part of the first quarter of 2020 before the COVID-19 pandemic took effect, which led to lower high-margin cross-border transactions and revenues for the three and nine months ended September 30, 2020. As a percentage of revenues, these costs increased to 17.5% and 18.6% for the three and nine months ended September 30, 2020, respectively, compared to 7.6% and 9.3% and for the three and nine months ended September 30, 2019, respectively. The Company made a decision to retain its employees during the pandemic.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Selling, general and administrative expenses for the three and nine months ended September 30, 2020 were $8.6 million and $29.0 million, respectively, a decrease of $3.6 million and $3.0 million compared to the three and nine months ended September 30, 2019, respectively. The decrease for the three months ended September 30, 2020 compared to the same period in 2019 was primarily due to a decrease in travel related expenses and a decrease in bad debt expense. The decrease for the nine months ended September 30, 2020 compared to the same period in 2019 was primarily due to a decrease in travel related expenses, partially offset by an increase in bad debt expense. As a percentage of revenues, selling, general and administrative expenses</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were 6.0% and 7.9% for the three and nine months ended September 30, 2020, respectively, compared to 3.9% and 4.6% for the three and nine months ended September 30, 2019,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Depreciation and amortization expense increased $3.5 million and $9.3 million for the three and nine months ended September 30, 2020, respectively, compared to the same periods in 2019. The increase was primarily due to the deployment of additional ATMs and software assets. As a percentage of revenues, depreciation and amortization expense was 14.9% and 16.8% for three and nine months ended September 30, 2020, respectively, compared to 5.7% and 7.6% for the same periods in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EFT Processing Segment had operating income for the three months ended September 30, 2020 of $6.2 million and an operating loss for the nine months ended September 30, 2020 of $45.5 million, a decrease of $144.7 million or 96% and $289.7 million or 119% compared to the operating income in the same periods in 2019. Operating income as a percentage of revenues (“operating margin”) was 4.3% for the three months ended September 30, 2020 and operating loss as a percentage of revenues was (12.3)% for the nine months ended September 30, 2020, compared to operating</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margin of 47.7% and 35.2% for the same periods in 2019. For the three months ended September 30, 2020, the decreases in operating income and operating margin were primarily due to the decrease in revenues compared to the same period in 2019, and for the nine months ended September 30, 2020, the decreases in operating income and operating margin were primarily due to the non-cash goodwill impairment and decrease in revenues compared to the same period in 2019. Beginning in late February 2020 and throughout September 2020, high margin cross-border transactions (DCC) decreased throughout Europe due to the COVID-19 pandemic driven government imposed border and business closures and shelter-in-place orders. Operating income per transaction was $0.01 and operating loss per transaction was $0.02 for the three and nine months ended September 30, 2020, respectively, compared to operating income per transaction of $0.19 and $0.11 for the same periods in 2019,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2020 and 2019 for our epay Segment: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5"/>
                <w:szCs w:val="15"/>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198,939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559,413</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551,345</w:t>
            </w: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424,123</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419,362</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46,996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44,939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2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502,676</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495,728</w:t>
            </w: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3"/>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56,737</w:t>
            </w: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55,617</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62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epay Segment total revenues for the three and nine months ended September 30, 2020 were $198.9 million and $559.4 million, respectively, an increase of $7.9 million or 4% and $8.1 million or 1% compared to the same periods in 2019, respectively. The increase in total revenues was primarily due to an increase in the number of transactions processed driven by continued digital media growth and the U.S. dollar weakening against key foreign currencies during the third quarter of 2020. Foreign currency movements increased total revenues by approximately $2.8 million and decreased total revenues by approximately $0.4 million for the three and nine months ended September 30, 2020, respectively, compared to the same periods in 2019. The epay segment was impacted by COVID-19 pandemic-driven government-imposed shelter-in-place orders and business closures, primarily at retail outlets, which were partially offset by increases in digital media offerings in Asia.</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Revenues per transaction were $0.30 and $0.33 for the three and nine months ended September 30, 2020, respectively, compared to $0.48 and $0.50 for the same periods in 2019, respectively. The decrease in revenues per transaction was primarily driven by the increase in the number of mobile transactions processed in a region where we generally earn lower revenues per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epay Segment direct operating costs were $150.0 million and $424.1 million for the three and nine months ended September 30, 2020, respectively, an increase of $4.6 million or 3% and $4.8 million or 1% compared to the same periods in 2019, respectively. Direct operating costs in the epay Segment include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the increases in transaction volumes for the large volume of low-value mobile top-up transactions and by the U.S. dollar weakening against key foreign currencies in the third quarter of 2020. Foreign currency movements increased direct operating costs by approximately $1.9 million and decreased direct operating costs by approximately $0.3 million for the three and nine months ended September 30, 2020, respectively, compared to the same periods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$48.9 million and $135.3 million for the three and nine months ended September 30, 2020, respectively, compared to $45.7</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million and $132.0 million for the three and nine months ended September 30, 2019, respectively. Gross margin increased to 24.6% and 24.2% for the three and nine months ended September 30, 2020, respectively, compared to 23.9% for both the three and nine months ended September 30, 2019.</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Salaries and benefits expense increased $0.9 million or 6% and $2.1 million or 5% for the three and nine months ended September 30, 2020, respectively, compared to the same periods in 2019. As a percentage of revenues, salaries and benefits were 8.1% and 8.4% for the three and nine months</w:t>
      </w:r>
    </w:p>
    <w:p>
      <w:pPr>
        <w:ind w:right="20"/>
        <w:spacing w:after="0" w:line="260" w:lineRule="auto"/>
        <w:rPr>
          <w:sz w:val="20"/>
          <w:szCs w:val="20"/>
          <w:color w:val="auto"/>
        </w:rPr>
      </w:pPr>
      <w:r>
        <w:rPr>
          <w:rFonts w:ascii="Arial" w:cs="Arial" w:eastAsia="Arial" w:hAnsi="Arial"/>
          <w:sz w:val="18"/>
          <w:szCs w:val="18"/>
          <w:color w:val="auto"/>
        </w:rPr>
        <w:t>ended September 30, 2020, respectively, compared to 7.9% and 8.2% for the same periods in 2019, respectively. The increases in salaries and benefits were driven by an increase in headcount to support the growth of the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general and administrative expenses were $8.5 million and $25.9 million for the three and nine months ended September 30, 2020, respectively, a decrease of 4% and 1% compared to the same periods in 2019, respectively. As a percentage of revenues, selling, general and administrative expenses were 4.3% and 4.6% for the three and nine months ended September 30, 2020, respectively, compared to 4.6% and 4.8% for the same periods in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expense primarily represents depreciation of POS terminals we install in retail stores and amortization of acquired intangible assets. Depreciation and amortization expense was $2.1 million and $5.6 million for the three and nine months ended September 30, 2020, respectively, an increase of 36% and 10% compared to the same periods in 2019, respectively. As a percentage of revenues, depreciation and amortization expense was 1.1% and 1.0% for the three and nine months ended September 30, 2020, respectively, compared to 0.8% and 0.9% for the three and nine months ended September 30, 2019,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epay Segment operating income for the three and nine months ended September 30, 2020 was $22.2 million and $56.7 million, respectively, an increase of $2.2 million or 11% and $1.1 million or 2% compared to the same periods in 2019, respectively. Operating margin was 11.2% and 10.1% for the three and nine months ended September 30, 2020, respectively, compared to 10.5% and 10.1% for the same periods in 2019, respectively. Operating income per transaction decreased to $0.03 for both the three and nine months ended September 30, 2020 from $0.05 for the same periods in 2019, driven by transactions processed in a region where we generally earn lower revenues per transaction. The increases in operating income and operating margin for the three months ended September 30, 2020 compared to the same period in 2019 were primarily due to an increase in the portion of higher-margin digital media transactions. The increase in operating income for the nine months ended September 30, 2020 compared to the same period in 2019 was primarily due to the increase in transaction volume.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2020 and 2019 for the Money Transfer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4"/>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6"/>
              <w:spacing w:after="0" w:line="155"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3"/>
                <w:szCs w:val="13"/>
                <w:color w:val="auto"/>
              </w:rPr>
            </w:pPr>
          </w:p>
        </w:tc>
        <w:tc>
          <w:tcPr>
            <w:tcW w:w="110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3"/>
                <w:szCs w:val="13"/>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323,092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280,837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852,189</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814,201</w:t>
            </w: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464,216</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435,901</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154,958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155,424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Goodwill and acquired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gridSpan w:val="2"/>
          </w:tcPr>
          <w:p>
            <w:pPr>
              <w:ind w:left="340"/>
              <w:spacing w:after="0"/>
              <w:rPr>
                <w:sz w:val="20"/>
                <w:szCs w:val="20"/>
                <w:color w:val="auto"/>
              </w:rPr>
            </w:pPr>
            <w:r>
              <w:rPr>
                <w:rFonts w:ascii="Arial" w:cs="Arial" w:eastAsia="Arial" w:hAnsi="Arial"/>
                <w:sz w:val="18"/>
                <w:szCs w:val="18"/>
                <w:color w:val="auto"/>
                <w:w w:val="99"/>
              </w:rPr>
              <w:t>intangible assets impairment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2"/>
                <w:szCs w:val="22"/>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84,160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84,160</w:t>
            </w:r>
          </w:p>
        </w:tc>
        <w:tc>
          <w:tcPr>
            <w:tcW w:w="40" w:type="dxa"/>
            <w:vAlign w:val="bottom"/>
          </w:tcPr>
          <w:p>
            <w:pPr>
              <w:spacing w:after="0"/>
              <w:rPr>
                <w:sz w:val="22"/>
                <w:szCs w:val="22"/>
                <w:color w:val="auto"/>
              </w:rPr>
            </w:pPr>
          </w:p>
        </w:tc>
        <w:tc>
          <w:tcPr>
            <w:tcW w:w="1020" w:type="dxa"/>
            <w:vAlign w:val="bottom"/>
          </w:tcPr>
          <w:p>
            <w:pPr>
              <w:jc w:val="right"/>
              <w:ind w:right="8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6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30,277</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837,482</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712,433</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125,049</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101,768</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2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Money Transfer Segment total revenues for the three and nine months ended September 30, 2020 were $323.1 million and $852.2 million, respectively, an increase of $42.3 million or 15% and $38.0 million or 5% compared to the same periods in 2019, respectively. The increase in revenues for the three and nine months ended September 30, 2020 compared to the same periods in 2019 was primarily due to increases in U.S. outbound and international-originated money transfers, partially offset by decreases in the U.S. domestic business. Revenues per transaction increased to $10.46 and $10.13 for the three and nine months ended September 30, 2020, respectively, from $9.58 and $9.60 for the same periods in 2019, respectively. Foreign currency movements increased total revenues by approximately $5.7 million and $1.2 million for the three and nine months ended September 30, 2020, respectively, compared to the same periods in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Money Transfer Segment direct operating costs were $176.7 million and $464.2 million for the three and nine months ended September 30, 2020, respectively, an increase of $27.1 million or 18% and $28.3 million or 6% compared to the same periods in 2019, respectively.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for the three and nine months ended September 30, 2020 was primarily due the increase in the number of U.S. outbound and international-originated money transfer transactions and the impact of the U.S. dollar weakening against key foreign currencies. Foreign currency movements increased direct operating costs for the three and nine months ended September 30, 2020 by approximately $3.1 million and $0.7 million, respectively, compared to the same periods in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Gross profit was $146.4 million and $388.0 million for the three and nine months ended September 30, 2020, respectively, compared to $131.2</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million and $378.3 million for the three and nine months ended September 30, 2019, respectively. The increase in gross profit for the three and nine months ended September 30, 2020 compared to the same periods in 2019 was primarily due to increases in U.S. outbound and international-originated money transfers. Gross margin decreased to 45.3% and 45.5% for the three and nine months ended September 30, 2020, respectively, compared to 46.7% and 46.5% for the same periods in 2019, respectively.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Salaries and benefits expense increased $0.5 million or 1% and decreased $0.5 million for the three and nine months ended September 30, 2020, respectively, compared to the same periods in 2019. As a percentage of revenues, salaries and benefits were 16.1% and 18.2% for the three and nine months ended September 30, 2020, respectively, compared to 18.4% and 19.1% for the same periods in 2019, respectively. The increase in salaries and benefits for the three months ended September 30, 2020 compared to the same period in 2019 was primarily driven by an increase in headcount to support the growth of the business, partially offset by a decrease in bonus expense. The decrease in salaries and benefits for the nine months ended September 30, 2020 compared to the same period in 2019 was primarily driven by a decrease in bonus expense, partially offset by an increase in headcount to support the growth of the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were $36.6 million and $108.4 million for the three and nine months ended September 30, 2020, respectively, an increase of 2% and 12% compared to the same periods in 2019, respectively. The increase was primarily due to expenses incurred to support the growth of our money transfer services, the expansion of new products in both the U.S. and foreign markets, and an increase in additional charges taken to cover anticipated agent receivable defaults as a result of government ordered business closures required to manage the COVID-19 pandemic. As a percentage of revenues, selling, general and administrative expenses were 11.3% and 12.7% for the three and nine months ended September 30, 2020, respectively, compared to 12.8% and 11.9% for the same periods in 2019,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 During the third quarter of 2020, a $1.5 million non-cash acquired intangible asset impairment charge was recorded for xe on previously acquired customer relationship intangible assets due to the discontinuation of trading with certain customers during the quarter.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Depreciation and amortization expense increased $0.5 million or 6% and $1.3 million or 6% for the three and nine months ended September 30, 2020, respectively, compared to the same periods in 2019. Depreciation and amortization primarily represent amortization of acquired intangible assets and depreciation of money transfer terminals, computers and software, leasehold improvements and office equipment. As a percentage of revenues, depreciation and amortization expense was 2.7% and 3.0% for the three and nine months ended September 30, 2020, respectively, compared to 2.9% and 3.0% for the same periods in 2019,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Money Transfer Segment operating income for the three and nine months ended September 30, 2020 was $47.6 million and $14.7 million, respectively, an increase of $12.0 million or 34% and a decrease of $87.1 million or 86% compared to the operating income in the same periods of 2019, respectively. As a percentage of revenues, operating income was 14.7% and 1.7% for the three and nine months ended September 30, 2020, respectively, compared</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to 12.7% and 12.5% for the same periods in 2019, respectively. The increases in operating income and operating margin for the three months ended September 30, 2020 compared to the same period in 2019 were primarily driven by the increase in transaction volume, specifically the higher margin transactions for U.S. outbound and international-originated money transfers, partially offset by a non-cash acquired intangible asset impairment charge. The decreases in operating income and operating margin for the nine months ended September 30, 2020 compared to the same period in 2019 were primarily driven by the non-cash goodwill impairment charge and the increase in selling, general and administrative expenses incurred to support the expansion of new products and markets and COVID-19 pandemic related anticipated agent receivables default charges, partially offset by increases in higher margin transactions for U.S. outbound and international-originated money transfers during the third quarter of 2020. Operating income per transaction</w:t>
      </w:r>
    </w:p>
    <w:p>
      <w:pPr>
        <w:spacing w:after="0" w:line="4"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was $1.54 and $0.17 for the three and nine months ended September 30, 2020, respectively, compared to $1.22 and $1.20 for the same periods in 2019, respectively.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2020 and 2019 for Corporate Services: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23,253</w:t>
            </w:r>
          </w:p>
        </w:tc>
        <w:tc>
          <w:tcPr>
            <w:tcW w:w="6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27,630</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29,561</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Overall, operating expenses for Corporate Services decreased 21% and 12% for the three and nine months ended September 30, 2020 compared to the same periods in 2019, respectively. The decrease is primarily due to the decrease in salaries and benefits driven by decreases in bonus expense and share based compensation.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Year-over-Year Change</w:t>
            </w:r>
          </w:p>
        </w:tc>
        <w:tc>
          <w:tcPr>
            <w:tcW w:w="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5"/>
                <w:szCs w:val="15"/>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5"/>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26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(27,594)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(27,321)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Foreign currency exchange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2600" w:type="dxa"/>
            <w:vAlign w:val="bottom"/>
            <w:gridSpan w:val="2"/>
          </w:tcPr>
          <w:p>
            <w:pPr>
              <w:spacing w:after="0"/>
              <w:rPr>
                <w:sz w:val="20"/>
                <w:szCs w:val="20"/>
                <w:color w:val="auto"/>
              </w:rPr>
            </w:pPr>
            <w:r>
              <w:rPr>
                <w:rFonts w:ascii="Arial" w:cs="Arial" w:eastAsia="Arial" w:hAnsi="Arial"/>
                <w:sz w:val="18"/>
                <w:szCs w:val="18"/>
                <w:color w:val="auto"/>
              </w:rPr>
              <w:t>Loss on early extinguishment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(9,831)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9,831</w:t>
            </w:r>
          </w:p>
        </w:tc>
        <w:tc>
          <w:tcPr>
            <w:tcW w:w="40" w:type="dxa"/>
            <w:vAlign w:val="bottom"/>
          </w:tcPr>
          <w:p>
            <w:pPr>
              <w:spacing w:after="0"/>
              <w:rPr>
                <w:sz w:val="22"/>
                <w:szCs w:val="22"/>
                <w:color w:val="auto"/>
              </w:rPr>
            </w:pPr>
          </w:p>
        </w:tc>
        <w:tc>
          <w:tcPr>
            <w:tcW w:w="1020" w:type="dxa"/>
            <w:vAlign w:val="bottom"/>
          </w:tcPr>
          <w:p>
            <w:pPr>
              <w:jc w:val="right"/>
              <w:ind w:right="8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(losses)</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260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(43,678)</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(43,612)</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income decreased $0.4 million and $0.6 million for the three and nine months ended September 30, 2020, respectively, compared to the same periods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increased $0.4 million and $0.3 million for the three and nine months ended September 30, 2020, respectively, compared to the same periods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5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recorded a net foreign currency exchange loss of $1.4 million and $17.7 million for the three and nine months ended September 30, 2020, respectively compared to $11.0 million and $7.9 million for the same periods in 2019, respectively. These realized and unrealized foreign currency exchange losses reflect the fluctuation in the value of the U.S. dollar against the currencies of the countries in which we operated during the respective periods.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Company's effective income tax rate was 27.2% and (55.9)% for the three and nine months ended </w:t>
      </w:r>
      <w:r>
        <w:rPr>
          <w:rFonts w:ascii="Arial" w:cs="Arial" w:eastAsia="Arial" w:hAnsi="Arial"/>
          <w:sz w:val="17"/>
          <w:szCs w:val="17"/>
          <w:color w:val="252525"/>
        </w:rPr>
        <w:t>September 30, 2020</w:t>
      </w:r>
      <w:r>
        <w:rPr>
          <w:rFonts w:ascii="Arial" w:cs="Arial" w:eastAsia="Arial" w:hAnsi="Arial"/>
          <w:sz w:val="17"/>
          <w:szCs w:val="17"/>
          <w:color w:val="auto"/>
        </w:rPr>
        <w:t xml:space="preserve">, respectively, compared to 21.2% and 26.0% for the three and nine months ended </w:t>
      </w:r>
      <w:r>
        <w:rPr>
          <w:rFonts w:ascii="Arial" w:cs="Arial" w:eastAsia="Arial" w:hAnsi="Arial"/>
          <w:sz w:val="17"/>
          <w:szCs w:val="17"/>
          <w:color w:val="252525"/>
        </w:rPr>
        <w:t>September 30, 2019</w:t>
      </w:r>
      <w:r>
        <w:rPr>
          <w:rFonts w:ascii="Arial" w:cs="Arial" w:eastAsia="Arial" w:hAnsi="Arial"/>
          <w:sz w:val="17"/>
          <w:szCs w:val="17"/>
          <w:color w:val="auto"/>
        </w:rPr>
        <w:t xml:space="preserve">, respectively. The Company's effective income tax rate for the three and nine months ended </w:t>
      </w:r>
      <w:r>
        <w:rPr>
          <w:rFonts w:ascii="Arial" w:cs="Arial" w:eastAsia="Arial" w:hAnsi="Arial"/>
          <w:sz w:val="17"/>
          <w:szCs w:val="17"/>
          <w:color w:val="252525"/>
        </w:rPr>
        <w:t>September 30, 2020</w:t>
      </w:r>
      <w:r>
        <w:rPr>
          <w:rFonts w:ascii="Arial" w:cs="Arial" w:eastAsia="Arial" w:hAnsi="Arial"/>
          <w:sz w:val="17"/>
          <w:szCs w:val="17"/>
          <w:color w:val="auto"/>
        </w:rPr>
        <w:t xml:space="preserve"> was higher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and second quarter of 2020 for net operating losses in those jurisdictions which have a limited history of profitable earnings. The Company's effective income tax rate for the three and nine months ended September 30, 2019 was higher than the applicable statutory income tax rate of 21% largely because of the application to the Company of the global intangible low-taxed income ("GILTI") tax provision and certain foreign earnings of the Company being subject to higher local statutory income tax rates.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income attributable to Euronet was $40.2 million for the three months ended September 30, 2020 and the net loss attributable to Euronet was $73.6 million for the nine months ended September 30, 2020, a decrease of $97.4 million and $313.9 million, respectively, compared to the net income in the same periods in 2019. The decrease in net income for the three months ended September 30, 2020 compared to the same period in 2019 was primarily attributable to the $122.6 million decrease in revenues, partially offset by a decrease in net foreign currency exchange losses of $9.6 million and a decrease in income tax expense of $21.9 million. The increase in net loss for the nine months ended September 30, 2020 compared to the net income for the same period in 2019 was primarily attributable to the $280.3 million decrease in revenues, $106.0 million non-cash goodwill and acquired intangible assets impairment charges, and $9.8 million increase in net foreign currency exchange losses, partially offset by a $9.8 million decrease in loss on early retirement of debt and a decrease in income tax expense of $57.8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September 30, 2020, we had working capital of $1,216.8 million, which is calculated as the difference between total current assets and total current liabilities, compared to working capital of $1,284.8 million as of December 31, 2019. The decrease in working capital is primarily due to $239.8 million of share repurchases during the first quarter of 2020, partially offset by operating results for the nine months ended September 30, 2020. Our ratio of current assets to current liabilities was 1.85 and 1.79 at September 30, 2020 and December 31, 2019, respectively.</w:t>
      </w:r>
    </w:p>
    <w:p>
      <w:pPr>
        <w:spacing w:after="0" w:line="6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September 30, 2020, we had $409.7 million of our own cash in use or designated for use in our ATM network, which is recorded in ATM cash on Euronet's Consolidated Balance Sheet. ATM cash decreased $256.0 million from $665.6 million as of December 31, 2019 to $409.7 million as of September 30, 2020 as a result of the reduction in number of active ATMs as of September 30, 2020 compared to December 31, 2019.</w:t>
      </w:r>
    </w:p>
    <w:p>
      <w:pPr>
        <w:spacing w:after="0" w:line="60"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Company has $1,008.2 million of unrestricted cash as of September 30, 2020 compared to $786.1 million as of December 31, 2019. The increase in cash is primarily due to the transfer of ATM cash to unrestricted cash and cash generated from operations, partially offset by $239.8 million in share repurchases during the first quarter of 2020. Including the $409.7 million of cash in ATMs at September 30, 2020, the Company has access to</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$1,417.9 million in available cash, and $953.1 million available under the credit facility with no significant long-term debt principal payments until March 2025.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nine months ended September 30, 2020 and 2019 (in thousands):</w:t>
      </w:r>
    </w:p>
    <w:p>
      <w:pPr>
        <w:spacing w:after="0" w:line="117"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5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220,416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364,379</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(104,401)</w:t>
            </w: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461,632</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(57,807)</w:t>
            </w:r>
          </w:p>
        </w:tc>
      </w:tr>
      <w:tr>
        <w:trPr>
          <w:trHeight w:val="257"/>
        </w:trPr>
        <w:tc>
          <w:tcPr>
            <w:tcW w:w="850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 and restricted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663,803</w:t>
            </w:r>
          </w:p>
        </w:tc>
      </w:tr>
      <w:tr>
        <w:trPr>
          <w:trHeight w:val="20"/>
        </w:trPr>
        <w:tc>
          <w:tcPr>
            <w:tcW w:w="8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flows provided by operating activities were $220.4 million for the nine months ended September 30, 2020 compared to $364.4 million for the same period in 2019. The decrease in operating cash flows was primarily due to the decrease in net income, partially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used in investing activities were $77.1 million for nine months ended September 30, 2020 compared to $104.4 million for the same period</w:t>
      </w:r>
    </w:p>
    <w:p>
      <w:pPr>
        <w:spacing w:after="0" w:line="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2019. We used $71.4 million for purchases of property and equipment for the nine months ended September 30, 2020 compared to $100.4 million for the same period in 2019. The decrease in purchases of property and equipment is primarily driven by the COVID-19 related impacts to the EFT segment. Cash used for software development and other investing activities totaled $5.7 million and $4.0 million for the nine months ended September 30, 2020 and 2019,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Cash flows used in financing activities were $244.1 million for the nine months ended September 30, 2020 compared to cash flows provided by financing activities of $461.6 million for the same period in 2019. Our borrowing activities for the nine months ended September 30, 2020 consisted of cash outflows of $5.0 million compared to net borrowings of $514.2 million for the same period in 2019. The decrease in net borrowings for the nine months ended September 30, 2020 compared to the same period in 2019 was the result of the issuance of $1,194.9 million of Convertible Notes and Senior Notes during the nine months ended September 30, 2019 which were used to fund the operating cash of our IAD networks, repay revolving credit facility borrowings and repurchase a portion of existing convertible notes. We repurchased $240.8 million and $37.3 million of our common stock during the nine months ended September 30, 2020 and 2019, respectively. Of the $240.8 million repurchased shares, $239.8 million of Euronet Common Stock was repurchased under our repurchase program. We received proceeds of $6.6 million and $8.3 million during the nine months ended September 30, 2020 and 2019, respectively, for the issuance of stock in connection with our Stock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As of September 30, 2020, fees and interest on borrowings are based upon the Company's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41" w:lineRule="exact"/>
        <w:rPr>
          <w:sz w:val="20"/>
          <w:szCs w:val="20"/>
          <w:color w:val="auto"/>
        </w:rPr>
      </w:pPr>
    </w:p>
    <w:p>
      <w:pPr>
        <w:ind w:right="1300"/>
        <w:spacing w:after="0" w:line="266" w:lineRule="auto"/>
        <w:rPr>
          <w:sz w:val="20"/>
          <w:szCs w:val="20"/>
          <w:color w:val="auto"/>
        </w:rPr>
      </w:pPr>
      <w:r>
        <w:rPr>
          <w:rFonts w:ascii="Arial" w:cs="Arial" w:eastAsia="Arial" w:hAnsi="Arial"/>
          <w:sz w:val="18"/>
          <w:szCs w:val="18"/>
          <w:color w:val="auto"/>
        </w:rPr>
        <w:t>As of September 30, 2020, we had no borrowings and $46.9 million of stand-by letters of credit outstanding under the Credit Facility. The remaining $953.1 million under the Credit Facility was available for borrowing.</w:t>
      </w: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Uncommitted Line of Credit</w:t>
      </w:r>
      <w:r>
        <w:rPr>
          <w:rFonts w:ascii="Arial" w:cs="Arial" w:eastAsia="Arial" w:hAnsi="Arial"/>
          <w:sz w:val="17"/>
          <w:szCs w:val="17"/>
          <w:color w:val="auto"/>
        </w:rPr>
        <w:t xml:space="preserve"> - On September 4, 2019, the Company entered into an Uncommitted Loan Agreement with Bank of America which</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provided Euronet up to $100.0 million under an uncommitted line of credit. Interest on borrowings was equal to LIBOR plus 0.65% and the agreement was set to expire September 4, 2020. During the three months ended June 30, 2020, the Company and Bank of America mutually agreed to terminate the Uncommitted Loan Agreement.</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8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For the Retired Convertible Notes, in accordance with ASC 470, the Company recognized a loss of $9.8 million on the conversion and redemption of the debt during the first half of 2019, representing the difference between the fair value of the Retired Convertible Notes converted and the carrying value of the bonds at the time of conversion.</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xml:space="preserve"> - 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September 30, 2020, the Company has outstanding €600 million ($703.2 million) principal amount of the Senior Notes. In addition, the Company may redeem some or all of these notes on or after February 22, 2026 at their principal amount plus any accrued and unpaid interest.</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$0.9 million and $6.2 million outstanding under these other obligation arrangements as of September 30, 2020 and December 31,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nine months ended September 30, 2020 were $71.4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2020 are currently estimated to range from approximately $100 million to $105 million. The Company has reduced estimated capital expenditures for 2020 due to the COVID-19 pandemic.</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Company's Board of Directors had authorized a stock repurchase program allowing Euronet to repurchase up to $375 million in value or 10.0 million shares of stock through March 31, 2020. The Company has repurchased all $375 million of stock under this program. On March 11, 2019, in connection with the issuance of the Convertible Notes, the Board of Directors authorized an additional repurchase program of $120 million in value of the Company's common stock through March 11, 2021. The Company has repurchased $110.6 million of stock under this program. On February 26, 2020, the Company put a repurchase program in place to repurchase up to $250 million in value, but not more than 5.0 million shares of common stock through February 28, 2022. For the nine months ended September 30, 2020, the Company repurchased 2.1 million shares under the repurchase programs at a weighted average purchase price of $114.41 for a total value of $239.8 million. Repurchases under either of the current programs may take place in the open market or in privately negotiated transactions, including derivative transactions, and may be made under a Rule 10b5-1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2020, there were no material changes from the disclosure in our Annual Report on Form 10-K for the year ended December 31, 2019. To date, we are not aware of any significant claims made by the indemnified parties or parties to whom we have provided guarantees on behalf of our subsidiaries and, accordingly, no liabilities have been recorded as of September 30, 2020. See also Note 13,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September 30, 2020, there have been no material changes outside the ordinary course of business in our future contractual obligations from the amounts reported within our Annual Report on Form 10-K for the year ended December 31, 2019, other than those resulting from changes in the amount of debt outstanding discussed in the Liquidity and Capital Resources section.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8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September 30, 2020, our total debt outstanding, excluding unamortized debt issuance costs, was $1,152.5 million. Of this amount, $448.3 million, net of debt discounts, or 39%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September 30, 2020, the fair value of our fixed rate Convertible Notes was $642.6 million, compared to a carrying value of $448.3 million. Interest expense for the Convertible Notes, including accretion and amortization of deferred debt issuance costs, has a weighted average interest rate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4.4% annually. Further, as of September 30, 2020 we had no borrowings under our Credit Facility. Additionally, $703.2 million, or 61% of our total debt obligations, relates to Senior Notes having a fixed coupon rate. Our €600 million outstanding principal amount of Senior Notes accrue cash interest at a rate of 1.375% of the principal per annum. Based on quoted market prices, as of September 30, 2020, the fair value of our fixed rate Senior Notes was $687.8 million, compared to a carrying value of $703.2 million. The remaining $0.9 million, or 0.1% of our total debt obligations, is related to borrowings by certain subsidiaries to fund, from time to time, working capital requirements. These arrangements generally are due within one year and accrue interest at variable rates.</w:t>
      </w:r>
    </w:p>
    <w:p>
      <w:pPr>
        <w:spacing w:after="0" w:line="8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nine months ended September 30, 2020, approximately 70% and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w:t>
      </w:r>
    </w:p>
    <w:p>
      <w:pPr>
        <w:jc w:val="both"/>
        <w:ind w:right="20"/>
        <w:spacing w:after="0" w:line="253" w:lineRule="auto"/>
        <w:rPr>
          <w:sz w:val="20"/>
          <w:szCs w:val="20"/>
          <w:color w:val="auto"/>
        </w:rPr>
      </w:pPr>
      <w:r>
        <w:rPr>
          <w:rFonts w:ascii="Arial" w:cs="Arial" w:eastAsia="Arial" w:hAnsi="Arial"/>
          <w:sz w:val="18"/>
          <w:szCs w:val="18"/>
          <w:color w:val="auto"/>
        </w:rPr>
        <w:t>of September 30, 2020, we estimate that a 10% fluctuation in these foreign currency exchange rates would have the combined annualized effect on reported net income and working capital of approximately $95 million to $100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$105 million to $110 million as a result of the change in value of these items during translation to the U.S. dollar. For the fluctuations described above, a strengthening U.S. dollar produces a financial loss, while a weakening U.S. dollar produces a financial gain.</w:t>
      </w:r>
    </w:p>
    <w:p>
      <w:pPr>
        <w:spacing w:after="0" w:line="5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6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September 30, 2020, we had foreign currency derivative contracts outstanding with a notional value of $180 million, primarily in Australian dollars, British pounds, Canadian dollars, euros and Mexican pesos, that were not designated as hedges and mature within a few days.</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of September 30, 2020, we held foreign currency derivative contracts outstanding with a notional value of $1.3 billion, primarily in U.S. dollars, euros, British pounds, Australian dollars and New Zealand dollars, that were not designated as hedges and for which the majority mature within the next twelve months.</w:t>
      </w:r>
    </w:p>
    <w:p>
      <w:pPr>
        <w:spacing w:after="0" w:line="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September 30, 2020, the Company had foreign currency forward contracts outstanding with a notional value of $213 million, primarily in euros.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9,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2020 that has materially affected, or is reasonably likely to materially affect, our internal control over financial reporting.</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14, Litigation and Contingencies, to the unaudited consolidated financial statements in this report is incorporated herein by reference.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December 31, 2019 and our Quarterly Report on Form 10-Q for the quarters ended March 31, 2020 and June 30, 2020 </w:t>
      </w:r>
      <w:r>
        <w:rPr>
          <w:rFonts w:ascii="Arial" w:cs="Arial" w:eastAsia="Arial" w:hAnsi="Arial"/>
          <w:sz w:val="18"/>
          <w:szCs w:val="18"/>
          <w:color w:val="000000"/>
        </w:rPr>
        <w:t>as filed with the SEC.</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September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380" w:type="dxa"/>
            <w:vAlign w:val="bottom"/>
          </w:tcPr>
          <w:p>
            <w:pPr>
              <w:jc w:val="center"/>
              <w:ind w:right="4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Shares Purchased as</w:t>
            </w:r>
          </w:p>
        </w:tc>
        <w:tc>
          <w:tcPr>
            <w:tcW w:w="220" w:type="dxa"/>
            <w:vAlign w:val="bottom"/>
          </w:tcPr>
          <w:p>
            <w:pPr>
              <w:spacing w:after="0"/>
              <w:rPr>
                <w:sz w:val="12"/>
                <w:szCs w:val="12"/>
                <w:color w:val="auto"/>
              </w:rPr>
            </w:pPr>
          </w:p>
        </w:tc>
        <w:tc>
          <w:tcPr>
            <w:tcW w:w="13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60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6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Announced Plans or</w:t>
            </w:r>
          </w:p>
        </w:tc>
        <w:tc>
          <w:tcPr>
            <w:tcW w:w="220" w:type="dxa"/>
            <w:vAlign w:val="bottom"/>
          </w:tcPr>
          <w:p>
            <w:pPr>
              <w:spacing w:after="0"/>
              <w:rPr>
                <w:sz w:val="12"/>
                <w:szCs w:val="12"/>
                <w:color w:val="auto"/>
              </w:rPr>
            </w:pPr>
          </w:p>
        </w:tc>
        <w:tc>
          <w:tcPr>
            <w:tcW w:w="13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6"/>
                <w:szCs w:val="16"/>
                <w:color w:val="auto"/>
              </w:rPr>
            </w:pPr>
          </w:p>
        </w:tc>
        <w:tc>
          <w:tcPr>
            <w:tcW w:w="138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31, 2020</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August 1 - August 31, 2020</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 September 30, 2020</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259,362</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120" w:firstLine="8"/>
        <w:spacing w:after="0" w:line="25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March 11, 2019, in connection with the issuance of the Convertible Notes, the Board of Directors authorized a repurchase program of $120 million in value of Euronet’s common stock through March 11, 2021. Euronet has repurchased $110.6 million of stock under this program. On February 26, 2020, the Company put a repurchase program in place to repurchase up to $250 million in value, but not more than 5.0 million shares of common stock through February 28, 2022. Repurchases under either program may take place in the open market or in privately negotiated transactions, including derivative transactions, and may be made under a Rule 10b5-1 plan.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920" w:type="dxa"/>
            <w:vAlign w:val="bottom"/>
            <w:gridSpan w:val="3"/>
          </w:tcPr>
          <w:p>
            <w:pPr>
              <w:ind w:left="150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4"/>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Letter Amendment No. 2 dated as of September 17, 2020 to the Credit Agreement dated as of October 17, 2018, as amended by Letter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Amendment No. 1 dated as of August 26, 2019 (filed as Exhibit 10.1 to the Company's Current Report on Form 8-K filed on September 18,</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2020 and incorporated herein by reference).</w:t>
              </w:r>
            </w:hyperlink>
          </w:p>
        </w:tc>
        <w:tc>
          <w:tcPr>
            <w:tcW w:w="6920" w:type="dxa"/>
            <w:vAlign w:val="bottom"/>
            <w:gridSpan w:val="3"/>
          </w:tcPr>
          <w:p>
            <w:pPr>
              <w:spacing w:after="0"/>
              <w:rPr>
                <w:sz w:val="17"/>
                <w:szCs w:val="17"/>
                <w:color w:val="auto"/>
              </w:rPr>
            </w:pPr>
          </w:p>
        </w:tc>
      </w:tr>
      <w:tr>
        <w:trPr>
          <w:trHeight w:val="291"/>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Section 302 — Certification of Chief Executive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Section 302 — Certification of Chief Financial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Section 906 — Certification of Chief Executive Officer</w:t>
              </w:r>
            </w:hyperlink>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Section 906 — Certification of Chief Financial Officer</w:t>
              </w:r>
            </w:hyperlink>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7"/>
              </w:rPr>
              <w:t>The following materials from Euronet Worldwide, Inc.’s Quarterly Report on Form 10-Q for the quarter ended September 30, 2020,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Consolidated Balance Sheets at September 30, 2020 (unaudited)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3"/>
              </w:rPr>
              <w:t>December 31, 2019, (ii) Consolidated Statements of Income (unaudited) for the three and nine months ended September 30, 2020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0"/>
              </w:rPr>
              <w:t>2019, (iii) Consolidated Statements of Comprehensive Income (Loss) (unaudited) for the three and nine months ended September 30, 2020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3"/>
              </w:rPr>
              <w:t>and 2019, (iv) Consolidated Statements of Changes in Equity (unaudited) for the three and nine months ended September 30, 2020 and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2"/>
              </w:rPr>
              <w:t>2019 (v) Consolidated Statements of Cash Flows (unaudited) for the nine months ended September 30, 2020 and 2019, and (vi) Notes to</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the Unaudited Consolidated Financial 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November 2,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81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0280"/>
          </w:cols>
          <w:pgMar w:left="320" w:top="125" w:right="12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1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right="100" w:hanging="972"/>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972"/>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972"/>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980" w:right="120" w:hanging="972"/>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righ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hanging="972"/>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40" w:hanging="97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right="100" w:hanging="972"/>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972"/>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972"/>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20" w:hanging="972"/>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righ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hanging="972"/>
        <w:spacing w:after="0" w:line="308"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40" w:hanging="97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2020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November 2, 2020</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2020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November 2,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emdash "/>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25" Type="http://schemas.openxmlformats.org/officeDocument/2006/relationships/hyperlink" Target="http://www.sec.gov/Archives/edgar/data/1029199/000121390020027363/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2020-11-02T15:59:00Z</dcterms:created>
  <dcterms:modified xsi:type="dcterms:W3CDTF">2020-11-02T15:59:00Z</dcterms:modified>
</cp:coreProperties>
</file>