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160020</wp:posOffset>
            </wp:positionV>
            <wp:extent cx="985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60325</wp:posOffset>
            </wp:positionV>
            <wp:extent cx="98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344"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3200" w:hanging="857"/>
        <w:spacing w:after="0"/>
        <w:tabs>
          <w:tab w:leader="none" w:pos="32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w:t>
      </w:r>
    </w:p>
    <w:p>
      <w:pPr>
        <w:spacing w:after="0" w:line="40" w:lineRule="exact"/>
        <w:rPr>
          <w:rFonts w:ascii="MS PGothic" w:cs="MS PGothic" w:eastAsia="MS PGothic" w:hAnsi="MS PGothic"/>
          <w:sz w:val="17"/>
          <w:szCs w:val="17"/>
          <w:color w:val="auto"/>
        </w:rPr>
      </w:pPr>
    </w:p>
    <w:p>
      <w:pPr>
        <w:ind w:left="38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THE SECURITIES EXCHANGE ACT OF 1934</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3160" w:hanging="839"/>
        <w:spacing w:after="0"/>
        <w:tabs>
          <w:tab w:leader="none" w:pos="31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w:t>
      </w:r>
    </w:p>
    <w:p>
      <w:pPr>
        <w:spacing w:after="0" w:line="40" w:lineRule="exact"/>
        <w:rPr>
          <w:rFonts w:ascii="MS PGothic" w:cs="MS PGothic" w:eastAsia="MS PGothic" w:hAnsi="MS PGothic"/>
          <w:sz w:val="17"/>
          <w:szCs w:val="17"/>
          <w:color w:val="auto"/>
        </w:rPr>
      </w:pPr>
    </w:p>
    <w:p>
      <w:pPr>
        <w:ind w:left="370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OF THE SECURITIES EXCHANGE ACT OF 1934</w:t>
      </w:r>
    </w:p>
    <w:p>
      <w:pPr>
        <w:sectPr>
          <w:pgSz w:w="11900" w:h="16838" w:orient="portrait"/>
          <w:cols w:equalWidth="0" w:num="1">
            <w:col w:w="11260"/>
          </w:cols>
          <w:pgMar w:left="320" w:top="796" w:right="319" w:bottom="1440" w:gutter="0" w:footer="0" w:header="0"/>
        </w:sectPr>
      </w:pPr>
    </w:p>
    <w:p>
      <w:pPr>
        <w:spacing w:after="0" w:line="43"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234" w:lineRule="exact"/>
        <w:rPr>
          <w:sz w:val="24"/>
          <w:szCs w:val="24"/>
          <w:color w:val="auto"/>
        </w:rPr>
      </w:pPr>
    </w:p>
    <w:p>
      <w:pPr>
        <w:sectPr>
          <w:pgSz w:w="11900" w:h="16838" w:orient="portrait"/>
          <w:cols w:equalWidth="0" w:num="2">
            <w:col w:w="6460" w:space="720"/>
            <w:col w:w="4080"/>
          </w:cols>
          <w:pgMar w:left="320" w:top="796" w:right="31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001-31648</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________________________</w:t>
      </w:r>
    </w:p>
    <w:p>
      <w:pPr>
        <w:sectPr>
          <w:pgSz w:w="11900" w:h="16838" w:orient="portrait"/>
          <w:cols w:equalWidth="0" w:num="1">
            <w:col w:w="11260"/>
          </w:cols>
          <w:pgMar w:left="320" w:top="796" w:right="319" w:bottom="1440" w:gutter="0" w:footer="0" w:header="0"/>
          <w:type w:val="continuous"/>
        </w:sectPr>
      </w:pPr>
    </w:p>
    <w:p>
      <w:pPr>
        <w:spacing w:after="0" w:line="23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74-2806888</w:t>
      </w:r>
    </w:p>
    <w:p>
      <w:pPr>
        <w:spacing w:after="0" w:line="86" w:lineRule="exact"/>
        <w:rPr>
          <w:sz w:val="24"/>
          <w:szCs w:val="24"/>
          <w:color w:val="auto"/>
        </w:rPr>
      </w:pPr>
    </w:p>
    <w:p>
      <w:pPr>
        <w:sectPr>
          <w:pgSz w:w="11900" w:h="16838" w:orient="portrait"/>
          <w:cols w:equalWidth="0" w:num="2">
            <w:col w:w="7280" w:space="720"/>
            <w:col w:w="3260"/>
          </w:cols>
          <w:pgMar w:left="320" w:top="796" w:right="319" w:bottom="1440" w:gutter="0" w:footer="0" w:header="0"/>
          <w:type w:val="continuous"/>
        </w:sectPr>
      </w:pPr>
    </w:p>
    <w:p>
      <w:pPr>
        <w:ind w:left="5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86" w:lineRule="exact"/>
        <w:rPr>
          <w:sz w:val="24"/>
          <w:szCs w:val="24"/>
          <w:color w:val="auto"/>
        </w:rPr>
      </w:pPr>
    </w:p>
    <w:p>
      <w:pPr>
        <w:sectPr>
          <w:pgSz w:w="11900" w:h="16838" w:orient="portrait"/>
          <w:cols w:equalWidth="0" w:num="2">
            <w:col w:w="6340" w:space="720"/>
            <w:col w:w="4200"/>
          </w:cols>
          <w:pgMar w:left="320" w:top="796" w:right="319" w:bottom="1440" w:gutter="0" w:footer="0" w:header="0"/>
          <w:type w:val="continuous"/>
        </w:sectPr>
      </w:pPr>
    </w:p>
    <w:p>
      <w:pPr>
        <w:ind w:left="1080"/>
        <w:spacing w:after="0"/>
        <w:rPr>
          <w:sz w:val="20"/>
          <w:szCs w:val="20"/>
          <w:color w:val="auto"/>
        </w:rPr>
      </w:pPr>
      <w:r>
        <w:rPr>
          <w:rFonts w:ascii="Arial" w:cs="Arial" w:eastAsia="Arial" w:hAnsi="Arial"/>
          <w:sz w:val="16"/>
          <w:szCs w:val="16"/>
          <w:b w:val="1"/>
          <w:bCs w:val="1"/>
          <w:color w:val="auto"/>
        </w:rPr>
        <w:t>11400 Tomahawk Creek Parkway, Suite 300</w:t>
      </w:r>
    </w:p>
    <w:p>
      <w:pPr>
        <w:sectPr>
          <w:pgSz w:w="11900" w:h="16838" w:orient="portrait"/>
          <w:cols w:equalWidth="0" w:num="1">
            <w:col w:w="11260"/>
          </w:cols>
          <w:pgMar w:left="320" w:top="796" w:right="319" w:bottom="1440" w:gutter="0" w:footer="0" w:header="0"/>
          <w:type w:val="continuous"/>
        </w:sectPr>
      </w:pPr>
    </w:p>
    <w:p>
      <w:pPr>
        <w:spacing w:after="0" w:line="86" w:lineRule="exact"/>
        <w:rPr>
          <w:sz w:val="24"/>
          <w:szCs w:val="24"/>
          <w:color w:val="auto"/>
        </w:rPr>
      </w:pPr>
    </w:p>
    <w:p>
      <w:pPr>
        <w:ind w:left="2120"/>
        <w:spacing w:after="0"/>
        <w:rPr>
          <w:sz w:val="20"/>
          <w:szCs w:val="20"/>
          <w:color w:val="auto"/>
        </w:rPr>
      </w:pPr>
      <w:r>
        <w:rPr>
          <w:rFonts w:ascii="Arial" w:cs="Arial" w:eastAsia="Arial" w:hAnsi="Arial"/>
          <w:sz w:val="15"/>
          <w:szCs w:val="15"/>
          <w:b w:val="1"/>
          <w:bCs w:val="1"/>
          <w:color w:val="auto"/>
        </w:rPr>
        <w:t>Leawood, Kansas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66211</w:t>
      </w:r>
    </w:p>
    <w:p>
      <w:pPr>
        <w:spacing w:after="0" w:line="98" w:lineRule="exact"/>
        <w:rPr>
          <w:sz w:val="24"/>
          <w:szCs w:val="24"/>
          <w:color w:val="auto"/>
        </w:rPr>
      </w:pPr>
    </w:p>
    <w:p>
      <w:pPr>
        <w:sectPr>
          <w:pgSz w:w="11900" w:h="16838" w:orient="portrait"/>
          <w:cols w:equalWidth="0" w:num="2">
            <w:col w:w="7500" w:space="720"/>
            <w:col w:w="3040"/>
          </w:cols>
          <w:pgMar w:left="320" w:top="796" w:right="319" w:bottom="1440" w:gutter="0" w:footer="0" w:header="0"/>
          <w:type w:val="continuous"/>
        </w:sectPr>
      </w:pPr>
    </w:p>
    <w:p>
      <w:pPr>
        <w:ind w:left="13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40"/>
          </w:cols>
          <w:pgMar w:left="320" w:top="796" w:right="319" w:bottom="1440" w:gutter="0" w:footer="0" w:header="0"/>
          <w:type w:val="continuous"/>
        </w:sectPr>
      </w:pP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(913)327-4200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940" w:type="dxa"/>
            <w:vAlign w:val="bottom"/>
          </w:tcPr>
          <w:p>
            <w:pPr>
              <w:spacing w:after="0"/>
              <w:rPr>
                <w:sz w:val="17"/>
                <w:szCs w:val="17"/>
                <w:color w:val="auto"/>
              </w:rPr>
            </w:pPr>
          </w:p>
        </w:tc>
        <w:tc>
          <w:tcPr>
            <w:tcW w:w="3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Title of Each Class</w:t>
            </w:r>
          </w:p>
        </w:tc>
        <w:tc>
          <w:tcPr>
            <w:tcW w:w="140" w:type="dxa"/>
            <w:vAlign w:val="bottom"/>
          </w:tcPr>
          <w:p>
            <w:pPr>
              <w:spacing w:after="0"/>
              <w:rPr>
                <w:sz w:val="17"/>
                <w:szCs w:val="17"/>
                <w:color w:val="auto"/>
              </w:rPr>
            </w:pPr>
          </w:p>
        </w:tc>
        <w:tc>
          <w:tcPr>
            <w:tcW w:w="98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89"/>
              </w:rPr>
              <w:t>Symbol(s)</w:t>
            </w:r>
          </w:p>
        </w:tc>
        <w:tc>
          <w:tcPr>
            <w:tcW w:w="740" w:type="dxa"/>
            <w:vAlign w:val="bottom"/>
          </w:tcPr>
          <w:p>
            <w:pPr>
              <w:spacing w:after="0"/>
              <w:rPr>
                <w:sz w:val="17"/>
                <w:szCs w:val="17"/>
                <w:color w:val="auto"/>
              </w:rPr>
            </w:pPr>
          </w:p>
        </w:tc>
        <w:tc>
          <w:tcPr>
            <w:tcW w:w="4300" w:type="dxa"/>
            <w:vAlign w:val="bottom"/>
            <w:gridSpan w:val="2"/>
          </w:tcPr>
          <w:p>
            <w:pPr>
              <w:jc w:val="center"/>
              <w:ind w:right="780"/>
              <w:spacing w:after="0" w:line="196" w:lineRule="exact"/>
              <w:rPr>
                <w:sz w:val="20"/>
                <w:szCs w:val="20"/>
                <w:color w:val="auto"/>
              </w:rPr>
            </w:pPr>
            <w:r>
              <w:rPr>
                <w:rFonts w:ascii="Arial" w:cs="Arial" w:eastAsia="Arial" w:hAnsi="Arial"/>
                <w:sz w:val="18"/>
                <w:szCs w:val="18"/>
                <w:b w:val="1"/>
                <w:bCs w:val="1"/>
                <w:color w:val="auto"/>
                <w:w w:val="89"/>
              </w:rPr>
              <w:t>Name of Each Exchange on Which Registered</w:t>
            </w:r>
          </w:p>
        </w:tc>
      </w:tr>
      <w:tr>
        <w:trPr>
          <w:trHeight w:val="48"/>
        </w:trPr>
        <w:tc>
          <w:tcPr>
            <w:tcW w:w="194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5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5100" w:type="dxa"/>
            <w:vAlign w:val="bottom"/>
            <w:tcBorders>
              <w:left w:val="single" w:sz="8" w:color="auto"/>
              <w:right w:val="single" w:sz="8" w:color="auto"/>
            </w:tcBorders>
            <w:gridSpan w:val="3"/>
          </w:tcPr>
          <w:p>
            <w:pPr>
              <w:ind w:left="19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rPr>
              <w:t>EEFT</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6"/>
        </w:trPr>
        <w:tc>
          <w:tcPr>
            <w:tcW w:w="5100" w:type="dxa"/>
            <w:vAlign w:val="bottom"/>
            <w:tcBorders>
              <w:left w:val="single" w:sz="8" w:color="auto"/>
              <w:right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1.375% Senior Notes due 2026</w:t>
            </w:r>
          </w:p>
        </w:tc>
        <w:tc>
          <w:tcPr>
            <w:tcW w:w="140" w:type="dxa"/>
            <w:vAlign w:val="bottom"/>
          </w:tcPr>
          <w:p>
            <w:pPr>
              <w:spacing w:after="0"/>
              <w:rPr>
                <w:sz w:val="20"/>
                <w:szCs w:val="20"/>
                <w:color w:val="auto"/>
              </w:rPr>
            </w:pPr>
          </w:p>
        </w:tc>
        <w:tc>
          <w:tcPr>
            <w:tcW w:w="9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EEFT26</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7"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51" w:lineRule="exact"/>
        <w:rPr>
          <w:sz w:val="20"/>
          <w:szCs w:val="20"/>
          <w:color w:val="auto"/>
        </w:rPr>
      </w:pPr>
    </w:p>
    <w:p>
      <w:pPr>
        <w:jc w:val="both"/>
        <w:spacing w:after="0" w:line="260"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64" w:lineRule="exact"/>
        <w:rPr>
          <w:sz w:val="20"/>
          <w:szCs w:val="20"/>
          <w:color w:val="auto"/>
        </w:rPr>
      </w:pPr>
    </w:p>
    <w:p>
      <w:pPr>
        <w:jc w:val="both"/>
        <w:spacing w:after="0" w:line="25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the aggregate market value of the voting and non-voting common equity held by non-affiliates of the registrant was approximately $4.7 billion. The aggregate market value was determined based on the closing price of the Common Stock on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2023, the registrant had 49,826,180 shares of Common Stock outstanding.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Proxy Statement for its 2023 Annual Meeting of Stockholders, which will be filed with the Securities and Exchange Commission no later than 120 days after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20" w:type="dxa"/>
            <w:vAlign w:val="bottom"/>
            <w:gridSpan w:val="12"/>
          </w:tcPr>
          <w:p>
            <w:pPr>
              <w:ind w:left="440"/>
              <w:spacing w:after="0"/>
              <w:rPr>
                <w:sz w:val="20"/>
                <w:szCs w:val="20"/>
                <w:color w:val="auto"/>
              </w:rPr>
            </w:pPr>
            <w:r>
              <w:rPr>
                <w:rFonts w:ascii="Arial" w:cs="Arial" w:eastAsia="Arial" w:hAnsi="Arial"/>
                <w:sz w:val="18"/>
                <w:szCs w:val="18"/>
                <w:b w:val="1"/>
                <w:bCs w:val="1"/>
                <w:color w:val="auto"/>
              </w:rPr>
              <w:t>EURONET WORLDWIDE, INC. AND SUBSIDIARIES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40" w:type="dxa"/>
            <w:vAlign w:val="bottom"/>
            <w:gridSpan w:val="9"/>
            <w:shd w:val="clear" w:color="auto" w:fill="CCEEFF"/>
          </w:tcPr>
          <w:p>
            <w:pPr>
              <w:ind w:left="500"/>
              <w:spacing w:after="0"/>
              <w:rPr>
                <w:sz w:val="20"/>
                <w:szCs w:val="20"/>
                <w:color w:val="auto"/>
              </w:rPr>
            </w:pPr>
            <w:r>
              <w:rPr>
                <w:rFonts w:ascii="Arial" w:cs="Arial" w:eastAsia="Arial" w:hAnsi="Arial"/>
                <w:sz w:val="18"/>
                <w:szCs w:val="18"/>
                <w:b w:val="1"/>
                <w:bCs w:val="1"/>
                <w:color w:val="auto"/>
              </w:rPr>
              <w:t>Table of Content</w:t>
            </w:r>
          </w:p>
        </w:tc>
        <w:tc>
          <w:tcPr>
            <w:tcW w:w="17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Page Number</w:t>
            </w:r>
          </w:p>
        </w:tc>
        <w:tc>
          <w:tcPr>
            <w:tcW w:w="20" w:type="dxa"/>
            <w:vAlign w:val="bottom"/>
          </w:tcPr>
          <w:p>
            <w:pPr>
              <w:spacing w:after="0"/>
              <w:rPr>
                <w:sz w:val="18"/>
                <w:szCs w:val="18"/>
                <w:color w:val="auto"/>
              </w:rPr>
            </w:pPr>
          </w:p>
        </w:tc>
      </w:tr>
      <w:tr>
        <w:trPr>
          <w:trHeight w:val="175"/>
        </w:trPr>
        <w:tc>
          <w:tcPr>
            <w:tcW w:w="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Item</w:t>
            </w:r>
          </w:p>
        </w:tc>
        <w:tc>
          <w:tcPr>
            <w:tcW w:w="46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800" w:type="dxa"/>
            <w:vAlign w:val="bottom"/>
            <w:gridSpan w:val="7"/>
          </w:tcPr>
          <w:p>
            <w:pPr>
              <w:spacing w:after="0" w:line="196" w:lineRule="exact"/>
              <w:rPr>
                <w:sz w:val="20"/>
                <w:szCs w:val="20"/>
                <w:color w:val="auto"/>
              </w:rPr>
            </w:pPr>
            <w:r>
              <w:rPr>
                <w:rFonts w:ascii="Arial" w:cs="Arial" w:eastAsia="Arial" w:hAnsi="Arial"/>
                <w:sz w:val="18"/>
                <w:szCs w:val="18"/>
                <w:color w:val="auto"/>
              </w:rPr>
              <w:t>Number</w:t>
            </w:r>
          </w:p>
        </w:tc>
        <w:tc>
          <w:tcPr>
            <w:tcW w:w="8720" w:type="dxa"/>
            <w:vAlign w:val="bottom"/>
            <w:gridSpan w:val="24"/>
          </w:tcPr>
          <w:p>
            <w:pPr>
              <w:ind w:left="160"/>
              <w:spacing w:after="0" w:line="196" w:lineRule="exact"/>
              <w:rPr>
                <w:sz w:val="20"/>
                <w:szCs w:val="20"/>
                <w:color w:val="auto"/>
              </w:rPr>
            </w:pPr>
            <w:r>
              <w:rPr>
                <w:rFonts w:ascii="Arial" w:cs="Arial" w:eastAsia="Arial" w:hAnsi="Arial"/>
                <w:sz w:val="18"/>
                <w:szCs w:val="18"/>
                <w:color w:val="auto"/>
              </w:rPr>
              <w:t>Item Description</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0000EE"/>
              </w:rPr>
              <w:t>Part I</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34"/>
        </w:trPr>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Business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1A.</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Risk Factors</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18</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Unresolved Staff Comments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2.</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Properties</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Legal Proceedings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4.</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Mine Safety Disclosures</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0000EE"/>
              </w:rPr>
              <w:t>Part II</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r>
      <w:tr>
        <w:trPr>
          <w:trHeight w:val="34"/>
        </w:trPr>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w w:val="96"/>
              </w:rPr>
              <w:t>Market for Registrant's Common Equity, Related Stockholder Matters and Issuer Purchases of Equity Securities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6.</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Reserved</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7A.</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54</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9.</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101</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Controls and Procedures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101</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9B.</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Other Information</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9C.</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8"/>
                <w:szCs w:val="18"/>
                <w:color w:val="auto"/>
              </w:rPr>
            </w:pPr>
          </w:p>
        </w:tc>
      </w:tr>
      <w:tr>
        <w:trPr>
          <w:trHeight w:val="243"/>
        </w:trPr>
        <w:tc>
          <w:tcPr>
            <w:tcW w:w="3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Part III</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10.</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Executive Compensation</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12.</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auto"/>
              </w:rPr>
              <w:t>Item 14.</w:t>
            </w:r>
          </w:p>
        </w:tc>
        <w:tc>
          <w:tcPr>
            <w:tcW w:w="8720" w:type="dxa"/>
            <w:vAlign w:val="bottom"/>
            <w:gridSpan w:val="24"/>
          </w:tcPr>
          <w:p>
            <w:pPr>
              <w:ind w:left="160"/>
              <w:spacing w:after="0" w:line="176" w:lineRule="exact"/>
              <w:rPr>
                <w:sz w:val="20"/>
                <w:szCs w:val="20"/>
                <w:color w:val="auto"/>
              </w:rPr>
            </w:pPr>
            <w:r>
              <w:rPr>
                <w:rFonts w:ascii="Arial" w:cs="Arial" w:eastAsia="Arial" w:hAnsi="Arial"/>
                <w:sz w:val="18"/>
                <w:szCs w:val="18"/>
                <w:color w:val="0000EE"/>
              </w:rPr>
              <w:t>Principal Accounting Fees and Services</w:t>
            </w: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15"/>
                <w:szCs w:val="15"/>
                <w:color w:val="auto"/>
              </w:rPr>
            </w:pPr>
          </w:p>
        </w:tc>
      </w:tr>
      <w:tr>
        <w:trPr>
          <w:trHeight w:val="34"/>
        </w:trPr>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800" w:type="dxa"/>
            <w:vAlign w:val="bottom"/>
            <w:gridSpan w:val="7"/>
          </w:tcPr>
          <w:p>
            <w:pPr>
              <w:spacing w:after="0" w:line="176" w:lineRule="exact"/>
              <w:rPr>
                <w:sz w:val="20"/>
                <w:szCs w:val="20"/>
                <w:color w:val="auto"/>
              </w:rPr>
            </w:pPr>
            <w:r>
              <w:rPr>
                <w:rFonts w:ascii="Arial" w:cs="Arial" w:eastAsia="Arial" w:hAnsi="Arial"/>
                <w:sz w:val="18"/>
                <w:szCs w:val="18"/>
                <w:color w:val="0000EE"/>
              </w:rPr>
              <w:t>Part IV</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103</w:t>
            </w:r>
          </w:p>
        </w:tc>
        <w:tc>
          <w:tcPr>
            <w:tcW w:w="20" w:type="dxa"/>
            <w:vAlign w:val="bottom"/>
          </w:tcPr>
          <w:p>
            <w:pPr>
              <w:spacing w:after="0"/>
              <w:rPr>
                <w:sz w:val="15"/>
                <w:szCs w:val="15"/>
                <w:color w:val="auto"/>
              </w:rPr>
            </w:pPr>
          </w:p>
        </w:tc>
      </w:tr>
      <w:tr>
        <w:trPr>
          <w:trHeight w:val="34"/>
        </w:trPr>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103</w:t>
            </w:r>
          </w:p>
        </w:tc>
        <w:tc>
          <w:tcPr>
            <w:tcW w:w="20" w:type="dxa"/>
            <w:vAlign w:val="bottom"/>
          </w:tcPr>
          <w:p>
            <w:pPr>
              <w:spacing w:after="0"/>
              <w:rPr>
                <w:sz w:val="18"/>
                <w:szCs w:val="18"/>
                <w:color w:val="auto"/>
              </w:rPr>
            </w:pPr>
          </w:p>
        </w:tc>
      </w:tr>
      <w:tr>
        <w:trPr>
          <w:trHeight w:val="229"/>
        </w:trPr>
        <w:tc>
          <w:tcPr>
            <w:tcW w:w="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720" w:type="dxa"/>
            <w:vAlign w:val="bottom"/>
            <w:gridSpan w:val="24"/>
            <w:shd w:val="clear" w:color="auto" w:fill="CCEEFF"/>
          </w:tcPr>
          <w:p>
            <w:pPr>
              <w:ind w:left="160"/>
              <w:spacing w:after="0" w:line="176" w:lineRule="exact"/>
              <w:rPr>
                <w:sz w:val="20"/>
                <w:szCs w:val="20"/>
                <w:color w:val="auto"/>
              </w:rPr>
            </w:pPr>
            <w:r>
              <w:rPr>
                <w:rFonts w:ascii="Arial" w:cs="Arial" w:eastAsia="Arial" w:hAnsi="Arial"/>
                <w:sz w:val="18"/>
                <w:szCs w:val="18"/>
                <w:color w:val="0000EE"/>
              </w:rPr>
              <w:t>Signatures</w:t>
            </w:r>
          </w:p>
        </w:tc>
        <w:tc>
          <w:tcPr>
            <w:tcW w:w="170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6"/>
              </w:rPr>
              <w:t>107</w:t>
            </w:r>
          </w:p>
        </w:tc>
        <w:tc>
          <w:tcPr>
            <w:tcW w:w="20" w:type="dxa"/>
            <w:vAlign w:val="bottom"/>
          </w:tcPr>
          <w:p>
            <w:pPr>
              <w:spacing w:after="0"/>
              <w:rPr>
                <w:sz w:val="18"/>
                <w:szCs w:val="18"/>
                <w:color w:val="auto"/>
              </w:rPr>
            </w:pPr>
          </w:p>
        </w:tc>
      </w:tr>
      <w:tr>
        <w:trPr>
          <w:trHeight w:val="533"/>
        </w:trPr>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References in this report to "we," "our," "us," the "Company" and "Euronet" refer to Euronet Worldwide, Inc. and its subsidiaries unless the context indicates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Euronet is a leading electronic payments processing provider. We offer payment and transaction processing and distribution solutions to financial institutions, agents, retailers, merchants, content providers, and individual consumers. Our primary product offerings include comprehensive automated teller machine ("ATM"), point-of-sale ("POS"), card outsourcing, card issuing and merchant acquiring services; software solutions and cloud based payment solutions; electronic distribution of electronic payment products; foreign exchange services and international payment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2022: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Electronic Fund Transfer ("EFT") Processing Segment processes transactions for a network of 45,009 ATMs and approximately 613,000 POS terminals across Europe, Africa, the Middle East, Asia Pacific, and the United States. We provide comprehensive electronic payment solutions consisting of ATM cash withdrawal and deposit services, ATM network participation, outsourced ATM and POS management solutions, credit, debit and prepaid card outsourcing, and card issuing and merchant acquiring services. In addition to our core business, we offer a variety of value added services, including ATM and POS dynamic currency conversion ("DCC"), domestic and international ATM surcharge, advertising, delivery of non-cash products ("digital content") via ATMs, customer relationship management ("CRM"), mobile top-up, bill payment, fraud management, foreign remittance payout, cardless payout, banknote recycling solutions and tax-refund services. Through this segment, we also offer a suite of integrated electronic financial transaction software solutions for electronic payment and transaction delivery systems. In 2022, the EFT Processing Segment accounted for approximately 28% of Euronet's consolidated revenues.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epay Segment provides distribution and processing of prepaid mobile airtime and other electronic content and payment processing services for various prepaid products, cards and services throughout our worldwide distribution network. We operate a network that includes approximately 816,000 POS terminals that enable electronic processing of prepaid mobile airtime "top-up" services and other digital media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2022, the epay Segment accounted for approximately 30% of Euronet's consolidated revenues.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Money Transfer Segment provides global consumer-to-consumer money transfer services, primarily under the brand names Ria, AFEX, and IME,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522,000 locations. xe is a provider of foreign currency exchange information on its currency data websites (www.xe.com and www.x-rates.com). We offer global account-to-account money transfer services through our websites (www.xe.com and https://transferxe.com) and xe customer service representatives.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xe, we offer cash management solutions and foreign currency risk management services to small-and-medium sized businesses. We are one of the largest global money transfer companies measured by revenues and transaction volumes. In 2022, the Money Transfer Segment accounted for approximately 42% of Euronet's consolidated revenues.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1994 - </w:t>
      </w:r>
      <w:r>
        <w:rPr>
          <w:rFonts w:ascii="Arial" w:cs="Arial" w:eastAsia="Arial" w:hAnsi="Arial"/>
          <w:sz w:val="18"/>
          <w:szCs w:val="18"/>
          <w:color w:val="auto"/>
        </w:rPr>
        <w:t>Euronet was established as Euronet Bank Access Kft., a Hungarian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jc w:val="both"/>
        <w:ind w:left="540"/>
        <w:spacing w:after="0" w:line="250" w:lineRule="auto"/>
        <w:rPr>
          <w:sz w:val="20"/>
          <w:szCs w:val="20"/>
          <w:color w:val="auto"/>
        </w:rPr>
      </w:pPr>
      <w:r>
        <w:rPr>
          <w:rFonts w:ascii="Arial" w:cs="Arial" w:eastAsia="Arial" w:hAnsi="Arial"/>
          <w:sz w:val="18"/>
          <w:szCs w:val="18"/>
          <w:b w:val="1"/>
          <w:bCs w:val="1"/>
          <w:color w:val="auto"/>
        </w:rPr>
        <w:t xml:space="preserve">1997 - </w:t>
      </w:r>
      <w:r>
        <w:rPr>
          <w:rFonts w:ascii="Arial" w:cs="Arial" w:eastAsia="Arial" w:hAnsi="Arial"/>
          <w:sz w:val="18"/>
          <w:szCs w:val="18"/>
          <w:color w:val="auto"/>
        </w:rPr>
        <w:t>Euronet was reorganized in March 1997 in connection with its initial public offering, and at that time, our operating entities became wholly</w:t>
      </w:r>
      <w:r>
        <w:rPr>
          <w:rFonts w:ascii="Arial" w:cs="Arial" w:eastAsia="Arial" w:hAnsi="Arial"/>
          <w:sz w:val="18"/>
          <w:szCs w:val="18"/>
          <w:b w:val="1"/>
          <w:bCs w:val="1"/>
          <w:color w:val="auto"/>
        </w:rPr>
        <w:t xml:space="preserve"> </w:t>
      </w:r>
      <w:r>
        <w:rPr>
          <w:rFonts w:ascii="Arial" w:cs="Arial" w:eastAsia="Arial" w:hAnsi="Arial"/>
          <w:sz w:val="18"/>
          <w:szCs w:val="18"/>
          <w:color w:val="auto"/>
        </w:rPr>
        <w:t>owned subsidiaries of Euronet Services,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b w:val="1"/>
          <w:bCs w:val="1"/>
          <w:color w:val="auto"/>
        </w:rPr>
        <w:t xml:space="preserve">1998 - </w:t>
      </w:r>
      <w:r>
        <w:rPr>
          <w:rFonts w:ascii="Arial" w:cs="Arial" w:eastAsia="Arial" w:hAnsi="Arial"/>
          <w:sz w:val="18"/>
          <w:szCs w:val="18"/>
          <w:color w:val="auto"/>
        </w:rPr>
        <w:t>In December 1998, we acquired Arkansas Systems, Inc. (now known as "Euronet USA"), a U.S.-based company that produces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transaction delivery systems software for retail banks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2001 - </w:t>
      </w:r>
      <w:r>
        <w:rPr>
          <w:rFonts w:ascii="Arial" w:cs="Arial" w:eastAsia="Arial" w:hAnsi="Arial"/>
          <w:sz w:val="18"/>
          <w:szCs w:val="18"/>
          <w:color w:val="auto"/>
        </w:rPr>
        <w:t>We changed our name from Euronet Services, Inc. to Euronet Worldwide, Inc. in August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b w:val="1"/>
          <w:bCs w:val="1"/>
          <w:color w:val="auto"/>
        </w:rPr>
        <w:t xml:space="preserve">2003 </w:t>
      </w:r>
      <w:r>
        <w:rPr>
          <w:rFonts w:ascii="Arial" w:cs="Arial" w:eastAsia="Arial" w:hAnsi="Arial"/>
          <w:sz w:val="17"/>
          <w:szCs w:val="17"/>
          <w:color w:val="auto"/>
        </w:rPr>
        <w:t>- We added a complementary business line through the acquisition of epay Limited (“epay”), which had offices in the U.K.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jc w:val="both"/>
        <w:ind w:left="540" w:right="20"/>
        <w:spacing w:after="0" w:line="250" w:lineRule="auto"/>
        <w:rPr>
          <w:sz w:val="20"/>
          <w:szCs w:val="20"/>
          <w:color w:val="auto"/>
        </w:rPr>
      </w:pPr>
      <w:r>
        <w:rPr>
          <w:rFonts w:ascii="Arial" w:cs="Arial" w:eastAsia="Arial" w:hAnsi="Arial"/>
          <w:sz w:val="18"/>
          <w:szCs w:val="18"/>
          <w:b w:val="1"/>
          <w:bCs w:val="1"/>
          <w:color w:val="auto"/>
        </w:rPr>
        <w:t xml:space="preserve">2007 - </w:t>
      </w:r>
      <w:r>
        <w:rPr>
          <w:rFonts w:ascii="Arial" w:cs="Arial" w:eastAsia="Arial" w:hAnsi="Arial"/>
          <w:sz w:val="18"/>
          <w:szCs w:val="18"/>
          <w:color w:val="auto"/>
        </w:rPr>
        <w:t>We established the Money Transfer Segment after completing the acquisition of Los Angeles-based Ria, one of the largest global money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companies measured by revenues and transaction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 We completed the acquisition of IME (M) Sdn Bhd ("IME") which provided Euronet with immediate entry into the Asian and Middle East</w:t>
      </w:r>
      <w:r>
        <w:rPr>
          <w:rFonts w:ascii="Arial" w:cs="Arial" w:eastAsia="Arial" w:hAnsi="Arial"/>
          <w:sz w:val="18"/>
          <w:szCs w:val="18"/>
          <w:b w:val="1"/>
          <w:bCs w:val="1"/>
          <w:color w:val="auto"/>
        </w:rPr>
        <w:t xml:space="preserve"> </w:t>
      </w:r>
      <w:r>
        <w:rPr>
          <w:rFonts w:ascii="Arial" w:cs="Arial" w:eastAsia="Arial" w:hAnsi="Arial"/>
          <w:sz w:val="18"/>
          <w:szCs w:val="18"/>
          <w:color w:val="auto"/>
        </w:rPr>
        <w:t>money transfer send markets. We also added a complementary business line through the acquisition of xe Corporation ("xe"), which provides currency-related data and international payment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3" w:lineRule="auto"/>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REN Ecosystem goes live and the migration of legacy software to the REN Ecosystem begins.</w:t>
      </w:r>
      <w:r>
        <w:rPr>
          <w:rFonts w:ascii="Arial" w:cs="Arial" w:eastAsia="Arial" w:hAnsi="Arial"/>
          <w:sz w:val="18"/>
          <w:szCs w:val="18"/>
          <w:b w:val="1"/>
          <w:bCs w:val="1"/>
          <w:color w:val="auto"/>
        </w:rPr>
        <w:t xml:space="preserve"> Current - </w:t>
      </w:r>
      <w:r>
        <w:rPr>
          <w:rFonts w:ascii="Arial" w:cs="Arial" w:eastAsia="Arial" w:hAnsi="Arial"/>
          <w:sz w:val="18"/>
          <w:szCs w:val="18"/>
          <w:color w:val="auto"/>
        </w:rPr>
        <w:t>Euronet conducts business globally, serving customers in approximately 200 countries. As of December 31, 2022 we have 13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centers, six in Europe, five in Asia Pacific and two in North America. We also maintain66 business offices that are located in 43 countries. Our corporate offices are located in Leawood, Kansas,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-514985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-377825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17,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EFT Processing Segment provides comprehensive electronic payment solutions consisting of ATM cash withdrawal and deposit services, ATM network participation, outsourced ATM and POS management solutions, credit, debit and prepaid card outsourcing, card issuing and merchant acquiring services. In addition to our core business, we offer a variety of value added services, including ATM and POS DCC, domestic and international surcharge, foreign currency dispensing, advertising, digital content sales at ATMs,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primary sources of revenues generated by our ATM network are recurring monthly management fees, transaction-based fees, surcharges and margins earned on DCC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operate across Europe, Africa, the Middle East, Asia Pacific, and the United States. As of December 31, 2022, we operated 45,009 ATMs compared to 42,713 at December 31,2021.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spacing w:after="0" w:line="301"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DCC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24.1% as indicated in the following table: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 Segment transactions per year</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2,721</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3,052</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3,275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4,366</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6,459</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transactions for 2021 and 2022 is the result of a significant increase in the volume of lower value, digitally-initiated payment processing transactions for an Asia Pacific customer's bank wallet and e-commerce site.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processing centers for the EFT Processing Segment are located in Germany, Hungary, India, China, and Pakistan. Our processing centers run two types of proprietary transaction switching software: our legacy ITM software, which we have used and sold to financial institutions since 1998 through our Software Solutions unit, and an innovative switching software package named "REN", which is hosted in Germany and India, that was released in 2017. The processing centers operate 24 hours a day, seven days a week. We have been progressively transitioning all of our networks to REN.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 management of automated deposit terminals, management of credit, debit and prepaid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new outsourced management solutions agreements should provide additional revenue with lower incremental cost.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outsourced management solutions agreements generally provide for fixed monthly management fees and, in most cases, fees payable for each transaction. The transaction fees under these agreements are generally lower than those under card acceptance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Euronet-branded ATM networks, also known as IAD networks, are primarily managed by a processing center that uses our market-leading internally developed software solutions. The ATMs in our IAD networks are able to process transactions for holders of credit, debit and prepaid products issued by or bearing the logos of financial institutions and international card organizations such as American Express</w:t>
      </w:r>
      <w:r>
        <w:rPr>
          <w:rFonts w:ascii="Arial" w:cs="Arial" w:eastAsia="Arial" w:hAnsi="Arial"/>
          <w:sz w:val="7"/>
          <w:szCs w:val="7"/>
          <w:color w:val="auto"/>
        </w:rPr>
        <w:t>®</w:t>
      </w:r>
      <w:r>
        <w:rPr>
          <w:rFonts w:ascii="Arial" w:cs="Arial" w:eastAsia="Arial" w:hAnsi="Arial"/>
          <w:sz w:val="16"/>
          <w:szCs w:val="16"/>
          <w:color w:val="auto"/>
        </w:rPr>
        <w:t>, Visa</w:t>
      </w:r>
      <w:r>
        <w:rPr>
          <w:rFonts w:ascii="Arial" w:cs="Arial" w:eastAsia="Arial" w:hAnsi="Arial"/>
          <w:sz w:val="7"/>
          <w:szCs w:val="7"/>
          <w:color w:val="auto"/>
        </w:rPr>
        <w:t>®</w:t>
      </w:r>
      <w:r>
        <w:rPr>
          <w:rFonts w:ascii="Arial" w:cs="Arial" w:eastAsia="Arial" w:hAnsi="Arial"/>
          <w:sz w:val="16"/>
          <w:szCs w:val="16"/>
          <w:color w:val="auto"/>
        </w:rPr>
        <w:t>, Mastercard</w:t>
      </w:r>
      <w:r>
        <w:rPr>
          <w:rFonts w:ascii="Arial" w:cs="Arial" w:eastAsia="Arial" w:hAnsi="Arial"/>
          <w:sz w:val="7"/>
          <w:szCs w:val="7"/>
          <w:color w:val="auto"/>
        </w:rPr>
        <w:t>®</w:t>
      </w:r>
      <w:r>
        <w:rPr>
          <w:rFonts w:ascii="Arial" w:cs="Arial" w:eastAsia="Arial" w:hAnsi="Arial"/>
          <w:sz w:val="16"/>
          <w:szCs w:val="16"/>
          <w:color w:val="auto"/>
        </w:rPr>
        <w:t>, JCB, Diners Club International</w:t>
      </w:r>
      <w:r>
        <w:rPr>
          <w:rFonts w:ascii="Arial" w:cs="Arial" w:eastAsia="Arial" w:hAnsi="Arial"/>
          <w:sz w:val="7"/>
          <w:szCs w:val="7"/>
          <w:color w:val="auto"/>
        </w:rPr>
        <w:t>®</w:t>
      </w:r>
      <w:r>
        <w:rPr>
          <w:rFonts w:ascii="Arial" w:cs="Arial" w:eastAsia="Arial" w:hAnsi="Arial"/>
          <w:sz w:val="16"/>
          <w:szCs w:val="16"/>
          <w:color w:val="auto"/>
        </w:rPr>
        <w:t>, Discover</w:t>
      </w:r>
      <w:r>
        <w:rPr>
          <w:rFonts w:ascii="Arial" w:cs="Arial" w:eastAsia="Arial" w:hAnsi="Arial"/>
          <w:sz w:val="7"/>
          <w:szCs w:val="7"/>
          <w:color w:val="auto"/>
        </w:rPr>
        <w:t>®</w:t>
      </w:r>
      <w:r>
        <w:rPr>
          <w:rFonts w:ascii="Arial" w:cs="Arial" w:eastAsia="Arial" w:hAnsi="Arial"/>
          <w:sz w:val="16"/>
          <w:szCs w:val="16"/>
          <w:color w:val="auto"/>
        </w:rPr>
        <w:t xml:space="preserve"> and UnionPay International</w:t>
      </w:r>
      <w:r>
        <w:rPr>
          <w:rFonts w:ascii="Arial" w:cs="Arial" w:eastAsia="Arial" w:hAnsi="Arial"/>
          <w:sz w:val="7"/>
          <w:szCs w:val="7"/>
          <w:color w:val="auto"/>
        </w:rPr>
        <w:t>©</w:t>
      </w:r>
      <w:r>
        <w:rPr>
          <w:rFonts w:ascii="Arial" w:cs="Arial" w:eastAsia="Arial" w:hAnsi="Arial"/>
          <w:sz w:val="16"/>
          <w:szCs w:val="16"/>
          <w:color w:val="auto"/>
        </w:rPr>
        <w:t>, as well as international ATM networks such as PLUS, CIRRUS and PULSE</w:t>
      </w:r>
      <w:r>
        <w:rPr>
          <w:rFonts w:ascii="Arial" w:cs="Arial" w:eastAsia="Arial" w:hAnsi="Arial"/>
          <w:sz w:val="7"/>
          <w:szCs w:val="7"/>
          <w:color w:val="auto"/>
        </w:rPr>
        <w:t>®</w:t>
      </w:r>
      <w:r>
        <w:rPr>
          <w:rFonts w:ascii="Arial" w:cs="Arial" w:eastAsia="Arial" w:hAnsi="Arial"/>
          <w:sz w:val="16"/>
          <w:szCs w:val="16"/>
          <w:color w:val="auto"/>
        </w:rPr>
        <w:t xml:space="preserve"> or domestic networks such as NYCE, Shazam, AFFN, STAR and others across North America. This is accomplished through our agreements and relationships with these institutions, international credit, debit and prepaid card issuers, international card associations and domestic card associations.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jc w:val="both"/>
        <w:spacing w:after="0" w:line="293" w:lineRule="auto"/>
        <w:rPr>
          <w:sz w:val="20"/>
          <w:szCs w:val="20"/>
          <w:color w:val="auto"/>
        </w:rPr>
      </w:pPr>
      <w:r>
        <w:rPr>
          <w:rFonts w:ascii="Arial" w:cs="Arial" w:eastAsia="Arial" w:hAnsi="Arial"/>
          <w:sz w:val="16"/>
          <w:szCs w:val="16"/>
          <w:color w:val="auto"/>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from the cardholder's account.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Balance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Transactions not completed because the relevant card issuer does not give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Dynamic currency conversion;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Prepaid mobile airtime recharges and other electronic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financial institution or organization may be used at all ATMs that we operate in a given market. In most markets, we operate under sponsorship by our own e-money or payment service licensed entities. In some markets, we have agreements with a financial institution under which we are designated as a service provider (which we refer to as "sponsorship agreements") for the acceptance of domestic cards and/or cards bearing international logos, such as Visa</w:t>
      </w:r>
      <w:r>
        <w:rPr>
          <w:rFonts w:ascii="Arial" w:cs="Arial" w:eastAsia="Arial" w:hAnsi="Arial"/>
          <w:sz w:val="8"/>
          <w:szCs w:val="8"/>
          <w:color w:val="auto"/>
        </w:rPr>
        <w:t>®</w:t>
      </w:r>
      <w:r>
        <w:rPr>
          <w:rFonts w:ascii="Arial" w:cs="Arial" w:eastAsia="Arial" w:hAnsi="Arial"/>
          <w:sz w:val="17"/>
          <w:szCs w:val="17"/>
          <w:color w:val="auto"/>
        </w:rPr>
        <w:t xml:space="preserve"> and Mastercard</w:t>
      </w:r>
      <w:r>
        <w:rPr>
          <w:rFonts w:ascii="Arial" w:cs="Arial" w:eastAsia="Arial" w:hAnsi="Arial"/>
          <w:sz w:val="8"/>
          <w:szCs w:val="8"/>
          <w:color w:val="auto"/>
        </w:rPr>
        <w:t>®</w:t>
      </w:r>
      <w:r>
        <w:rPr>
          <w:rFonts w:ascii="Arial" w:cs="Arial" w:eastAsia="Arial" w:hAnsi="Arial"/>
          <w:sz w:val="17"/>
          <w:szCs w:val="17"/>
          <w:color w:val="auto"/>
        </w:rPr>
        <w:t>.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provide a significant portion of the cash to our IAD network to fund ATM transactions ourselves. Euronet is generally liable for the cash in the ATM networks.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dynamic currency conversion, or DCC, over our IAD networks, ATM networks that we operate on an outsourced basis for financial institutions, and over financial institutions'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the transactions are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financial institutions, or where we offer DCC as a stand-alone service to financial institutions or merchants, we share the foreign exchange margin. The foreign exchange margin on a DCC transaction increases the amount Euronet earns from the underlying ATM or POS transaction and supports deployment of additional ATMs in new locations.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network of owned or operated ATMs allows for the sale of additional financial and other products or services at a low incremental cost. We have developed value added services in addition to basic cash withdrawal and balance inquiry transactions. These value added services include mobile top-up, fraud management, bill payment, domestic and international surcharge, CRM, foreign remittance payout, cardless payout, banknote recycling, electronic content, ticket and voucher, foreign currency withdrawal and advertising. We are committed to the ongoing development of innovative new products and services to offer our EFT processing customers.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our processing centers in the EFT Processing Segment, resulting in cost savings and added value compared to third-party license and maintenance options. Our proprietary software consists of our legacy ITM software, which we have used and sold to financial institutions since 1998 through our Software Solutions unit, and an innovative switching software package named REN that we released in 2017.</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operate REN in our processing center to process payments for our own networks in Europe and we are progressively transitioning all our networks globally to REN. The private cloud architecture of REN allows us to simultaneously deploy REN across multiple physical locations. REN is now operated for both internal resources and external customers with the launch of the REN Foundation for Mozambique's National Payments Network in 2020. REN is scalable and will allow us to offer payment and digital solutions to more third parties. In addition to payments processing, REN also supports other digital elements, including card issuing for physical and virtual cards, loyalty services, Know Your Customer compliance, real time settlement, inventory management, risk and fraud management and other services. REN will be used as a platform to connect Euronet assets to offer digital payment solutions, and is currently utilized within the epay and Money Transfer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surcharge, cardless payment, banknote recycling solutions, tax refund services, advertising, fraud management, bill payment, mobile top-up, CRM and foreign remittance payout.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debit and prepaid card outsourcing business could provide continued growth while minimizing our capital investment.</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Complementary services offered by our epay Segment, where we provide prepaid mobile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seasonally deactivating ATMs in tourist locations that experience significantly higher traffic during the summer. Seasonally deactivating involves shutting down the ATMs during the slower months and results in lower overall transaction volumes in the EFT Processing Segment during those months. As we have expanded our IAD network in tourist locations, the financial impact of seasonally deactivating has increased, because we continue to bear the expense of seasonally deactivated ATMs even though they do not generate transactions during the slower months.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 individual customer of the EFT Processing Segment makes up greater than 10% of total consolidated revenues. In India, Pakistan and Indonesia we have contracts with banks and telecommunications companies that are majority-owned by the government to provide certain ATM driving and transaction switching services, digital content distribution and mobile airtime recharge services. Additionally, certain government-owned banks are members of our shared ATM network in India and we provide software services to financial institutions partially owned by government-owned banks. In Austria, Croatia, Cyprus, Czech Republic, Denmark, Egypt, Germany, Hungary, Ireland, Italy, Lithuania, Malta, Poland, Portugal, Romania, Slovakia, Slovenia, Spain and the United Kingdom, we lease land and other property for certain ATM sites from companies that are majority-owned by the government. In China and Greece, we have contracts with clients and financial institutions that are partially owned by the government.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 EFT Processing Segment include breadth of service offering, network availability and response time, price to both the financial institution and to its customers, ATM location and access to other networks.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epay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offer prepaid mobile airtime top-up services and other electronic content and payment processing services for various prepaid products, cards and services on a network of approximately 816,000 POS terminals across approximately 358,000 retailer locations in Europe, the Middle East, Asia Pacific, North America and South America. Our processing centers for the epay Segment are located in the United Kingdom, Germany, Italy, and the United States.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2003, we have expanded our prepaid business in new and existing markets by drawing upon our depth of experience to build and expand relationships with content providers, mobile phone operators and retailers. We offer a wide range of products across our retail networks, including prepaid mobile airtime, prepaid debit cards, prepaid gift cards, prepaid electronic content such as music, games and software, prepaid vouchers, transport payments, lottery payments, prepaid long distance and bill payment processing assistance through partnerships with various licensed money transmitters.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epay Segment generates commissions and processing fees from the distribution of electronic content and from telecommunications service providers for the sale and distribution of prepaid mobile airtime. In2022, approximately 67% of total revenues and approximately 69% of gross profit for the epay Segment was from electronic content other than prepaid mobile airtime (digital media products).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Customers using mobile phones generally pay for usage in one of two ways: (1) through "postpaid" accounts, where usage is billed at the end of each billing period, or (2) through "prepaid" accounts, where customers pay in advance by crediting their accounts prior to usage.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purchased amount of the mobile airtime. We maintain systems that know the amount of mobile top-up sold by the retailer which allows us in turn to bill that retailer for the mobile top-up sold.</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multi-year agreements with the retailers. In addition to the sale of traditional mobile top-up volume described above, we have expanded distribution into digital media products and other value-added services. We have leveraged our existing technology infrastructure to sell digital media products, which have been sold through our traditional retailer network and new retailer networks such as electronic channels. In the U.S., most prepaid digital media content is purchased for gifting; in markets outside the U.S., consumers generally purchase prepaid digital media content for self-use.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epay Products and Services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process prepaid mobile airtime top-up transactions on our international POS network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Loop Gift Cards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Gift Cards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Open loop (network-branded) gift cards are prepaid gift cards associated with an electronic payment network (such as Visa</w:t>
      </w:r>
      <w:r>
        <w:rPr>
          <w:rFonts w:ascii="Arial" w:cs="Arial" w:eastAsia="Arial" w:hAnsi="Arial"/>
          <w:sz w:val="9"/>
          <w:szCs w:val="9"/>
          <w:color w:val="auto"/>
        </w:rPr>
        <w:t>®</w:t>
      </w:r>
      <w:r>
        <w:rPr>
          <w:rFonts w:ascii="Arial" w:cs="Arial" w:eastAsia="Arial" w:hAnsi="Arial"/>
          <w:sz w:val="17"/>
          <w:szCs w:val="17"/>
          <w:color w:val="auto"/>
        </w:rPr>
        <w:t xml:space="preserve"> or Mastercard</w:t>
      </w:r>
      <w:r>
        <w:rPr>
          <w:rFonts w:ascii="Arial" w:cs="Arial" w:eastAsia="Arial" w:hAnsi="Arial"/>
          <w:sz w:val="9"/>
          <w:szCs w:val="9"/>
          <w:color w:val="auto"/>
        </w:rPr>
        <w:t>®</w:t>
      </w:r>
      <w:r>
        <w:rPr>
          <w:rFonts w:ascii="Arial" w:cs="Arial" w:eastAsia="Arial" w:hAnsi="Arial"/>
          <w:sz w:val="17"/>
          <w:szCs w:val="17"/>
          <w:color w:val="auto"/>
        </w:rPr>
        <w:t>) and are honored at multiple, unaffiliated locations (wherever cards from these networks are generally accepted). They are not merchant-specific. We distribute and issue single-use, non-reloadable open loop gift cards carrying the Visa</w:t>
      </w:r>
      <w:r>
        <w:rPr>
          <w:rFonts w:ascii="Arial" w:cs="Arial" w:eastAsia="Arial" w:hAnsi="Arial"/>
          <w:sz w:val="9"/>
          <w:szCs w:val="9"/>
          <w:color w:val="auto"/>
        </w:rPr>
        <w:t>®</w:t>
      </w:r>
      <w:r>
        <w:rPr>
          <w:rFonts w:ascii="Arial" w:cs="Arial" w:eastAsia="Arial" w:hAnsi="Arial"/>
          <w:sz w:val="17"/>
          <w:szCs w:val="17"/>
          <w:color w:val="auto"/>
        </w:rPr>
        <w:t xml:space="preserve"> brand in our retail channels. After the consumer purchases the preloaded value gift card at a retail store location or online, the consumer must call the toll-free number on the back of the card to activate 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Reloadable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distribute Visa</w:t>
      </w:r>
      <w:r>
        <w:rPr>
          <w:rFonts w:ascii="Arial" w:cs="Arial" w:eastAsia="Arial" w:hAnsi="Arial"/>
          <w:sz w:val="9"/>
          <w:szCs w:val="9"/>
          <w:color w:val="auto"/>
        </w:rPr>
        <w:t>®</w:t>
      </w:r>
      <w:r>
        <w:rPr>
          <w:rFonts w:ascii="Arial" w:cs="Arial" w:eastAsia="Arial" w:hAnsi="Arial"/>
          <w:sz w:val="17"/>
          <w:szCs w:val="17"/>
          <w:color w:val="auto"/>
        </w:rPr>
        <w:t xml:space="preserve"> and Mastercard</w:t>
      </w:r>
      <w:r>
        <w:rPr>
          <w:rFonts w:ascii="Arial" w:cs="Arial" w:eastAsia="Arial" w:hAnsi="Arial"/>
          <w:sz w:val="9"/>
          <w:szCs w:val="9"/>
          <w:color w:val="auto"/>
        </w:rPr>
        <w:t>®</w:t>
      </w:r>
      <w:r>
        <w:rPr>
          <w:rFonts w:ascii="Arial" w:cs="Arial" w:eastAsia="Arial" w:hAnsi="Arial"/>
          <w:sz w:val="17"/>
          <w:szCs w:val="17"/>
          <w:color w:val="auto"/>
        </w:rPr>
        <w:t xml:space="preserve"> issued debit cards provided by Green Dot, NetSpend and other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In certain locations, the terminals used for prepaid services can also be used for electronic funds transfer to process credit, debit and prepaid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transactions processed on our POS networks has increased over the last five years at a CAGR of approximately 35.2% as indicated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epay processing transactions per year</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1,149</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1,542</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2,395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3,120</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3,836</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Additional high-volume, low-margin digital media offerings in Asia contributed to an overall increase in processing transactions in 2021 and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Mobile top-up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top-up by increasing distribution of other electronic content. New product initiatives focus on products such as gift card malls, prepaid debit cards, transport and electronic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Sony, and Microsoft.</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 individual customer of our epay Segment makes up greater than 10% of total consolidated revenues. In Germany, epay has a contract for the technology and distribution infrastructure for six state-owned lotteries, it deploys Know Your Customer (or KYC) technologies on terminals indirectly owned by the Federal Republic of Germany and provides payment processing services for the state of Berlin and the city of Stuttgart, and Cadooz has a contract with Deutsche Bahn, which is majority owned by the German state. In addition, epay has contracts with Transurban Limited, the largest manager of toll road networks in Australia, Cubic, supporting New South Wales Transport ticketing in Australia, and with New Zealand Transport Authority, which operates all toll roads in New Zealand. epay distributes mobile top up in post offices in the United Kingdom, which are owned by the government. epay has contracts in the Middle East for the processing of mobile airtime for companies that are majority owned by the Saudi government and the UAE government, and epay distributes prepaid electronic content through companies that are owned by the Dubai government and Abu Dhabi government. In India, the epay segment distributes prepaid content through the State Bank of India and distributes telecom airtime on behalf of Bharat Sanchar Nigam, a government owned telecommunications provider based in New Delhi. There are no other government contracts in the epay Segment.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able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global money transfer services primarily under the brand names Ria, IME, AFEX, and xe. Ria and IME provide consumer-to-consumer money transfer services through a global network of more than 522,000 locations and our websites riamoneytransfer.com and online.imeremit.com. We sent money transfers from approximately 120 countries, with money transfer delivery completed in 158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provide global account-to-account money transfer services under the brand name xe. We offer money transfer services via our website (www.xe.com) and through customer service representatives. xe also provides foreign currency exchange information on its currency data websites (www.xe.com and www.x-rates.com). Through xe, we offer cash management solutions and foreign currency risk management services to small-and-medium sized businesses.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8.3% as indicated in the following table: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2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4"/>
        </w:trPr>
        <w:tc>
          <w:tcPr>
            <w:tcW w:w="4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transfer transactions per year</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107.6</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135.1</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147.9</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the U.S., the U.K., New Zealand, and Malaysia.</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one of the largest global money transfer companies measured by revenues and transaction volumes. Our Money Transfer Segment processed approximately $63 billion in money transfers in2022.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and xe.com. In an online transaction, customers send funds, using a bank account or credit or debit card, for pay-out at most of our agent locations around the world or directly to a bank account.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7,800 companies, including electric and gas utilities and telephone/wireless companies. Bill payment services are offered primarily in the 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301" w:lineRule="auto"/>
        <w:rPr>
          <w:sz w:val="20"/>
          <w:szCs w:val="20"/>
          <w:color w:val="auto"/>
        </w:rPr>
      </w:pPr>
      <w:r>
        <w:rPr>
          <w:rFonts w:ascii="Arial" w:cs="Arial" w:eastAsia="Arial" w:hAnsi="Arial"/>
          <w:sz w:val="16"/>
          <w:szCs w:val="16"/>
          <w:color w:val="auto"/>
        </w:rPr>
        <w:t>xe offers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Austria, Bangladesh, Belarus, Belgium, Benin, Bhutan, Bolivia, Bosnia-Herzegovina, Botswana, Burkina Faso, Burundi, Cameroon, Cape Verde, Chad, Costa Rica, Cote d'Ivoire, Cuba, Djibouti, Dominican Republic, Ecuador, Egypt, El Salvador, Eritrea, Ethiopia, Fiji, Gabon, Gambia, Georgia, Ghana, Guatemala, Guinea, Guinea - Bissau, Honduras, India, Indonesia, Italy, Jordan, Kenya, Kyrgyzstan, Laos, Liberia, Madagascar, Malaysia, Mali, Mauritania, Mauritius, Mexico, Moldova, Morocco, Myanmar, Niger, Nigeria, Pakistan, Philippines, Poland, Romania, Russia, Rwanda, Saudi Arabia, Serbia, Senegal, Sierra Leone, Sri Lanka, Suriname, Tanzania, Thailand, Togo, Tunisia, Turkey, Uganda, Ukraine, Uzbekistan, Vietnam, Yemen, Zambia, and Zimbabwe.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web-based services and digital currencies. Our continued growth also depends upon our ability to compete effectively with these alternative technologies.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approximately 9,500, 8,800 and 8,100 employees as of December 31, 2022,2021, and2020,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2022 and we consider relations with our employees to be good.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and sanctions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our European product offerings, including in particular, our money transfer services, merchant acquiring and bill payment products, are regulated payment services requiring a license under the Second Payment Services Directive, or PSD2, which replaced the Payment Services Directive, or PSD, effective January 13, 2018. Key changes made by PSD2 include: creation of two new payment service types, extension of PSD rules on transparency to additional transactions not previously covered by PSD; enhanced cooperation and information exchange between authorities in the context of authorization and supervision of payment institutions and electronic money institutions; and increased obligations around the management of operational and security risk and the notification of incidents, increased obligations relating to complaints handling and additional requirements regarding payment security. PSD2 as implemented in some member states also resulted in some of our European licensed institutions needing to go through a re-authorization process.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PSD2 requires a license to perform certain defined "payment services" in a European Economic Area (“EEA”) Member State and such license may be extended throughout other Member States of the EEA through passporting of the license (either on a freedom of service or freedom of establishment basis).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Traditionally, we passported our U.K., German and Spanish payment services authorizations to several Member States. As a result of Brexit, our U.K, payment institution is no longer capable of passporting its license into the EEA and the relevant EEA business was transferred to our other licenses prior to the end of the Brexit transition period. Additionally, in the U.K., we have obtained an e-money license.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 Prior to the end of the Brexit transition period, our e-money license was passported into over twenty-five EEA Member States. As a result of Brexit, we have restructured the regulated services provided by our U.K. e-money institution in the EEA Member States and transitioned them to our other payment service licenses that can still operate in the EEA. The e-money institution will continue to operate in the U.K. unchanged.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2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operations involve the collection and storage of certain types of personal customer data that are subject to privacy and security laws in the U.S. and abroad. In the United States, we are subject to the Gramm-Leach-Bliley Act ("GLBA") and various state laws including California Consumer Privacy Act ("CCPA"), which requires that financial institutions have in place policies regarding the collection, processing, storage and disclosure of information considered nonpublic personal information. Laws in other countries include the E.U.'s General Data Protection Regulation (2016/679) ("GDPR"), which became effective from May 25, 2018, as well as the laws of other countries. 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comply with the GLBA and state privacy provisions. 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Despite the July 2020 ruling of the European Court of Justice, we believe we remain in compliance with E.U. regulations regarding the transfer of personal data to the United States and other jurisdictions.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 FCPA. Because our services are offered in many countries throughout the world and we do business with a number of banks and other financial institutions owned or controlled by foreign governments,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Sanctions Compliance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anti-money laundering laws and regulations, our products and services are subject to economic and trade sanctions laws and regulations promulgated by OFAC and other jurisdictions in which our products and services are offered. The sanctions laws and regulations prohibit or restrict transactions to or from (or dealings with or involving) certain countries, regions, governments, and in certain circumstances, specified foreign nationals, as well as with certain individuals and entities such as narcotics traffickers, terrorists, and terrorist organizations. These sanctions laws and regulations require screening of transactions against government watch-lists, including but not limited to, the watch-lists maintained by OFAC, and include transactional and other reporting to government agencies.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Programs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 as well as our consumer protection policies and procedures.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brand names of "Ria," "Ria Financial Services," "Ria Envia," "xe," "AFEX," "IME,"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 and DCC services.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With respect to our epay Segment, we maintain registered trademarks for the "epay" brand and logo in the U.S., U.K., E.U. (through a Community Trademark application, which provides enforceability of the epay trademark in all member states of the European Union), Brazil, Singapore, India, Australia and New Zealand. We have filed trademark applications for additional iterations of the "epay” brand in India, which are pending.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have filed a trademark application for the “epay” brand with the Madrid Protocol, which, if granted, will simplify the process to extending the international protection of the epay trademark. We cannot be certain that we are entitled to use the epay trademark in any markets other than those in which we have registered the trademark; however, before entering new markets, we conduct searches to understand our usage rights. We have filed patent applications for certain POS top-up and other epay technology. Certain patents have been granted while others have been refused or are still pending. We also hold a patent license covering certain of epay's operations in the U.S.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difficult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ofFebruary 22, 2023are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90"/>
              </w:rPr>
              <w:t>Age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642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J. Brown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66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Rick L. Weller</w:t>
            </w:r>
          </w:p>
        </w:tc>
        <w:tc>
          <w:tcPr>
            <w:tcW w:w="1100" w:type="dxa"/>
            <w:vAlign w:val="bottom"/>
          </w:tcPr>
          <w:p>
            <w:pPr>
              <w:jc w:val="center"/>
              <w:ind w:left="312"/>
              <w:spacing w:after="0"/>
              <w:rPr>
                <w:sz w:val="20"/>
                <w:szCs w:val="20"/>
                <w:color w:val="auto"/>
              </w:rPr>
            </w:pPr>
            <w:r>
              <w:rPr>
                <w:rFonts w:ascii="Arial" w:cs="Arial" w:eastAsia="Arial" w:hAnsi="Arial"/>
                <w:sz w:val="18"/>
                <w:szCs w:val="18"/>
                <w:color w:val="auto"/>
                <w:w w:val="89"/>
              </w:rPr>
              <w:t>65</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November 2002</w:t>
            </w:r>
          </w:p>
        </w:tc>
        <w:tc>
          <w:tcPr>
            <w:tcW w:w="6420" w:type="dxa"/>
            <w:vAlign w:val="bottom"/>
          </w:tcPr>
          <w:p>
            <w:pPr>
              <w:ind w:left="16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Scott D. Claassen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56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Counsel and Secretary</w:t>
            </w:r>
          </w:p>
        </w:tc>
      </w:tr>
      <w:tr>
        <w:trPr>
          <w:trHeight w:val="229"/>
        </w:trPr>
        <w:tc>
          <w:tcPr>
            <w:tcW w:w="2140" w:type="dxa"/>
            <w:vAlign w:val="bottom"/>
          </w:tcPr>
          <w:p>
            <w:pPr>
              <w:ind w:left="40"/>
              <w:spacing w:after="0"/>
              <w:rPr>
                <w:sz w:val="20"/>
                <w:szCs w:val="20"/>
                <w:color w:val="auto"/>
              </w:rPr>
            </w:pPr>
            <w:r>
              <w:rPr>
                <w:rFonts w:ascii="Arial" w:cs="Arial" w:eastAsia="Arial" w:hAnsi="Arial"/>
                <w:sz w:val="18"/>
                <w:szCs w:val="18"/>
                <w:color w:val="auto"/>
              </w:rPr>
              <w:t>Kevin J. Caponecchi</w:t>
            </w:r>
          </w:p>
        </w:tc>
        <w:tc>
          <w:tcPr>
            <w:tcW w:w="1100" w:type="dxa"/>
            <w:vAlign w:val="bottom"/>
          </w:tcPr>
          <w:p>
            <w:pPr>
              <w:jc w:val="center"/>
              <w:ind w:left="312"/>
              <w:spacing w:after="0"/>
              <w:rPr>
                <w:sz w:val="20"/>
                <w:szCs w:val="20"/>
                <w:color w:val="auto"/>
              </w:rPr>
            </w:pPr>
            <w:r>
              <w:rPr>
                <w:rFonts w:ascii="Arial" w:cs="Arial" w:eastAsia="Arial" w:hAnsi="Arial"/>
                <w:sz w:val="18"/>
                <w:szCs w:val="18"/>
                <w:color w:val="auto"/>
                <w:w w:val="89"/>
              </w:rPr>
              <w:t>56</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6420" w:type="dxa"/>
            <w:vAlign w:val="bottom"/>
          </w:tcPr>
          <w:p>
            <w:pPr>
              <w:ind w:left="160"/>
              <w:spacing w:after="0"/>
              <w:rPr>
                <w:sz w:val="20"/>
                <w:szCs w:val="20"/>
                <w:color w:val="auto"/>
              </w:rPr>
            </w:pPr>
            <w:r>
              <w:rPr>
                <w:rFonts w:ascii="Arial" w:cs="Arial" w:eastAsia="Arial" w:hAnsi="Arial"/>
                <w:sz w:val="18"/>
                <w:szCs w:val="18"/>
                <w:color w:val="auto"/>
                <w:w w:val="97"/>
              </w:rPr>
              <w:t>Executive Vice President - Chief Executive Officer, epay, Software and EFT Asia</w:t>
            </w:r>
          </w:p>
        </w:tc>
      </w:tr>
      <w:tr>
        <w:trPr>
          <w:trHeight w:val="230"/>
        </w:trPr>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Pacific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Juan C. Bianchi</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52</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Executive Vice President - Chief Executive Officer, Money Transfer Segment</w:t>
            </w:r>
          </w:p>
        </w:tc>
      </w:tr>
      <w:tr>
        <w:trPr>
          <w:trHeight w:val="229"/>
        </w:trPr>
        <w:tc>
          <w:tcPr>
            <w:tcW w:w="2140" w:type="dxa"/>
            <w:vAlign w:val="bottom"/>
          </w:tcPr>
          <w:p>
            <w:pPr>
              <w:ind w:left="40"/>
              <w:spacing w:after="0"/>
              <w:rPr>
                <w:sz w:val="20"/>
                <w:szCs w:val="20"/>
                <w:color w:val="auto"/>
              </w:rPr>
            </w:pPr>
            <w:r>
              <w:rPr>
                <w:rFonts w:ascii="Arial" w:cs="Arial" w:eastAsia="Arial" w:hAnsi="Arial"/>
                <w:sz w:val="18"/>
                <w:szCs w:val="18"/>
                <w:color w:val="auto"/>
              </w:rPr>
              <w:t>Nikos Fountas</w:t>
            </w:r>
          </w:p>
        </w:tc>
        <w:tc>
          <w:tcPr>
            <w:tcW w:w="1100" w:type="dxa"/>
            <w:vAlign w:val="bottom"/>
          </w:tcPr>
          <w:p>
            <w:pPr>
              <w:jc w:val="center"/>
              <w:ind w:left="312"/>
              <w:spacing w:after="0"/>
              <w:rPr>
                <w:sz w:val="20"/>
                <w:szCs w:val="20"/>
                <w:color w:val="auto"/>
              </w:rPr>
            </w:pPr>
            <w:r>
              <w:rPr>
                <w:rFonts w:ascii="Arial" w:cs="Arial" w:eastAsia="Arial" w:hAnsi="Arial"/>
                <w:sz w:val="18"/>
                <w:szCs w:val="18"/>
                <w:color w:val="auto"/>
                <w:w w:val="89"/>
              </w:rPr>
              <w:t>59</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6420" w:type="dxa"/>
            <w:vAlign w:val="bottom"/>
          </w:tcPr>
          <w:p>
            <w:pPr>
              <w:ind w:left="160"/>
              <w:spacing w:after="0"/>
              <w:rPr>
                <w:sz w:val="20"/>
                <w:szCs w:val="20"/>
                <w:color w:val="auto"/>
              </w:rPr>
            </w:pPr>
            <w:r>
              <w:rPr>
                <w:rFonts w:ascii="Arial" w:cs="Arial" w:eastAsia="Arial" w:hAnsi="Arial"/>
                <w:sz w:val="18"/>
                <w:szCs w:val="18"/>
                <w:color w:val="auto"/>
                <w:w w:val="96"/>
              </w:rPr>
              <w:t>Executive Vice President - Chief Executive Officer, EFT Europe, Middle East and</w:t>
            </w:r>
          </w:p>
        </w:tc>
      </w:tr>
      <w:tr>
        <w:trPr>
          <w:trHeight w:val="230"/>
        </w:trPr>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Africa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3"/>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Martin L. Bruckner</w:t>
            </w:r>
          </w:p>
        </w:tc>
        <w:tc>
          <w:tcPr>
            <w:tcW w:w="11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9"/>
              </w:rPr>
              <w:t>47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2014</w:t>
            </w: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SCOTT D. CLAASSEN, General Counsel and Secretary. Mr. Claassen has been General Counsel and Secretary of Euronet since joining the Company in May 2020. Prior to this, he practiced corporate law with Stinson LLP and Shook, Hardy and Bacon LLP. He is a member of the Kansas and Missouri bars. He received a B.S. in Agriculture from Kansas State University, an MBA from the University of Kansas and a law degree from Harvard Law School.</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Consumer&amp;Industrial,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"Corporate Governance / Documents and Charters".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GOVERNMENT AND REGULATION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Because we are a multinational company conducting a complex business in many markets worldwide, we are subject to legal and operational risks related to </w:t>
      </w:r>
      <w:r>
        <w:rPr>
          <w:rFonts w:ascii="Arial" w:cs="Arial" w:eastAsia="Arial" w:hAnsi="Arial"/>
          <w:sz w:val="18"/>
          <w:szCs w:val="18"/>
          <w:color w:val="auto"/>
        </w:rPr>
        <w:t>a</w:t>
      </w:r>
      <w:r>
        <w:rPr>
          <w:rFonts w:ascii="Arial" w:cs="Arial" w:eastAsia="Arial" w:hAnsi="Arial"/>
          <w:sz w:val="18"/>
          <w:szCs w:val="18"/>
          <w:b w:val="1"/>
          <w:bCs w:val="1"/>
          <w:color w:val="auto"/>
        </w:rPr>
        <w:t xml:space="preserve"> broad array of local legal and regulatory requirements which could adversely affect our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outside of the U.S. creates difficulties associated with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anti-money laundering, sanctions, employment, transfer pricing and other laws or regulations to which we may be subject. We also cannot assure you that these laws will not be modified in ways that may adversely affect our business.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epay Segment, as we continue to expand our electronic payment product and service offerings, certain of those products and/or services may become regulated by state, federal or foreign laws, rules and regulations. New payment product and/or service offerings may trigger payment regulation within the jurisdiction in which we are offering such payment products and services which may require licensure for epay and/or our partner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jc w:val="both"/>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Africa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subsidiaries in Central and Eastern Europe, the Middle East, Asia Pacific, Africa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Recent changes to the political climate in certain Eastern European countries increases the risk that a potential military conflict may adversely impact our operations in that region and disrupt our ATM network.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products and services.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Governments may prohibit or restrict the use of certain legal structures designed to minimize taxes. Any such tax increases, whether borne by us or our customers, could negatively impact our operating results or the demand for our products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OFAC, BSA, FINCEN, USA PATRIOT Act regulations, the Dodd-Frank Act or any other existing or future regulations that impact any aspect of our money transfer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transfer revenues.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USA PATRIOT Act, the Dodd-Frank Act and other regulations (both U.S. and foreign) is important to our success in achieving growth and an inability to do this could have an adverse impact on our revenues and earnings. Anti-money laundering, sanctions,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 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SUPPLY CHAIN AND THIRD PARTIES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Our contracts with content providers are not exclusive, so these providers may enter into contracts with other service providers. In addition, our service contracts with major retailers typically have terms of one to three years.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margins or other terms could have a material adverse impact on our working capital requirements and/or results from operations. In addition, our contracts generally permit content providers to reduce our margin or commission at any time. Commission and margin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content and electronic payment product offerings could have a material adverse effect on our business,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contracts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9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w:t>
      </w:r>
      <w:r>
        <w:rPr>
          <w:rFonts w:ascii="Arial" w:cs="Arial" w:eastAsia="Arial" w:hAnsi="Arial"/>
          <w:sz w:val="7"/>
          <w:szCs w:val="7"/>
          <w:color w:val="auto"/>
        </w:rPr>
        <w:t>®</w:t>
      </w:r>
      <w:r>
        <w:rPr>
          <w:rFonts w:ascii="Arial" w:cs="Arial" w:eastAsia="Arial" w:hAnsi="Arial"/>
          <w:sz w:val="16"/>
          <w:szCs w:val="16"/>
          <w:color w:val="auto"/>
        </w:rPr>
        <w:t xml:space="preserve"> or Mastercard</w:t>
      </w:r>
      <w:r>
        <w:rPr>
          <w:rFonts w:ascii="Arial" w:cs="Arial" w:eastAsia="Arial" w:hAnsi="Arial"/>
          <w:sz w:val="7"/>
          <w:szCs w:val="7"/>
          <w:color w:val="auto"/>
        </w:rPr>
        <w:t>®</w:t>
      </w:r>
      <w:r>
        <w:rPr>
          <w:rFonts w:ascii="Arial" w:cs="Arial" w:eastAsia="Arial" w:hAnsi="Arial"/>
          <w:sz w:val="16"/>
          <w:szCs w:val="16"/>
          <w:color w:val="auto"/>
        </w:rPr>
        <w:t>) or national transaction processing switching networks. If a bankcard issuer fails to settle transactions in accordance with those rules, we are dependent upon cooperation from such associations or switching networks to enforce our right of settlement against such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incur substantial losses if one of the third party depository institutions or financial institutions we use in our operations were to fail.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other international financial transaction switching networks operated by organizations such as Citibank, Visa</w:t>
      </w:r>
      <w:r>
        <w:rPr>
          <w:rFonts w:ascii="Arial" w:cs="Arial" w:eastAsia="Arial" w:hAnsi="Arial"/>
          <w:sz w:val="8"/>
          <w:szCs w:val="8"/>
          <w:color w:val="auto"/>
        </w:rPr>
        <w:t>®</w:t>
      </w:r>
      <w:r>
        <w:rPr>
          <w:rFonts w:ascii="Arial" w:cs="Arial" w:eastAsia="Arial" w:hAnsi="Arial"/>
          <w:sz w:val="18"/>
          <w:szCs w:val="18"/>
          <w:color w:val="auto"/>
        </w:rPr>
        <w:t xml:space="preserve"> and Mastercard</w:t>
      </w:r>
      <w:r>
        <w:rPr>
          <w:rFonts w:ascii="Arial" w:cs="Arial" w:eastAsia="Arial" w:hAnsi="Arial"/>
          <w:sz w:val="8"/>
          <w:szCs w:val="8"/>
          <w:color w:val="auto"/>
        </w:rPr>
        <w:t>®</w:t>
      </w:r>
      <w:r>
        <w:rPr>
          <w:rFonts w:ascii="Arial" w:cs="Arial" w:eastAsia="Arial" w:hAnsi="Arial"/>
          <w:sz w:val="18"/>
          <w:szCs w:val="18"/>
          <w:color w:val="auto"/>
        </w:rPr>
        <w:t>,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2022, the amount of cash used in our ATM networks under these supply agreements was approximately $319.8 million. Before the cash is disbursed to ATM customers, beneficial ownership of the cash is generally retained by the cash providers, and we have no access or proprietary rights to the cash.</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encountered difficulty in obtaining cash supply arrangements in certain of our markets, including Greece, and directly provide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CORPORATE GROWTH STRATEGIES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left="540"/>
        <w:spacing w:after="0" w:line="254" w:lineRule="auto"/>
        <w:rPr>
          <w:sz w:val="20"/>
          <w:szCs w:val="20"/>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440"/>
        <w:spacing w:after="0" w:line="250" w:lineRule="auto"/>
        <w:rPr>
          <w:sz w:val="20"/>
          <w:szCs w:val="20"/>
          <w:color w:val="auto"/>
        </w:rPr>
      </w:pPr>
      <w:r>
        <w:rPr>
          <w:rFonts w:ascii="Arial" w:cs="Arial" w:eastAsia="Arial" w:hAnsi="Arial"/>
          <w:sz w:val="18"/>
          <w:szCs w:val="18"/>
          <w:color w:val="auto"/>
        </w:rPr>
        <w:t>The execution of our integration plans may divert the attention of our management from other key responsibilities; We may assume unanticipated liabilities and contingencies;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Future acquisitions may be effected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 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results of operations and financial condition could be materially and adversely affected.</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4" w:lineRule="exact"/>
        <w:rPr>
          <w:sz w:val="20"/>
          <w:szCs w:val="20"/>
          <w:color w:val="auto"/>
        </w:rPr>
      </w:pPr>
    </w:p>
    <w:p>
      <w:pPr>
        <w:ind w:left="480" w:hanging="29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3" w:lineRule="exact"/>
        <w:rPr>
          <w:rFonts w:ascii="Arial" w:cs="Arial" w:eastAsia="Arial" w:hAnsi="Arial"/>
          <w:sz w:val="18"/>
          <w:szCs w:val="18"/>
          <w:color w:val="auto"/>
        </w:rPr>
      </w:pPr>
    </w:p>
    <w:p>
      <w:pPr>
        <w:ind w:left="480" w:hanging="29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9" w:lineRule="exact"/>
        <w:rPr>
          <w:rFonts w:ascii="Arial" w:cs="Arial" w:eastAsia="Arial" w:hAnsi="Arial"/>
          <w:sz w:val="18"/>
          <w:szCs w:val="18"/>
          <w:color w:val="auto"/>
        </w:rPr>
      </w:pPr>
    </w:p>
    <w:p>
      <w:pPr>
        <w:ind w:left="480" w:hanging="29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9" w:lineRule="exact"/>
        <w:rPr>
          <w:rFonts w:ascii="Arial" w:cs="Arial" w:eastAsia="Arial" w:hAnsi="Arial"/>
          <w:sz w:val="18"/>
          <w:szCs w:val="18"/>
          <w:color w:val="auto"/>
        </w:rPr>
      </w:pPr>
    </w:p>
    <w:p>
      <w:pPr>
        <w:ind w:left="480" w:hanging="29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If consumer confidence in our business or brands declines, our business may be adversely affected.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relies on customer confidence in our brands and our ability to provide efficient and reliable products and services across each of our segments. For our Money Transfer division,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CAPITAL MARKETS AND ECONOMIC CONDITIONS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outbreak of COVID-19 (coronavirus) has negatively impacted and could continue to negatively impact the global economy. In addition, the COVID-19 pandemic could disrupt or otherwise negatively impact global credit markets and our operations, including the demand for our products and services.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significant outbreak of COVID-19 has resulted in a widespread health crisis, which has negatively impacted and could continue to negatively impact the global economy. In addition, the global and regional impact of the outbreak, including official or unofficial quarantines and governmental restrictions on activities taken in response to such event, has had, and could continue to have a negative impact on our operations, reduced consumer demand for our products and services due to reduced consumer traffic in, or closure of, retail and other locations where our products and services are offered, including voluntary or mandatory temporary closures of our facilities or those of our agents or customers; interruptions in our supply chain, which could impact the cost or availability of equipment; disruptions or restrictions on our ability to travel or to market and distribute our products and services; and labor shortages.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the COVID-19 pandemic has resulted in travel restrictions within and between countries, including mandatory quarantine requirements for travelers from certain locations, and varying degrees of social distancing orders in most of the countries where we do business, beginning in early 2020. These travel restrictions and orders, as well as increased unemployment and general economic uncertainty caused by the pandemic, have negatively impacted our financial results. The EFT Segment has experienced declines in certain transaction volumes due to these restrictions, especially high-margin cross-border transactions. The epay Segment has experienced the impacts of consumer movement restrictions in certain markets. The Money Transfer Segment has experienced the impacts by the pandemic-related restrictions in certain markets that limit customers' ability to access our network of company-owned stores and agents. All of these factors, in turn, may not only impact our operations, financial condition and demand for our products and services but our overall ability to react timely to mitigate the impact of this event.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outbreak could disrupt or otherwise negatively impact credit markets, which could adversely affect the availability and cost of capital. Such impacts could limit our ability to fund our operations and satisfy our obligations.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extent and potential impact of the COVID-19 outbreak on our operational and financial performance will depend on future developments, including the duration, severity and spread of the virus, the effectiveness of vaccines and treatments against variants of the virus, actions that may be taken by governmental authorities and the impact on our supply chain, customers, operations, workforce and the financial markets, all of which are highly uncertain and cannot be predicted. These and other potential impacts of an epidemic, pandemic or other health crisis, such as COVID-19, could therefore materially and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We are subject to political tension, the outbreak of wars, economic downturns all over the world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Economic conditions around the world, and in certain markets in which the Company does business, could impact sales price and volume. As a result, market uncertainty or an economic downturn driven by inflationary pressures; political tensions; war, including the ongoing conflict between Russia and Ukraine and the related sanctions and export restrictions; terrorism; epidemics; pandemics; or political instability in the geographic regions or industries in which the Company provides services and products could reduce demand and result in decreased sales volume, which could have a negative impact on the Company’s results of operations.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2022, Russia invaded Ukraine resulting in the United States, Canada, the European Union and other countries imposing economic sanctions on Russia. Euronet suspended its operations and product offerings in Russia. This action has not had a material impact on the Company's financial condition or results of operations. However, the fluidity and continuation of the conflict may result in additional economic sanctions and other impacts which could have a negative impact on the Company’s financial condition, results of operations and cash flows. These include decreased sales; potential disruptions in neighboring countries where Euronet has operations; volatility in foreign exchange rates and interest rates; inflationary pressures; and heightened cybersecurity threats.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 frame, coinciding with certain holidays and the increase in worker migration patterns. As a result of these seasonal variations, our quarterly operating results may fluctuate materially and could lead to volatility in the price of our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Additionally, economic or political instability, wars, civil unrest, terrorism, epidemics and natural disasters may make money transfers to, from or within a particular country more difficult. The inability to timely complete money transfers could adversely affect our business.</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Economic cycles may lead us to recognize impairment charges related to long-lived assets and goodwill recorded in connection with our acquisitions, which would adversely impact our results of operations. Our total assets include approximately $1,017 million, or 19% of total assets, in goodwill and acquired intangible assets recorded as a result of acquisitions. We assess our goodwill, intangible assets and other long-lived assets as and when required by accounting principles generally accepted in the U.S. to determine whether they are impaired. We have had material impairment write-downs of goodwill and acquired intangible assets in the past and we may have additional impairment write-downs in the future. If operating results in any of our key markets, including Australia, Germany, Greece, Malaysia, India, New Zealand, the U.S.,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total liabilities were $4,159 million, of which $1,805 million represents long-term liabilities, and total assets were $5,404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287" w:lineRule="exact"/>
        <w:rPr>
          <w:sz w:val="20"/>
          <w:szCs w:val="20"/>
          <w:color w:val="auto"/>
        </w:rPr>
      </w:pPr>
    </w:p>
    <w:p>
      <w:pPr>
        <w:ind w:left="620" w:right="32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8" w:lineRule="exact"/>
        <w:rPr>
          <w:rFonts w:ascii="Arial" w:cs="Arial" w:eastAsia="Arial" w:hAnsi="Arial"/>
          <w:sz w:val="18"/>
          <w:szCs w:val="18"/>
          <w:color w:val="auto"/>
        </w:rPr>
      </w:pPr>
    </w:p>
    <w:p>
      <w:pPr>
        <w:ind w:left="620" w:right="30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8" w:lineRule="exact"/>
        <w:rPr>
          <w:rFonts w:ascii="Arial" w:cs="Arial" w:eastAsia="Arial" w:hAnsi="Arial"/>
          <w:sz w:val="18"/>
          <w:szCs w:val="18"/>
          <w:color w:val="auto"/>
        </w:rPr>
      </w:pPr>
    </w:p>
    <w:p>
      <w:pPr>
        <w:ind w:left="620" w:hanging="31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level of indebtedness could limit our flexibility in planning for, or reacting to, changes in our business and the markets in which we operate;</w:t>
      </w:r>
    </w:p>
    <w:p>
      <w:pPr>
        <w:spacing w:after="0" w:line="86" w:lineRule="exact"/>
        <w:rPr>
          <w:rFonts w:ascii="Arial" w:cs="Arial" w:eastAsia="Arial" w:hAnsi="Arial"/>
          <w:sz w:val="16"/>
          <w:szCs w:val="16"/>
          <w:color w:val="auto"/>
        </w:rPr>
      </w:pPr>
    </w:p>
    <w:p>
      <w:pPr>
        <w:ind w:left="620" w:right="40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8" w:lineRule="exact"/>
        <w:rPr>
          <w:rFonts w:ascii="Arial" w:cs="Arial" w:eastAsia="Arial" w:hAnsi="Arial"/>
          <w:sz w:val="18"/>
          <w:szCs w:val="18"/>
          <w:color w:val="auto"/>
        </w:rPr>
      </w:pPr>
    </w:p>
    <w:p>
      <w:pPr>
        <w:ind w:left="620" w:right="340" w:hanging="314"/>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Restrictive covenants in our credit facilities may adversely affect us. Our Credit Facility (as defined below)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number of our ATMs are located in countries in the European Union that use the euro. From time to time, some of these countries, have considered leaving the European Union and adopting another currency. If such an event were to occur, the conversion of cash that we hold in banks and in our ATM network in that country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CYBER, PHYSICAL ASSET, AND DATA SECURITY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Any operational problem in our processing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Our services and infrastructure are increasingly reliant on the Internet. Computer networks and the Internet are vulnerable to unauthorized access, computer viruses and other disruptive problems such as denial of service attacks or other cyber-attacks carried out by cyber criminals or state-sponsored actors. Other potential attacks include attempts to obtain unauthorized access to confidential information or destroy data, often through the introduction of computer viruses, ransomware or malware, cyber-attacks and other means, which are constantly evolving and difficult to detect. Those same parties may also attempt to fraudulently induce employees, customers, vendors, or other users of our systems through phishing schemes or other methods to disclose sensitive information in order to gain access to our data or that of our customers or clients.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computer security breaches, and we cannot exclude the possibility of additional breaches in the future.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collect, transfer and retain personal data as part of our businesses. These activities are subject to certain privacy laws and regulations in the U.S. and in other jurisdictions where our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Under state, federal and foreign laws requiring consumer notification of security breaches, the costs to remediate security breaches can be substantial. Breaches of our security policies or applicable legal requirements resulting in a compromise of customer data could expose us to regulatory enforcement action, subject us to litigation, limit our ability to provide services and/or cause harm to our reputation.</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attacks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Failures of third-party service providers we rely upon could lead to financial loss.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 party service providers to support key portions of our operations. We also rely on third party service providers to provide part or all of certain services we deliver to customers. While we have selected these third-party vendors carefully, we do not control their actions. A failure of these services by a third party could have a material impact upon our delivery of services to customers. Such a failure could lead to damage claims, loss of customers, and reputational harm, depending on the duration and severity of the failure. Third parties perform significant operational services on our behalf. These third-party vendors are subject to similar risks as us relating to cybersecurity, breakdowns or failures of their own systems or employees.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COMPETITIVE LANDSCAPE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epay Segment</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margin/commissions or to negotiate directly with the content providers,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Money Transfer Segment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primary competitors in the money transfer and bill payment business include other large money transfer companies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Developments in payments could materially reduce our transaction levels and revenues.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billing models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GOVERNANCE MATTERS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31"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classification of our directors into three classes with respect to the time for which they hold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supermajority voting requirements to amend the provision in our certificate of incorporation providing for the classification of our directors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three such classes;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60"/>
        <w:spacing w:after="0" w:line="281" w:lineRule="auto"/>
        <w:rPr>
          <w:sz w:val="20"/>
          <w:szCs w:val="20"/>
          <w:color w:val="auto"/>
        </w:rPr>
      </w:pPr>
      <w:r>
        <w:rPr>
          <w:rFonts w:ascii="Arial" w:cs="Arial" w:eastAsia="Arial" w:hAnsi="Arial"/>
          <w:sz w:val="16"/>
          <w:szCs w:val="16"/>
          <w:color w:val="auto"/>
        </w:rPr>
        <w:t>control by our board of directors of the size of our board of directors; limitations on the ability of stockholders to call special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 exclusive forum bylaw provision for all internal corporate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69" w:lineRule="auto"/>
        <w:rPr>
          <w:sz w:val="20"/>
          <w:szCs w:val="20"/>
          <w:color w:val="auto"/>
        </w:rPr>
      </w:pPr>
      <w:r>
        <w:rPr>
          <w:rFonts w:ascii="Arial" w:cs="Arial" w:eastAsia="Arial" w:hAnsi="Arial"/>
          <w:sz w:val="17"/>
          <w:szCs w:val="17"/>
          <w:color w:val="auto"/>
        </w:rPr>
        <w:t>Additionally, we are authorized to issue up to a total of 90 million shares of common stock, potentially diluting equity ownership of current holders and the share price of our common stock. 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 additional 13.1 million shares of common stock, representing approximately 26% of the shares outstanding as of December 31, 2022,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we had 4.7 million and 0.7 million options and restricted stock awards outstanding, respectively, held by our directors, officers and employees, which entitle these holders to acquire an equal number of shares of our common stock. Of this amount, 1.5 million options are vested and exercisable as of December 31, 2022. Approximately 4.9 million additional shares of our common stock may be issued in connection with our stock incentive and employee stock purchase plans. Accordingly, based on current trading prices of our common stock, approximately 2.2 million shares could potentially be added to our total current common stock outstanding through the exercise of options and the vesting of restricted stock awards, which could adversely impact the trading price for our stock.</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5.4 million total options and restricted stock awards outstanding, an aggregate of 2.2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occurrence of certain events, another 2.8 million shares of common stock could be issued upon conversion of the Company's convertible notes issued in March 2019; in certain situations, the number of shares issuable could be higher. While we have stated that we intend to settle any conversion of these notes by issuing cash for the principal value of the notes and issuing shares of common stock for the conversion value in excess of the principal, which would significantly reduce the number of shares issued upon conversion, if our financial condition significantly and adversely changes, we may not be able to settle as intended should the notes be converted.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KEY PERSONNEL</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offices are located in Leawood, Kansas. As of December 31, 2022, we also have 36 principal offices in Europe, 14 in Asia Pacific, 10 in North America, three in the Middle East, two in South America and one in Africa. Our office leases generally provide for initial terms ranging from two to twelve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processing centers for the EFT Processing Segment are located in Germany, Hungary, India, China, and Pakistan. Processing centers we operate for the epay Segment are located in the U.K., Germany, Italy, and the U.S. Our processing centers for the Money Transfer Segment are located in the U.S., the U.K., New Zealand, and Malaysia.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8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Arial" w:cs="Arial" w:eastAsia="Arial" w:hAnsi="Arial"/>
          <w:sz w:val="18"/>
          <w:szCs w:val="18"/>
          <w:color w:val="auto"/>
        </w:rPr>
        <w:t>Our common stock, $0.02 par value per share, is quoted on the Nasdaq Global Select Market under the symbol EEFT.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no dividends have been paid on our common stock. We do not intend to distribute dividends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December 31, 2022, we had 50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During2022, we did not issue any equity securities that were not registered under the Securities Act of 1933, which have not been previously reported in a Quarterly Report on Form 10-Q or a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2017, and that dividends received were immediately invested in additional shares. The graph plots the value of the initial $100 investment at one-year intervals for the fiscal years shown.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127635</wp:posOffset>
            </wp:positionV>
            <wp:extent cx="4286250" cy="213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625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Note 16, Stock Plans, and Part III, Item 12, </w:t>
      </w:r>
      <w:r>
        <w:rPr>
          <w:rFonts w:ascii="Arial" w:cs="Arial" w:eastAsia="Arial" w:hAnsi="Arial"/>
          <w:sz w:val="18"/>
          <w:szCs w:val="18"/>
          <w:i w:val="1"/>
          <w:iCs w:val="1"/>
          <w:color w:val="auto"/>
        </w:rPr>
        <w:t>Security Ownership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Beneficial Owners and Management and Related Stockholder Matters, </w:t>
      </w:r>
      <w:r>
        <w:rPr>
          <w:rFonts w:ascii="Arial" w:cs="Arial" w:eastAsia="Arial" w:hAnsi="Arial"/>
          <w:sz w:val="18"/>
          <w:szCs w:val="18"/>
          <w:color w:val="auto"/>
        </w:rPr>
        <w:t>for information related to our equity compensation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during the three months ended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2022</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3"/>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475,049</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2022</w:t>
            </w:r>
          </w:p>
        </w:tc>
        <w:tc>
          <w:tcPr>
            <w:tcW w:w="1480" w:type="dxa"/>
            <w:vAlign w:val="bottom"/>
          </w:tcPr>
          <w:p>
            <w:pPr>
              <w:ind w:left="1260"/>
              <w:spacing w:after="0"/>
              <w:rPr>
                <w:sz w:val="20"/>
                <w:szCs w:val="20"/>
                <w:color w:val="auto"/>
              </w:rPr>
            </w:pPr>
            <w:r>
              <w:rPr>
                <w:rFonts w:ascii="Arial" w:cs="Arial" w:eastAsia="Arial" w:hAnsi="Arial"/>
                <w:sz w:val="18"/>
                <w:szCs w:val="18"/>
                <w:color w:val="auto"/>
                <w:w w:val="99"/>
              </w:rPr>
              <w:t>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9"/>
              </w:rPr>
              <w:t>__</w:t>
            </w:r>
          </w:p>
        </w:tc>
        <w:tc>
          <w:tcPr>
            <w:tcW w:w="120" w:type="dxa"/>
            <w:vAlign w:val="bottom"/>
          </w:tcPr>
          <w:p>
            <w:pPr>
              <w:spacing w:after="0"/>
              <w:rPr>
                <w:sz w:val="21"/>
                <w:szCs w:val="21"/>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__</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475,049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2022</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9"/>
              </w:rPr>
              <w:t>__</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w w:val="99"/>
              </w:rPr>
              <w:t>__</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__</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475,049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tcPr>
          <w:p>
            <w:pPr>
              <w:ind w:left="1260"/>
              <w:spacing w:after="0"/>
              <w:rPr>
                <w:sz w:val="20"/>
                <w:szCs w:val="20"/>
                <w:color w:val="auto"/>
              </w:rPr>
            </w:pPr>
            <w:r>
              <w:rPr>
                <w:rFonts w:ascii="Arial" w:cs="Arial" w:eastAsia="Arial" w:hAnsi="Arial"/>
                <w:sz w:val="18"/>
                <w:szCs w:val="18"/>
                <w:color w:val="auto"/>
                <w:w w:val="99"/>
              </w:rPr>
              <w:t>__</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9"/>
              </w:rPr>
              <w:t>__</w:t>
            </w:r>
          </w:p>
        </w:tc>
        <w:tc>
          <w:tcPr>
            <w:tcW w:w="120" w:type="dxa"/>
            <w:vAlign w:val="bottom"/>
          </w:tcPr>
          <w:p>
            <w:pPr>
              <w:spacing w:after="0"/>
              <w:rPr>
                <w:sz w:val="22"/>
                <w:szCs w:val="22"/>
                <w:color w:val="auto"/>
              </w:rPr>
            </w:pPr>
          </w:p>
        </w:tc>
        <w:tc>
          <w:tcPr>
            <w:tcW w:w="1740" w:type="dxa"/>
            <w:vAlign w:val="bottom"/>
          </w:tcPr>
          <w:p>
            <w:pPr>
              <w:ind w:left="1480"/>
              <w:spacing w:after="0"/>
              <w:rPr>
                <w:sz w:val="20"/>
                <w:szCs w:val="20"/>
                <w:color w:val="auto"/>
              </w:rPr>
            </w:pPr>
            <w:r>
              <w:rPr>
                <w:rFonts w:ascii="Arial" w:cs="Arial" w:eastAsia="Arial" w:hAnsi="Arial"/>
                <w:sz w:val="18"/>
                <w:szCs w:val="18"/>
                <w:color w:val="auto"/>
              </w:rPr>
              <w:t>__</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79"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December 8, 2021, the Company put a repurchase program in place to repurchase up to $300 million in value, but not more than 5.0 million shares of common stock through December 8, 2023. On September 13, 2022, the Company put a repurchase program in place to repurchase up to $350 million in value, but not more than 7.0 million shares of common stock through September 13, 2024. Repurchases under the programs may take place in the open market or in privately negotiated transactions, including derivative transactions, and may be made under a Rule 10b5-1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accompanying notes included elsewhere in this Annual Report on Form 10-K. This section of this Form 10-K generally discusses 2022 and 2021 items and year-to-year comparisons between 2022 and 2021. Discussions of 2021 items and year-to-year comparisons between 2021 and 2020 that are not included in this Form 10-K can be found in "Management's Discussion and Analysis of Financial Condition and Results of Operations" in Part II, Item 7 of our Annual Report on Form 10-K for the fiscal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Euronet is a leading financial technology solutions and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171" w:lineRule="exact"/>
        <w:rPr>
          <w:sz w:val="20"/>
          <w:szCs w:val="20"/>
          <w:color w:val="auto"/>
        </w:rPr>
      </w:pPr>
    </w:p>
    <w:p>
      <w:pPr>
        <w:jc w:val="both"/>
        <w:ind w:firstLine="8"/>
        <w:spacing w:after="0" w:line="257"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45,009 ATMs and approximately 613,000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and other value added services. Through this segment, we also offer a suite of integrated electronic financial transaction software solutions for electronic payment and transaction delivery systems.</w:t>
      </w:r>
    </w:p>
    <w:p>
      <w:pPr>
        <w:spacing w:after="0" w:line="187" w:lineRule="exact"/>
        <w:rPr>
          <w:rFonts w:ascii="Arial" w:cs="Arial" w:eastAsia="Arial" w:hAnsi="Arial"/>
          <w:sz w:val="18"/>
          <w:szCs w:val="18"/>
          <w:color w:val="auto"/>
        </w:rPr>
      </w:pPr>
    </w:p>
    <w:p>
      <w:pPr>
        <w:jc w:val="both"/>
        <w:ind w:firstLine="8"/>
        <w:spacing w:after="0" w:line="311" w:lineRule="auto"/>
        <w:tabs>
          <w:tab w:leader="none" w:pos="1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content. We operate a network of approximately 816,000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jc w:val="both"/>
        <w:ind w:firstLine="8"/>
        <w:spacing w:after="0" w:line="253" w:lineRule="auto"/>
        <w:tabs>
          <w:tab w:leader="none" w:pos="2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522,000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EFT Processing Segment</w:t>
      </w:r>
      <w:r>
        <w:rPr>
          <w:rFonts w:ascii="Arial" w:cs="Arial" w:eastAsia="Arial" w:hAnsi="Arial"/>
          <w:sz w:val="17"/>
          <w:szCs w:val="17"/>
          <w:color w:val="auto"/>
        </w:rPr>
        <w:t>— Revenues in the EFT Processing Segment, which represented approximately 28%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2022,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epay Segment</w:t>
      </w:r>
      <w:r>
        <w:rPr>
          <w:rFonts w:ascii="Arial" w:cs="Arial" w:eastAsia="Arial" w:hAnsi="Arial"/>
          <w:sz w:val="17"/>
          <w:szCs w:val="17"/>
          <w:color w:val="auto"/>
        </w:rPr>
        <w:t>— Revenues in the epay Segment, which represented approximately 30% of total consolidated revenues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67%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Money Transfer Segment</w:t>
      </w:r>
      <w:r>
        <w:rPr>
          <w:rFonts w:ascii="Arial" w:cs="Arial" w:eastAsia="Arial" w:hAnsi="Arial"/>
          <w:sz w:val="16"/>
          <w:szCs w:val="16"/>
          <w:color w:val="auto"/>
        </w:rPr>
        <w:t>— Revenues in the Money Transfer Segment, which represented approximately 42%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2022,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53"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Corporate Services, Eliminations and Other</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92" w:lineRule="exact"/>
        <w:rPr>
          <w:sz w:val="20"/>
          <w:szCs w:val="20"/>
          <w:color w:val="auto"/>
        </w:rPr>
      </w:pPr>
    </w:p>
    <w:p>
      <w:pPr>
        <w:jc w:val="both"/>
        <w:ind w:firstLine="8"/>
        <w:spacing w:after="0" w:line="276"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Mastercard</w:t>
      </w:r>
      <w:r>
        <w:rPr>
          <w:rFonts w:ascii="Arial" w:cs="Arial" w:eastAsia="Arial" w:hAnsi="Arial"/>
          <w:sz w:val="23"/>
          <w:szCs w:val="23"/>
          <w:color w:val="auto"/>
          <w:vertAlign w:val="superscript"/>
        </w:rPr>
        <w:t>®</w:t>
      </w:r>
      <w:r>
        <w:rPr>
          <w:rFonts w:ascii="Arial" w:cs="Arial" w:eastAsia="Arial" w:hAnsi="Arial"/>
          <w:sz w:val="16"/>
          <w:szCs w:val="16"/>
          <w:color w:val="auto"/>
        </w:rPr>
        <w:t>, that govern ATM interchange fees, direct access fees and other restrictions. Our profitability is dependent on the laws and regulations that govern DCC transactions, specifically in the E.U.,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181" w:lineRule="exact"/>
        <w:rPr>
          <w:rFonts w:ascii="Arial" w:cs="Arial" w:eastAsia="Arial" w:hAnsi="Arial"/>
          <w:sz w:val="16"/>
          <w:szCs w:val="16"/>
          <w:color w:val="auto"/>
        </w:rPr>
      </w:pPr>
    </w:p>
    <w:p>
      <w:pPr>
        <w:jc w:val="both"/>
        <w:ind w:firstLine="8"/>
        <w:spacing w:after="0" w:line="270" w:lineRule="auto"/>
        <w:tabs>
          <w:tab w:leader="none" w:pos="1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spacing w:after="0" w:line="290" w:lineRule="auto"/>
        <w:rPr>
          <w:sz w:val="20"/>
          <w:szCs w:val="20"/>
          <w:color w:val="auto"/>
        </w:rPr>
      </w:pPr>
      <w:r>
        <w:rPr>
          <w:rFonts w:ascii="Arial" w:cs="Arial" w:eastAsia="Arial" w:hAnsi="Arial"/>
          <w:sz w:val="16"/>
          <w:szCs w:val="16"/>
          <w:color w:val="auto"/>
        </w:rPr>
        <w:t>3)The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the COVID-19 (coronavirus) pandemic has resulted in varying degrees of border and business closures, travel restrictions and other social distancing orders in most of the countries where we operate during 2021 and part of 2022. These types of orders were first put into effect in the first half of 2020. As the number and rate of new cases has fluctuated in various locations around the global, the closures, restrictions and other social distancing orders have been modified, rescinded and/or re-imposed. During 2022, we experienced a significant recovery from the previous business closures and travel restrictions that were in place in many of our markets during 2020 and 2021. However, the travel industry has not yet fully recovered as the airlines and airports have not returned their staffing levels to pre-COVID levels, which has limited the level of recovery.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has experienced the impacts by the pandemic-related restrictions in certain markets that limit customers' ability to access our network of Company-owned stores and agents.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COVID-19 pandemic driven impacts, we implemented several key measures to offset the impact across the business, including re-negotiating certain third party contracts, reducing travel and decreasing capital expenditures.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Operating Income (Expense)</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591,138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epay</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998,009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120,950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123,037</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1,400,957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154,254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119,595</w:t>
            </w: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3,366,521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3,003,577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242,131</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(58,115)</w:t>
            </w:r>
          </w:p>
        </w:tc>
        <w:tc>
          <w:tcPr>
            <w:tcW w:w="0" w:type="dxa"/>
            <w:vAlign w:val="bottom"/>
          </w:tcPr>
          <w:p>
            <w:pPr>
              <w:spacing w:after="0"/>
              <w:rPr>
                <w:sz w:val="1"/>
                <w:szCs w:val="1"/>
                <w:color w:val="auto"/>
              </w:rPr>
            </w:pPr>
          </w:p>
        </w:tc>
      </w:tr>
      <w:tr>
        <w:trPr>
          <w:trHeight w:val="236"/>
        </w:trPr>
        <w:tc>
          <w:tcPr>
            <w:tcW w:w="4300" w:type="dxa"/>
            <w:vAlign w:val="bottom"/>
          </w:tcPr>
          <w:p>
            <w:pPr>
              <w:ind w:left="380"/>
              <w:spacing w:after="0"/>
              <w:rPr>
                <w:sz w:val="20"/>
                <w:szCs w:val="20"/>
                <w:color w:val="auto"/>
              </w:rPr>
            </w:pPr>
            <w:r>
              <w:rPr>
                <w:rFonts w:ascii="Arial" w:cs="Arial" w:eastAsia="Arial" w:hAnsi="Arial"/>
                <w:sz w:val="18"/>
                <w:szCs w:val="18"/>
                <w:color w:val="auto"/>
              </w:rPr>
              <w:t>Total</w:t>
            </w: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3,358,741</w:t>
            </w:r>
          </w:p>
        </w:tc>
        <w:tc>
          <w:tcPr>
            <w:tcW w:w="10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2,995,443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385,339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184,016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consolidated revenues increased by 12% for2022 compared to2021.The increase in revenues for2022 was primarily due to the easing of COVID-19 related travel restrictions in 2022 compared to 2021, which led to an increase in demand for DCC, domestic and international surcharge and other value added services in our EFT Processing Segment as well as growth in the number of money transfers processed by the core Ria business and the number of transactions processed by our epay subsidiaries.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annual consolidated operating income increased by 109% for 2022 compared to 2021. The increase in operating income for2022 was primarily due to the increases in transaction volume across all three segments.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Euronet for 2022 was $231.0 million, or $4.41 per diluted share compared to a net income attributable to Euronet for 2021 of $70.7 million, or $1.32 per diluted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2022 consolidated operating income was approximately (12%) lower due to changes in foreign currency exchange rates when compared to 2021.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2022 and 2021, of the currencies of the countries in which we have our most significant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Average Translation Rate Year Ended</w:t>
            </w:r>
          </w:p>
        </w:tc>
        <w:tc>
          <w:tcPr>
            <w:tcW w:w="142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rPr>
              <w:t>2022 Increase</w:t>
            </w:r>
          </w:p>
        </w:tc>
      </w:tr>
      <w:tr>
        <w:trPr>
          <w:trHeight w:val="209"/>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w:t>
            </w: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 Percent</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0.6949</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0.7513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1.2374</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1.3755</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0.7691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0.7979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euro</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1.0541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1.1830</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0.0027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0.0033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0.0127</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0.0135</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Malaysian ringgit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0.2278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0.2415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New Zealand dollar</w:t>
            </w:r>
          </w:p>
        </w:tc>
        <w:tc>
          <w:tcPr>
            <w:tcW w:w="3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0.6361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0.7073</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0.2255</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0.2595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59"/>
        </w:trPr>
        <w:tc>
          <w:tcPr>
            <w:tcW w:w="3500" w:type="dxa"/>
            <w:vAlign w:val="bottom"/>
          </w:tcPr>
          <w:p>
            <w:pPr>
              <w:spacing w:after="0"/>
              <w:rPr>
                <w:sz w:val="24"/>
                <w:szCs w:val="24"/>
                <w:color w:val="auto"/>
              </w:rPr>
            </w:pPr>
          </w:p>
        </w:tc>
        <w:tc>
          <w:tcPr>
            <w:tcW w:w="3460" w:type="dxa"/>
            <w:vAlign w:val="bottom"/>
          </w:tcPr>
          <w:p>
            <w:pPr>
              <w:jc w:val="right"/>
              <w:ind w:right="115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Operating Results For The Years Ended December 31, 2022 and 2021 - By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years ended December 31, 2022 and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(Decrease) 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591,138</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475,785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90,969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740,317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5820" w:type="dxa"/>
            <w:vAlign w:val="bottom"/>
          </w:tcPr>
          <w:p>
            <w:pPr>
              <w:ind w:left="600"/>
              <w:spacing w:after="0"/>
              <w:rPr>
                <w:sz w:val="20"/>
                <w:szCs w:val="20"/>
                <w:color w:val="auto"/>
              </w:rPr>
            </w:pPr>
            <w:r>
              <w:rPr>
                <w:rFonts w:ascii="Arial" w:cs="Arial" w:eastAsia="Arial" w:hAnsi="Arial"/>
                <w:sz w:val="18"/>
                <w:szCs w:val="18"/>
                <w:color w:val="auto"/>
              </w:rPr>
              <w:t>Operating income / (loss)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183,891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184,392</w:t>
            </w:r>
          </w:p>
        </w:tc>
        <w:tc>
          <w:tcPr>
            <w:tcW w:w="100" w:type="dxa"/>
            <w:vAlign w:val="bottom"/>
          </w:tcPr>
          <w:p>
            <w:pPr>
              <w:spacing w:after="0"/>
              <w:rPr>
                <w:sz w:val="24"/>
                <w:szCs w:val="24"/>
                <w:color w:val="auto"/>
              </w:rPr>
            </w:pPr>
          </w:p>
        </w:tc>
        <w:tc>
          <w:tcPr>
            <w:tcW w:w="1260" w:type="dxa"/>
            <w:vAlign w:val="bottom"/>
          </w:tcPr>
          <w:p>
            <w:pPr>
              <w:jc w:val="right"/>
              <w:ind w:right="8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Transactions processed (millions)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Active ATMs as of December 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active ATMs</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n/m: not meaningful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EFT Processing Segment total revenues were $924.2 million for the year ended December 31, 2022, an increase of $333.1 million or 56% compared to the same period in 2021. In2021, we began increasing our estate of active ATMs as certain countries began easing COVID-19 restrictions; however, remaining cross-border travel patterns prevented our volume of DCC and surcharge transactions from returning to pre-COVID-19 levels. During 2022 we saw further easing of COVID-19 restrictions. Revenues increased for the year ended December 31, 2022 compared to the same period in 2021 as cross-border travel and corresponding DCC and surcharge revenues increased. Also, the acquisition of Merchant Acquiring Business of Piraeus Bank in 2022 added $88.8 million of revenues. Foreign currency movements decreased revenues by approximately ($110.9) million for the year ended December 31, 2022, compared to the same period in 2021.</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monthly revenues per ATM increased to $1,633 for the year ended December 31, 2022 compared to $1,188 for the same period in 2021. Revenues per transaction was $0.14 for both years ended December 31, 2022 and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EFT Processing Segment direct operating costs were $475.8 million for the year ended December 31, 2022, an increase of $121.5 million or 34% compared to the same period in 2021.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year ended December 31, 2022, the increase in direct operating costs was primarily due to the increase in transaction volumes, and costs associated with modifying our estate of ATMs. Foreign currency movements offset direct operating costs increases by approximately ($54.8) million for the year ended December 31, 2022 compared to the same period in 2021.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Gross profit, which is calculated as revenues less direct operating costs, was $448.4 million for the year ended December 31, 2022, an increase of $211.5 million or 89% compared to $236.9 million for the same period in 2021. Gross profit as a percentage of revenues (“gross margin”) increased to 48.5% for the year ended December 31, 2022, compared to 40.1% for the same period in 2021. For the year ended December 31, 2022, the increase in gross profit and gross margin was primarily driven by the increase in higher-margin cross-border transactions and overall increase in transaction volumes.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$112.0 million for the year ended December 31, 2022, an increase of $13.4 million or 14% compared to the same period in 2021. The increase in salaries and benefits for the year ended December 31, 2022 compared to the same period in 2021 was primarily driven by an increase in salaries and bonus expense offset by ($14.0) million decrease from foreign currency movements in the countries where we employ our workforce. As a percentage of revenues, these expenses decreased to 12.1% for the year ended December 31, 2022, compared to 16.7% for the same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were $57.0 million for the year ended December 31, 2022, an increase of $9.2 million or 19% compared to the same period in 2021. The increase in these expenses is primarily driven by a $16.8 million increase in professional fees, travel &amp; meals, advertising and other expenses offset by ($7.6) million decrease from foreign currency movements. As a percentage of revenues, these expenses decreased to 6.2% for the year ended December 31, 2022, compared to 8.1% for the same period in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expenses were $95.5 million for the year ended December 31, 2022, an increase of $4.5 million or 5% compared to the same period in 2021. Foreign currency movements offset these increases by ($10.1) million for the year ended December 31, 2022, compared to the same period in 2021, with the remainder of the increase driven by the acquisition of additional ATMs and software assets. As a percentage of revenues, these expenses decreased to 10.3% for the year ended December 31, 2022, compared to 15.4% for the same period in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EFT Processing Segment had operating income of $183.9 million for the year ended December 31, 2022, compared to operating losses of $0.5 million in 2021, an increase of $184.4 million compared to the same period in 2021. Operating income (loss) as a percentage of revenues (“operating margin”) increased to 19.9% for the year ended December 31, 2022, compared to (0.1%) for the same period in 2021. Operating income (loss) per transaction was $0.03 for the year ended December 31, 2022, compared to ($0.00) for the same period in 2021. For the year ended December 31, 2022, the increase in operating income and increase in operating margin was primarily driven by further easing of COVID-19 restrictions.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endedDecember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58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w w:val="93"/>
              </w:rPr>
              <w:t>Increase Amount</w:t>
            </w: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998,009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877,059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888,445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120,950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123,037</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(billions)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epay Segment total revenues were $998.0 million for the year ended December 31, 2022, a decrease of ($13.5) million or (1%) compared to the same period in 2021. Foreign currency movements decreased revenues by approximately ($95.3) million for the year ended December 31, 2022, compared to the same period in 2021. The decrease in revenues due to foreign currency movements was offset by an increase in revenues of $81.8 million due to increase in transaction volumes in all markets where we operate. Revenues per transaction decreased to $0.03 for the year ended December 31, 2022, compared to $0.04 for the same period in 2021. The decrease in revenues per transaction was primarily driven by the increase in the number of mobile transactions processed in a region where we generally earn lower revenues per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epay Segment direct operating costs were $753.1 million for the year ended December 31, 2022, a decrease of ($7.7) million or (1%) compared to the same period in 2021. Direct operating costs primarily consist of the commissions paid to retail merchants for the distribution and sale of prepaid mobile airtime and other prepaid products, expenses incurred to operate POS terminals and the cost of vouchers sold and physical gifts fulfilled. The decrease in direct operating costs was primarily due to foreign currency movements of approximately ($69.8) million offset by the increase in cost for transaction volumes of low-value mobile top-up transactions and an increase in retailer commissions.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was $244.9 million for the year ended December 31, 2022, a decrease of ($5.7) million or (2%) compared to $250.6 million for the same period in 2021. Gross margin decreased to 24.5% for the year ended December 31, 2022, compared to 24.8% for the same period in 2021. The decrease in gross profit and gross margin was primarily driven by foreign currency movements.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$81.7 million for the year ended December 31, 2022, an increase of $2.2 million or 3% compared to the same period in 2021. The increase in salaries and benefits was primarily driven by an increase in headcount to support the growth of the business and an increase in bonus expense. Foreign currency movements in the countries where we employ our workforce offset these increases by ($7.7) million for the year ended December 31, 2022, compared to the same period in 2021. As a percentage of revenues, these expenses increased to 8.2% for the year ended December 31, 2022, compared to 7.9%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were $36.0 million for the year ended December 31, 2022, a decrease of ($3.6) million or (9%) compared to the same period in 2021. Foreign currency movements decreased these expenses by ($3.5) million for the year ended December 31, 2022, compared to the same period in 2021. As a percentage of revenues, these expenses decreased to 3.6% for the year ended December 31, 2022, compared to 3.9% for the same period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$6.2 million for the year ended December 31, 2022, a decrease of ($2.3) million or (27%) compared to the same period in 2021. Depreciation and amortization expense primarily represents depreciation of POS terminals we install in retail stores and amortization of acquired intangible assets. As a percentage of revenues, these expenses decreased to 0.6% for the year ended December 31, 2022, compared to 0.8% for the same period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epay Segment operating income was $121.0 million for the year ended December 31, 2022, a decrease of ($2.1) million or (2%) compared to the same period in 2021. Operating margin decreased to 12.1% for the year ended December 31, 2022, compared to 12.2% for the same period in 2021. Operating income per transaction was $0.03for the year ended December 31, 2022, compared to $0.04 for the same period 2021. The decrease in operating income was due to foreign currency movements and the decrease in operating margin was primarily due to an increase in the number of low-margin digital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2022and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38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2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1,400,957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793,218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Acquired contract cost impairment</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3"/>
                <w:szCs w:val="23"/>
                <w:color w:val="auto"/>
              </w:rPr>
            </w:pPr>
          </w:p>
        </w:tc>
        <w:tc>
          <w:tcPr>
            <w:tcW w:w="1260" w:type="dxa"/>
            <w:vAlign w:val="bottom"/>
          </w:tcPr>
          <w:p>
            <w:pPr>
              <w:jc w:val="right"/>
              <w:ind w:right="8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255,816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182,360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157,955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35,739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1,281,362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119,595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Transactions processed (millions)</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Money Transfer Segment total revenues were $1,444.3 million for the year ended December 31, 2022, an increase of $43.3 million or 3% compared to the same period in 2021. The increase in revenues was primarily due to 13% growth in US-outbound transactions, 13% growth in international-originated money transfers - which included 13% growth in transfers initiated largely in Europe and 14% growth in transfers initiated in the Middle-East and Asia and 25% growth in xe transactions, partially offset by a 17% decline in the intra-US business. These transaction growth rates include 38% growth in direct-to-consumer digital transactions. Revenues per transaction decreased to $9.77for the year ended December 31, 2022, compared to $10.37 for the same period in2021. Foreign currency movements decreased revenues by approximately ($86.1) million for the year ended December 31, 2022, compared to the same period in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Money Transfer Segment direct operating costs were $797.0 million for the year ended December 31, 2022, an increase of $3.7 million compared to the same period in 2021.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corresponding increase in agent commissions. Foreign currency movements decreased direct operating costs by approximately ($42.9) million for the year ended December 31, 2022, compared to the same period in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contract cost impairment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fourth quarter of 2021, we identified certain contract assets that had a carrying balance greater than the estimated remaining cash flows in the contracts and recorded a corresponding $38.6 million non-cash impairment of costs to fulfill a contract. The impairment charge is the result of lower-than-expected customer transaction volumes related to these specific contracts, stemming primarily from COVID-19 related disruptions.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profit was $647.4 million for the year ended December 31, 2022, an increase of $39.6 million or 7% compared to $607.7 million for the same period in 2021. Gross margin increased to 44.8% for the year ended December 31, 2022, compared to 43.4% for the same period in 2021. The increase in gross profit was primarily attributable to the increase in transaction volume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$277.0 million for the year ended December 31, 2022, an increase of $21.2 million or 8% compared to the same period in 2021. The increase in salaries and benefits was primarily driven by an increase in headcount to support the growth of the business. Foreign currency movements in the countries where we employ our workforce decreased these expenses by ($15.1) million for the year ended December 31, 2022, compared to the same period in 2021. As a percentage of revenues, these expenses increased to 19.2% for the year ended December 31, 2022, compared to 18.3% for the same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were $182.4 million for the year ended December 31, 2022, an increase of $24.4 million or 15% compared to the same period in 2021. The increase in these expenses was primarily driven by an increase in marketing expenses, professional fees and travel related expenses. Foreign currency movements decreased these expenses by ($8.9) million for the year ended December 31, 2022, compared to the same period in 2021. As a percentage of revenues, these expenses increased to 12.6% for the year ended December 31, 2022, compared to 11.3% for the same period in 2021.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$33.7 million for the year ended December 31, 2022, a decrease of ($2.0) million or (6%) compared to the same period in 2021. Depreciation and amortization primarily represents amortization of acquired intangible assets and depreciation of money transfer terminals, computers and software, leasehold improvements and office equipment. As a percentage of revenues, these expenses decreased to 2.3% for the year ended December 31, 2022, compared to 2.6% for the same period in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Money Transfer Segment operating income was $154.3 million for the year ended December 31, 2022, an increase of $34.7 million or 29% compared to the same period in 2021. Operating margin increased to 10.7% for the year ended December 31, 2022, compared to 8.5% for the same period in 2021. Operating income per transaction increased to $1.04 for the year ended December 31, 2022, compared to $0.89 for the same period in 2021. The increase in operating income, operating margin and operating income per transaction for the year ended December 31, 2022 compared to the same period in 2021 was primarily driven by the increase in transaction volume, specifically the higher margin transactions for US outbound and international-originated money transfers, and the impairment of the contract assets in 2021, partially offset by the increase in agent commissions, and an increase in headcount to support the growth of the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Corporate Services for the years ended December 31, 2022 and 2021: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3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30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w w:val="95"/>
              </w:rPr>
              <w:t>Increase (Decrease)</w:t>
            </w:r>
          </w:p>
        </w:tc>
        <w:tc>
          <w:tcPr>
            <w:tcW w:w="13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3,176</w:t>
            </w:r>
          </w:p>
        </w:tc>
        <w:tc>
          <w:tcPr>
            <w:tcW w:w="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88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Corporate operating expenses were $73.7 million for the year ended December 31, 2022, an increase of $15.6 million or 27%, compared to the same period in 2021. The increase was primarily due to a $7.6 million increase in share based compensation and a $4.8 million increase in bonuses as a result of improved performance for the year ended December 31, 2022, compared to the same period in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Other Expense,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246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Increase</w:t>
            </w:r>
          </w:p>
        </w:tc>
        <w:tc>
          <w:tcPr>
            <w:tcW w:w="1300" w:type="dxa"/>
            <w:vAlign w:val="bottom"/>
            <w:tcBorders>
              <w:top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(Decrease) Amount</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69"/>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130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net foreign currency exchange loss of $28.2 million for the year ended December 31, 2022, compared to a net foreign currency exchange loss of $10.9 million for the same period in 2021. These realized and unrealized foreign currency exchange losses reflect the fluctuation in the value of the U.S. dollar against the currencies of the countries in which we operated during the respective periods.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Year Ended December 31,</w:t>
            </w: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322,595</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135,675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(91,853)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(65,088)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230,742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70,587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3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322,595</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135,675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 Acquired contract cost impairment</w:t>
            </w:r>
          </w:p>
        </w:tc>
        <w:tc>
          <w:tcPr>
            <w:tcW w:w="3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(38,634)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 Foreign currency exchange (loss) gain, net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(10,866)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349,820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185,116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(91,853)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(65,088)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benefit attributable to foreign currency exchange loss,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1,716</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(79,366)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(66,804)</w:t>
            </w:r>
          </w:p>
        </w:tc>
      </w:tr>
      <w:tr>
        <w:trPr>
          <w:trHeight w:val="251"/>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calculate our effective income tax rate by dividing income tax expense by pre-tax book income. Our effective income tax rates were 28.5% and 48.0% for the years ended December 31, 2022 and 2021, respectively. The effective income tax rates were significantly influenced by the impact of acquired contract cost impairment, and foreign currency exchange gains (losses). Excluding foreign currency exchange gains (losses), and acquired contract cost impairment items from pre-tax income, as well as the related tax effects for these items, our adjusted effective income tax rates were 22.7% and 36.1% for the years ended December 31, 2022 and 2021, respectively.</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effective income tax rate, as adjusted, for 2022 was higher than the applicable statutory income tax rate of 21% as a result of the non-recognition of tax benefits from losses in certain foreign countries where we have a limited history of profitable earnings and certain foreign earnings being subject to higher local statutory tax rates. The effective income tax rate, as adjusted, was offset by a decrease in the valuation allowance related to the projected utilization of U.S. tax benefits. The effective income tax rate, as adjusted, for 2021 was higher than the applicable statutory income tax rate of 21% primarily because of an increase in the valuation allowance related to the projected utilization of U.S. tax benefits, the non-recognition of tax benefits from losses in certain foreign countries where we have a limited history of profitable earnings and certain foreign earnings being subject to higher local statutory tax rates. 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6"/>
          <w:szCs w:val="16"/>
          <w:color w:val="auto"/>
        </w:rPr>
        <w:t>Our total liability for uncertain tax positions under Accounting Standards Codification ("ASC") 740-10-25 and -30 was $42.8 million as of December 31, 2022.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Segment - Country</w:t>
            </w:r>
          </w:p>
        </w:tc>
      </w:tr>
      <w:tr>
        <w:trPr>
          <w:trHeight w:val="249"/>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EFT - China</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income attributable to Euronet was $231.0 million for the year ended December 31, 2022, an increase of $160.3 million compared to net income in the same period in 2021. For the year ended December 31, 2022, the increase in net income was primarily attributable to the $245.4 million increase in gross profit driven by an increase in transaction volumes across all three segments, an $38.6 million decrease in contract asset impairment, partially offset by an $49.4 million increase in salaries and benefits, a $26.8 million increase in income tax expense, a $33.2 million increase in selling, general and administrative expenses, and a $46.1 million increase in foreign currency exchange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(loss)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net loss on translation adjustments of $78.4 millionfor2022and a net loss of $78.5 million for 2021. In 2021 and 2022, the U.S. dollar strengthened compared to key foreign currencies, resulting in translation losses which were recorded in comprehensive (loss)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we had working capital of $1,372.6 million, which is calculated as the difference between total current assets and total current liabilities, compared to working capital of $1,455.8 million as of December 31, 2021. The decrease in working capital was due to several changes in working capital line items, mainly due to 2022 ending in the weekend, which impacts funding needs for our agents. Our ratio of current assets to current liabilities was 1.58 and 1.79 at December 31, 2022 and December 31, 2021,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69"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2022, we had approximately $515.6 million of our own cash in use or designated for use in our ATM network, which is recorded in ATM cash on Euronet's Consolidated Balance Sheet. ATM cash decreased $27.8 million from $543.4 million as of December 31, 2021 to $515.6 million as of December 31, 2022.</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$1,131.2 million of unrestricted cash as of December 31, 2022 compared to $1,260.5 million as of December 31, 2021. The decrease in unrestricted cash was primarily due to the $175.0 million of shares repurchased under the stock repurchase programs, the acquisition of the Piraeus Bank Merchant Acquiring business of Piraeus Bank for $343.0 million (see Note 6, Acquisitions, to our Consolidated Financial Statements for additional information) and $109.1 million of capital expenditures, partially offset by the $750.4 million of cash provided by operating activities and an increase in borrowings of $171.4 million. Including the $515.6 million of cash in ATMs at December 31, 2022, the Company has access to $1,990.9 million in available cash, and $740.6 million available under the Credit Facility with no significant long-term debt principal payments until March 2025.</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cash, cash equivalents and restricted cash of $1,990.9 million as of December 31, 2022, of which $1,533.0 million was held outside of the U.S. and is expected to be indefinitely reinvested for continued use in foreign operations. Repatriation of these assets to the U.S. could have negative tax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2022and2021(in thousands):</w:t>
      </w:r>
    </w:p>
    <w:p>
      <w:pPr>
        <w:spacing w:after="0" w:line="252"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37465</wp:posOffset>
            </wp:positionV>
            <wp:extent cx="18084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40" w:type="dxa"/>
            <w:vAlign w:val="bottom"/>
          </w:tcPr>
          <w:p>
            <w:pPr>
              <w:spacing w:after="0"/>
              <w:rPr>
                <w:sz w:val="20"/>
                <w:szCs w:val="20"/>
                <w:color w:val="auto"/>
              </w:rPr>
            </w:pPr>
            <w:r>
              <w:rPr>
                <w:rFonts w:ascii="Arial" w:cs="Arial" w:eastAsia="Arial" w:hAnsi="Arial"/>
                <w:sz w:val="14"/>
                <w:szCs w:val="14"/>
                <w:b w:val="1"/>
                <w:bCs w:val="1"/>
                <w:color w:val="auto"/>
              </w:rPr>
              <w:t>Liquidity</w:t>
            </w:r>
          </w:p>
        </w:tc>
        <w:tc>
          <w:tcPr>
            <w:tcW w:w="50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748,290</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406,576</w:t>
            </w:r>
          </w:p>
        </w:tc>
      </w:tr>
      <w:tr>
        <w:trPr>
          <w:trHeight w:val="27"/>
        </w:trPr>
        <w:tc>
          <w:tcPr>
            <w:tcW w:w="8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(98,109)</w:t>
            </w:r>
          </w:p>
        </w:tc>
      </w:tr>
      <w:tr>
        <w:trPr>
          <w:trHeight w:val="243"/>
        </w:trPr>
        <w:tc>
          <w:tcPr>
            <w:tcW w:w="83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(212,236)</w:t>
            </w:r>
          </w:p>
        </w:tc>
      </w:tr>
      <w:tr>
        <w:trPr>
          <w:trHeight w:val="27"/>
        </w:trPr>
        <w:tc>
          <w:tcPr>
            <w:tcW w:w="8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(109,637)</w:t>
            </w:r>
          </w:p>
        </w:tc>
      </w:tr>
      <w:tr>
        <w:trPr>
          <w:trHeight w:val="257"/>
        </w:trPr>
        <w:tc>
          <w:tcPr>
            <w:tcW w:w="8360" w:type="dxa"/>
            <w:vAlign w:val="bottom"/>
          </w:tcPr>
          <w:p>
            <w:pPr>
              <w:ind w:left="20"/>
              <w:spacing w:after="0"/>
              <w:rPr>
                <w:sz w:val="20"/>
                <w:szCs w:val="20"/>
                <w:color w:val="auto"/>
              </w:rPr>
            </w:pPr>
            <w:r>
              <w:rPr>
                <w:rFonts w:ascii="Arial" w:cs="Arial" w:eastAsia="Arial" w:hAnsi="Arial"/>
                <w:sz w:val="18"/>
                <w:szCs w:val="18"/>
                <w:color w:val="auto"/>
              </w:rPr>
              <w:t>(Decrease) in cash and cash equivalents and restricted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(95,242)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(13,406)</w:t>
            </w: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provided by operating activities were $748.3 million for the year ended December 31, 2022 compared to $406.6 million for the same period in 2021. The increase in operating cash flows was primarily due to the increase in net income and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flows used in investing activities were $453.8 million for the year ended December 31, 2022 compared to $98.1 million for the same period in 2021. We used $109.1 million for purchases of property and equipment for the year ended December 31, 2022 compared to $92.2 million for the same period in 2021 and $343.0 million for the acquisition of Piraeus Bank Merchant Acquiring business of Piraeus Bank. There were no acquisitions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flows used in financing activities were $1.2 million for the year ended December 31, 2022 compared to $212.2 million for the same period in 2021. The decrease in cash used in financing activities was primarily the result of the $171.4 million net borrowings on debt obligations for the year ended December 31, 2022 compared to $13.0 million for the same period in 2021. We repurchased $175.0 million of common stock during the year ended December 31, 2022 compared to repurchases of $229.9 million for the same period in 2021. We received proceeds of $9.1 million and $10.8 million during the year ended December 31, 2022 and 2021, respectively, for the issuance of stock in connection with our Stock Incentive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initially 1.25% including the facility fee. As of December 31, 2022 and 2021, the Company had stand-by letters of credit/bank guarantees outstanding under the Credit Facility of $54.6 million and $57.3 million, respectively. Stand-by letters of credit/bank guarantees reduce the Company's borrowing capacity under the Credit Facility and are generally used to secure trade credit and performance obligations. As of December 31, 2022 and 2021, the stand-by letters of credit interest charges were each 1.1% per annum. Borrowing capacity under the Credit Facility as of December 31, 2022 was $740.6 million.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Uncommitted Line of Credit -</w:t>
      </w:r>
      <w:r>
        <w:rPr>
          <w:rFonts w:ascii="Arial" w:cs="Arial" w:eastAsia="Arial" w:hAnsi="Arial"/>
          <w:sz w:val="17"/>
          <w:szCs w:val="17"/>
          <w:color w:val="auto"/>
        </w:rPr>
        <w:t xml:space="preserve"> On June 24, 2022, the Company entered into an Uncommitted Loan Agreement for $150 million, for the sole purpose of providing vault cash for ATMs, that expires no later than June 23, 2023. The loan was fully repaid and there was no balance at December 31, 2022. The loan was either a Prime rate loan, a Bloomberg Short-term Bank Yield rate loan or bears interest at the rate agreed to by the bank and the Company at the time such loan is made. The weighted average interest rate from the loan inception date to December 31, 2022 was 2.76%.</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spacing w:after="0" w:line="296" w:lineRule="auto"/>
        <w:rPr>
          <w:sz w:val="20"/>
          <w:szCs w:val="20"/>
          <w:color w:val="auto"/>
        </w:rPr>
      </w:pPr>
      <w:r>
        <w:rPr>
          <w:rFonts w:ascii="Arial" w:cs="Arial" w:eastAsia="Arial" w:hAnsi="Arial"/>
          <w:sz w:val="16"/>
          <w:szCs w:val="16"/>
          <w:u w:val="single" w:color="auto"/>
          <w:color w:val="auto"/>
        </w:rPr>
        <w:t>Senior Notes</w:t>
      </w:r>
      <w:r>
        <w:rPr>
          <w:rFonts w:ascii="Arial" w:cs="Arial" w:eastAsia="Arial" w:hAnsi="Arial"/>
          <w:sz w:val="16"/>
          <w:szCs w:val="16"/>
          <w:color w:val="auto"/>
        </w:rPr>
        <w:t xml:space="preserve"> - On May 22, 2019, the Company completed the sale of €600 million ($669.9 million) aggregate principal amount of Senior Notes that mature on May 2026 (the "Senior Notes"). The Senior Notes accrue interest at a rate of 1.375% per year, payable annually in arrears commencing May 22, 2020, until maturity or earlier redemption. As of December 31, 2022, the Company has outstanding €600 million ($642.1 million) principal amount of the Senior Notes. In addition, the Company may redeem some or all of these notes on or after February 22, 2026 at their principal amount plus any accrued and unpaid interest. As of December 31, 2022, the Company had $4.1 million of unamortized debt issuance costs related to the Senior Notes.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$0.2 million and $0.9 million outstanding under these other obligation arrangements as of December 31, 2022 and December 31, 2021.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Total capital expenditures for 2022 were $104.3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2023 are currently estimated to be approximately $100 million to $110 million.</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Contractual lease obligations</w:t>
      </w:r>
      <w:r>
        <w:rPr>
          <w:rFonts w:ascii="Arial" w:cs="Arial" w:eastAsia="Arial" w:hAnsi="Arial"/>
          <w:sz w:val="18"/>
          <w:szCs w:val="18"/>
          <w:color w:val="auto"/>
        </w:rPr>
        <w:t>— The Company has entered into contractually binding operating and finance lease commitments to operate the business. Operating lease expenses were $51.0 million and $55.6 million for the years ended December 31, 2022 and 2021, respectively. Finance lease expenses were not material for 2022 or 2021. For additional information on operating and finance lease obligations, see Note 13, Leases, to the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8, 2021, the Company put a repurchase program in place to repurchase up to $300 million in value, but not more than 5.0 million shares of common stock through December 8, 2023. For the year ended December 31, 2022, the Company repurchased 1.6 million shares under the repurchase program at a weighted average purchase price of $106.71 for a total value of $175.0 million. On September 13, 2022, the Company put a repurchase program in place to repurchase up to $350 million in value, but not more than 7.0 million shares of common stock through September 13, 2024. Repurchases under the programs may take place in the open market or in privately negotiated transactions, including derivative transactions, and may be made under a Rule 10b5-1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further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certain significant off-balance sheet items described in Note 20, Commitments, to the Consolidated Financial Statements. 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intangible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deferred income tax effects of transactions reported in different periods for financial reporting and income tax return purposes are recorded under the asset and liability method prescribed under ASC Topic 740,</w:t>
      </w:r>
      <w:r>
        <w:rPr>
          <w:rFonts w:ascii="Arial" w:cs="Arial" w:eastAsia="Arial" w:hAnsi="Arial"/>
          <w:sz w:val="18"/>
          <w:szCs w:val="18"/>
          <w:i w:val="1"/>
          <w:iCs w:val="1"/>
          <w:color w:val="auto"/>
        </w:rPr>
        <w:t>Income Taxes</w:t>
      </w:r>
      <w:r>
        <w:rPr>
          <w:rFonts w:ascii="Arial" w:cs="Arial" w:eastAsia="Arial" w:hAnsi="Arial"/>
          <w:sz w:val="18"/>
          <w:szCs w:val="18"/>
          <w:color w:val="auto"/>
        </w:rPr>
        <w:t>("ASC 740"). This method gives consideration to the future tax consequences of deferred income or expense items and immediately recognizes changes in income tax laws upon enactment. The consolidated statement of operations effect is generally derived from changes in deferred income taxes, net of valuation allowances, on the balance sheet as measured by differences in the book and tax bases of our assets and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assessing the recognition of deferred tax assets, we consider whether it is more likely than not that some portion or all of the deferred tax assets will be realized. As more fully described in Note 14, Income Taxes, to the Consolidated Financial Statements, gross deferred tax assets were $265.0 million as of December 31, 2022, partially offset by a valuation allowance of $90.4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2022.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ASC Topic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w:t>
      </w:r>
      <w:r>
        <w:rPr>
          <w:rFonts w:ascii="Arial" w:cs="Arial" w:eastAsia="Arial" w:hAnsi="Arial"/>
          <w:sz w:val="16"/>
          <w:szCs w:val="16"/>
          <w:i w:val="1"/>
          <w:iCs w:val="1"/>
          <w:color w:val="auto"/>
        </w:rPr>
        <w:t>,</w:t>
      </w:r>
      <w:r>
        <w:rPr>
          <w:rFonts w:ascii="Arial" w:cs="Arial" w:eastAsia="Arial" w:hAnsi="Arial"/>
          <w:sz w:val="16"/>
          <w:szCs w:val="16"/>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Our annual impairment tests are performed during the fourth quarter and are performed at the reporting unit level. Our annual process for evaluating goodwill allows us to perform a qualitative assessment for all reporting units, and then perform a quantitative goodwill impairment test for those reporting units in which it is deemed necessary.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is determined using discounted projected future cash flows and market multiple of earnings. If the carrying amount of the reporting unit exceeds the fair value of the reporting unit, a goodwill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Acquired finite-lived intangible assets are amortized over their estimated useful lives. We evaluate the recoverability of our finite-intangible assets, as a part of our long-lived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its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the Consolidated Balance Sheet includes goodwill of $828.3 million and acquired intangible assets, net of accumulated amortization, of $188.3 million. For the year ended December 31, 2022, no impairment of goodwill or acquired intangible assets has been identified.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Item 8 of Part II, "Financial Statements and Supplementary Data - Note 3 - Summary of Significant Accounting Policies and Practices.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the COVID-19 pandemic, including its variants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inflation; the war in Ukraine and the related economic sanctions; our ability to successfully integrate the operations of Piraeus Merchant Services;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privacy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our total debt outstanding, excluding unamortized debt issuance costs, was $1,622.1 million. Of this amount, $525 million, or 32%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December 31, 2022, the fair value of our fixed rate Convertible Notes was $525.0 million, compared to a carrying value of $520.8 million. Further, as of December 31, 2022, we had $454.8 million outstanding under our Credit Facility, or28% of our total debt obligations. The carrying values of the Credit Facility approximates fair value because interest as of December 31, 2022, was based on Secured Overnight Financing Rate (SOFR) that reset at various intervals of less than one year. Additionally, $642.1 million, or 40% of our total debt obligations, relates to Senior Notes having a fixed coupon rate. Our €600 million outstanding principal amount of Senior Notes accrue cash interest at a rate of 1.375% of the principal per annum. Based on quoted market prices, as of December 31, 2022, the fair value of our fixed rate Senior Notes was $568.9 million, compared to a carrying value of $642.1 million. The remaining $0.2 million, or less than 0% of our total debt obligations, is related to borrowings by certain subsidiaries to fund, from time to time, working capital requirements. These arrangements generally are due within one year and accrue interest at variable rates.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as of December 31, 2022, we had approximately $4.3 million of finance leases with fixed payment and interest terms that expire between the years of2023 and2027.</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2022 and2021,75% and73%of our revenues, respectively, were generated in non-U.S. dollar countries.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2022, we estimate that a 10% fluctuation in these foreign currency exchange rates would have the combined annualized effect on reported net income and working capital of approximately $110 million to $115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(loss) income of approximately ($110) million to ($115) million as a result of the change in value of these items during translation to the U.S. dollar. For the fluctuations described above, a strengthening U.S. dollar produces a financial loss, while a weakening U.S. dollar produces a financial gain.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December 31, 2022, we had foreign currency derivative contracts outstanding with a notional value of $398.6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December 31, 2022, we held foreign currency derivative contracts outstanding with a notional value of $1.0 billion, primarily in U.S. dollars, euros, British pounds, Australian dollars and New Zealand dollars, that were not designated as hedges and for which the majority mature within the next twelve months.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December 31, 2022, the Company had foreign currency forward contracts outstanding with a notional value of $228.4 million, primarily in euros.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12, Derivative Instruments and Hedging Activities to our Consolidated Financial Statements for additional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720" w:type="dxa"/>
            <w:vAlign w:val="bottom"/>
            <w:gridSpan w:val="3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w w:val="80"/>
              </w:rPr>
              <w:t>Page</w:t>
            </w:r>
          </w:p>
        </w:tc>
      </w:tr>
      <w:tr>
        <w:trPr>
          <w:trHeight w:val="223"/>
        </w:trPr>
        <w:tc>
          <w:tcPr>
            <w:tcW w:w="40" w:type="dxa"/>
            <w:vAlign w:val="bottom"/>
          </w:tcPr>
          <w:p>
            <w:pPr>
              <w:spacing w:after="0"/>
              <w:rPr>
                <w:sz w:val="19"/>
                <w:szCs w:val="19"/>
                <w:color w:val="auto"/>
              </w:rPr>
            </w:pPr>
          </w:p>
        </w:tc>
        <w:tc>
          <w:tcPr>
            <w:tcW w:w="422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6460" w:type="dxa"/>
            <w:vAlign w:val="bottom"/>
            <w:gridSpan w:val="5"/>
          </w:tcPr>
          <w:p>
            <w:pPr>
              <w:spacing w:after="0"/>
              <w:rPr>
                <w:sz w:val="19"/>
                <w:szCs w:val="19"/>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18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35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6"/>
              </w:rPr>
              <w:t>CONSOLIDATED FINANCIAL STATEMENTS</w:t>
            </w:r>
          </w:p>
        </w:tc>
        <w:tc>
          <w:tcPr>
            <w:tcW w:w="7120" w:type="dxa"/>
            <w:vAlign w:val="bottom"/>
            <w:gridSpan w:val="10"/>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0680" w:type="dxa"/>
            <w:vAlign w:val="bottom"/>
            <w:gridSpan w:val="31"/>
          </w:tcPr>
          <w:p>
            <w:pPr>
              <w:spacing w:after="0"/>
              <w:rPr>
                <w:sz w:val="20"/>
                <w:szCs w:val="20"/>
                <w:color w:val="auto"/>
              </w:rPr>
            </w:pPr>
            <w:r>
              <w:rPr>
                <w:rFonts w:ascii="Arial" w:cs="Arial" w:eastAsia="Arial" w:hAnsi="Arial"/>
                <w:sz w:val="18"/>
                <w:szCs w:val="18"/>
                <w:color w:val="0000EE"/>
              </w:rPr>
              <w:t>CONSOLIDATED BALANCE SHEETS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0680" w:type="dxa"/>
            <w:vAlign w:val="bottom"/>
            <w:gridSpan w:val="31"/>
          </w:tcPr>
          <w:p>
            <w:pPr>
              <w:spacing w:after="0"/>
              <w:rPr>
                <w:sz w:val="20"/>
                <w:szCs w:val="20"/>
                <w:color w:val="auto"/>
              </w:rPr>
            </w:pPr>
            <w:r>
              <w:rPr>
                <w:rFonts w:ascii="Arial" w:cs="Arial" w:eastAsia="Arial" w:hAnsi="Arial"/>
                <w:sz w:val="18"/>
                <w:szCs w:val="18"/>
                <w:color w:val="0000EE"/>
              </w:rPr>
              <w:t>CONSOLIDATED STATEMENTS OF OPERATIONS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8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74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4"/>
              </w:rPr>
              <w:t>CONSOLIDATED STATEMENTS OF COMPREHENSIVE (LOSS) INCOME</w:t>
            </w:r>
          </w:p>
        </w:tc>
        <w:tc>
          <w:tcPr>
            <w:tcW w:w="49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8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0680" w:type="dxa"/>
            <w:vAlign w:val="bottom"/>
            <w:gridSpan w:val="31"/>
          </w:tcPr>
          <w:p>
            <w:pPr>
              <w:spacing w:after="0"/>
              <w:rPr>
                <w:sz w:val="20"/>
                <w:szCs w:val="20"/>
                <w:color w:val="auto"/>
              </w:rPr>
            </w:pPr>
            <w:r>
              <w:rPr>
                <w:rFonts w:ascii="Arial" w:cs="Arial" w:eastAsia="Arial" w:hAnsi="Arial"/>
                <w:sz w:val="18"/>
                <w:szCs w:val="18"/>
                <w:color w:val="0000EE"/>
              </w:rPr>
              <w:t>CONSOLIDATED STATEMENTS OF CHANGES IN EQUITY</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8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4000" w:type="dxa"/>
            <w:vAlign w:val="bottom"/>
            <w:tcBorders>
              <w:top w:val="single" w:sz="8" w:color="0000EE"/>
              <w:bottom w:val="single" w:sz="8" w:color="0000EE"/>
            </w:tcBorders>
            <w:gridSpan w:val="25"/>
          </w:tcPr>
          <w:p>
            <w:pPr>
              <w:spacing w:after="0"/>
              <w:rPr>
                <w:sz w:val="20"/>
                <w:szCs w:val="20"/>
                <w:color w:val="auto"/>
              </w:rPr>
            </w:pPr>
            <w:r>
              <w:rPr>
                <w:rFonts w:ascii="Arial" w:cs="Arial" w:eastAsia="Arial" w:hAnsi="Arial"/>
                <w:sz w:val="18"/>
                <w:szCs w:val="18"/>
                <w:color w:val="0000EE"/>
                <w:w w:val="94"/>
              </w:rPr>
              <w:t>CONSOLIDATED STATEMENTS OF CASH FLOWS</w:t>
            </w:r>
          </w:p>
        </w:tc>
        <w:tc>
          <w:tcPr>
            <w:tcW w:w="660" w:type="dxa"/>
            <w:vAlign w:val="bottom"/>
            <w:tcBorders>
              <w:top w:val="single" w:sz="8" w:color="0000EE"/>
            </w:tcBorders>
            <w:gridSpan w:val="4"/>
          </w:tcPr>
          <w:p>
            <w:pPr>
              <w:spacing w:after="0"/>
              <w:rPr>
                <w:sz w:val="20"/>
                <w:szCs w:val="20"/>
                <w:color w:val="auto"/>
              </w:rPr>
            </w:pPr>
          </w:p>
        </w:tc>
        <w:tc>
          <w:tcPr>
            <w:tcW w:w="6020" w:type="dxa"/>
            <w:vAlign w:val="bottom"/>
            <w:gridSpan w:val="2"/>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8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10680" w:type="dxa"/>
            <w:vAlign w:val="bottom"/>
            <w:gridSpan w:val="31"/>
          </w:tcPr>
          <w:p>
            <w:pPr>
              <w:spacing w:after="0"/>
              <w:rPr>
                <w:sz w:val="20"/>
                <w:szCs w:val="20"/>
                <w:color w:val="auto"/>
              </w:rPr>
            </w:pPr>
            <w:r>
              <w:rPr>
                <w:rFonts w:ascii="Arial" w:cs="Arial" w:eastAsia="Arial" w:hAnsi="Arial"/>
                <w:sz w:val="18"/>
                <w:szCs w:val="18"/>
                <w:color w:val="0000EE"/>
              </w:rPr>
              <w:t>NOTES TO CONSOLIDATED FINANCIAL STATEMENTS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bottom w:val="single" w:sz="8" w:color="0000EE"/>
            </w:tcBorders>
          </w:tcPr>
          <w:p>
            <w:pPr>
              <w:ind w:left="20"/>
              <w:spacing w:after="0"/>
              <w:rPr>
                <w:sz w:val="20"/>
                <w:szCs w:val="20"/>
                <w:color w:val="auto"/>
              </w:rPr>
            </w:pPr>
            <w:r>
              <w:rPr>
                <w:rFonts w:ascii="Arial" w:cs="Arial" w:eastAsia="Arial" w:hAnsi="Arial"/>
                <w:sz w:val="18"/>
                <w:szCs w:val="18"/>
                <w:color w:val="0000EE"/>
                <w:w w:val="90"/>
              </w:rPr>
              <w:t>(1)</w:t>
            </w:r>
          </w:p>
        </w:tc>
        <w:tc>
          <w:tcPr>
            <w:tcW w:w="980" w:type="dxa"/>
            <w:vAlign w:val="bottom"/>
            <w:tcBorders>
              <w:top w:val="single" w:sz="8" w:color="0000EE"/>
              <w:bottom w:val="single" w:sz="8" w:color="0000EE"/>
            </w:tcBorders>
            <w:gridSpan w:val="5"/>
          </w:tcPr>
          <w:p>
            <w:pPr>
              <w:ind w:left="20"/>
              <w:spacing w:after="0"/>
              <w:rPr>
                <w:sz w:val="20"/>
                <w:szCs w:val="20"/>
                <w:color w:val="auto"/>
              </w:rPr>
            </w:pPr>
            <w:r>
              <w:rPr>
                <w:rFonts w:ascii="Arial" w:cs="Arial" w:eastAsia="Arial" w:hAnsi="Arial"/>
                <w:sz w:val="18"/>
                <w:szCs w:val="18"/>
                <w:color w:val="0000EE"/>
                <w:w w:val="92"/>
              </w:rPr>
              <w:t>Organization</w:t>
            </w:r>
          </w:p>
        </w:tc>
        <w:tc>
          <w:tcPr>
            <w:tcW w:w="3120" w:type="dxa"/>
            <w:vAlign w:val="bottom"/>
            <w:tcBorders>
              <w:top w:val="single" w:sz="8" w:color="0000EE"/>
            </w:tcBorders>
            <w:gridSpan w:val="20"/>
          </w:tcPr>
          <w:p>
            <w:pPr>
              <w:spacing w:after="0"/>
              <w:rPr>
                <w:sz w:val="20"/>
                <w:szCs w:val="20"/>
                <w:color w:val="auto"/>
              </w:rPr>
            </w:pPr>
          </w:p>
        </w:tc>
        <w:tc>
          <w:tcPr>
            <w:tcW w:w="6220" w:type="dxa"/>
            <w:vAlign w:val="bottom"/>
            <w:gridSpan w:val="4"/>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0000EE"/>
                <w:w w:val="90"/>
              </w:rPr>
              <w:t>(2)</w:t>
            </w:r>
          </w:p>
        </w:tc>
        <w:tc>
          <w:tcPr>
            <w:tcW w:w="10320" w:type="dxa"/>
            <w:vAlign w:val="bottom"/>
            <w:gridSpan w:val="29"/>
          </w:tcPr>
          <w:p>
            <w:pPr>
              <w:ind w:left="20"/>
              <w:spacing w:after="0"/>
              <w:rPr>
                <w:sz w:val="20"/>
                <w:szCs w:val="20"/>
                <w:color w:val="auto"/>
              </w:rPr>
            </w:pPr>
            <w:r>
              <w:rPr>
                <w:rFonts w:ascii="Arial" w:cs="Arial" w:eastAsia="Arial" w:hAnsi="Arial"/>
                <w:sz w:val="18"/>
                <w:szCs w:val="18"/>
                <w:color w:val="0000EE"/>
              </w:rPr>
              <w:t>Basis of Preparation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tcPr>
          <w:p>
            <w:pPr>
              <w:spacing w:after="0"/>
              <w:rPr>
                <w:sz w:val="20"/>
                <w:szCs w:val="20"/>
                <w:color w:val="auto"/>
              </w:rPr>
            </w:pPr>
          </w:p>
        </w:tc>
      </w:tr>
      <w:tr>
        <w:trPr>
          <w:trHeight w:val="20"/>
        </w:trPr>
        <w:tc>
          <w:tcPr>
            <w:tcW w:w="1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0"/>
              </w:rPr>
              <w:t>(3)</w:t>
            </w:r>
          </w:p>
        </w:tc>
        <w:tc>
          <w:tcPr>
            <w:tcW w:w="4260" w:type="dxa"/>
            <w:vAlign w:val="bottom"/>
            <w:tcBorders>
              <w:bottom w:val="single" w:sz="8" w:color="0000EE"/>
            </w:tcBorders>
            <w:gridSpan w:val="26"/>
          </w:tcPr>
          <w:p>
            <w:pPr>
              <w:ind w:left="20"/>
              <w:spacing w:after="0"/>
              <w:rPr>
                <w:sz w:val="20"/>
                <w:szCs w:val="20"/>
                <w:color w:val="auto"/>
              </w:rPr>
            </w:pPr>
            <w:r>
              <w:rPr>
                <w:rFonts w:ascii="Arial" w:cs="Arial" w:eastAsia="Arial" w:hAnsi="Arial"/>
                <w:sz w:val="18"/>
                <w:szCs w:val="18"/>
                <w:color w:val="0000EE"/>
                <w:w w:val="91"/>
              </w:rPr>
              <w:t>Summary of Significant Accounting Policies and Practices</w:t>
            </w:r>
          </w:p>
        </w:tc>
        <w:tc>
          <w:tcPr>
            <w:tcW w:w="6060" w:type="dxa"/>
            <w:vAlign w:val="bottom"/>
            <w:gridSpan w:val="3"/>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0"/>
              </w:rPr>
              <w:t>(4)</w:t>
            </w:r>
          </w:p>
        </w:tc>
        <w:tc>
          <w:tcPr>
            <w:tcW w:w="2500" w:type="dxa"/>
            <w:vAlign w:val="bottom"/>
            <w:tcBorders>
              <w:bottom w:val="single" w:sz="8" w:color="0000EE"/>
            </w:tcBorders>
            <w:gridSpan w:val="16"/>
          </w:tcPr>
          <w:p>
            <w:pPr>
              <w:ind w:left="20"/>
              <w:spacing w:after="0"/>
              <w:rPr>
                <w:sz w:val="20"/>
                <w:szCs w:val="20"/>
                <w:color w:val="auto"/>
              </w:rPr>
            </w:pPr>
            <w:r>
              <w:rPr>
                <w:rFonts w:ascii="Arial" w:cs="Arial" w:eastAsia="Arial" w:hAnsi="Arial"/>
                <w:sz w:val="18"/>
                <w:szCs w:val="18"/>
                <w:color w:val="0000EE"/>
                <w:w w:val="89"/>
              </w:rPr>
              <w:t>Settlement Assets and Obligations</w:t>
            </w:r>
          </w:p>
        </w:tc>
        <w:tc>
          <w:tcPr>
            <w:tcW w:w="7820" w:type="dxa"/>
            <w:vAlign w:val="bottom"/>
            <w:gridSpan w:val="13"/>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tcPr>
          <w:p>
            <w:pPr>
              <w:spacing w:after="0"/>
              <w:rPr>
                <w:sz w:val="20"/>
                <w:szCs w:val="20"/>
                <w:color w:val="auto"/>
              </w:rPr>
            </w:pPr>
          </w:p>
        </w:tc>
      </w:tr>
      <w:tr>
        <w:trPr>
          <w:trHeight w:val="236"/>
        </w:trPr>
        <w:tc>
          <w:tcPr>
            <w:tcW w:w="160" w:type="dxa"/>
            <w:vAlign w:val="bottom"/>
            <w:gridSpan w:val="2"/>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0000EE"/>
                <w:w w:val="90"/>
              </w:rPr>
              <w:t>(5)</w:t>
            </w:r>
          </w:p>
        </w:tc>
        <w:tc>
          <w:tcPr>
            <w:tcW w:w="10320" w:type="dxa"/>
            <w:vAlign w:val="bottom"/>
            <w:gridSpan w:val="29"/>
          </w:tcPr>
          <w:p>
            <w:pPr>
              <w:ind w:left="20"/>
              <w:spacing w:after="0"/>
              <w:rPr>
                <w:sz w:val="20"/>
                <w:szCs w:val="20"/>
                <w:color w:val="auto"/>
              </w:rPr>
            </w:pPr>
            <w:r>
              <w:rPr>
                <w:rFonts w:ascii="Arial" w:cs="Arial" w:eastAsia="Arial" w:hAnsi="Arial"/>
                <w:sz w:val="18"/>
                <w:szCs w:val="18"/>
                <w:color w:val="0000EE"/>
              </w:rPr>
              <w:t>Stockholders' Equity</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Borders>
              <w:top w:val="single" w:sz="8" w:color="0000EE"/>
              <w:bottom w:val="single" w:sz="8" w:color="0000EE"/>
            </w:tcBorders>
          </w:tcPr>
          <w:p>
            <w:pPr>
              <w:ind w:left="20"/>
              <w:spacing w:after="0"/>
              <w:rPr>
                <w:sz w:val="20"/>
                <w:szCs w:val="20"/>
                <w:color w:val="auto"/>
              </w:rPr>
            </w:pPr>
            <w:r>
              <w:rPr>
                <w:rFonts w:ascii="Arial" w:cs="Arial" w:eastAsia="Arial" w:hAnsi="Arial"/>
                <w:sz w:val="18"/>
                <w:szCs w:val="18"/>
                <w:color w:val="0000EE"/>
                <w:w w:val="90"/>
              </w:rPr>
              <w:t>(6)</w:t>
            </w:r>
          </w:p>
        </w:tc>
        <w:tc>
          <w:tcPr>
            <w:tcW w:w="940" w:type="dxa"/>
            <w:vAlign w:val="bottom"/>
            <w:tcBorders>
              <w:top w:val="single" w:sz="8" w:color="0000EE"/>
              <w:bottom w:val="single" w:sz="8" w:color="0000EE"/>
            </w:tcBorders>
            <w:gridSpan w:val="3"/>
          </w:tcPr>
          <w:p>
            <w:pPr>
              <w:ind w:left="20"/>
              <w:spacing w:after="0"/>
              <w:rPr>
                <w:sz w:val="20"/>
                <w:szCs w:val="20"/>
                <w:color w:val="auto"/>
              </w:rPr>
            </w:pPr>
            <w:r>
              <w:rPr>
                <w:rFonts w:ascii="Arial" w:cs="Arial" w:eastAsia="Arial" w:hAnsi="Arial"/>
                <w:sz w:val="18"/>
                <w:szCs w:val="18"/>
                <w:color w:val="0000EE"/>
                <w:w w:val="93"/>
              </w:rPr>
              <w:t>Acquisitions</w:t>
            </w:r>
          </w:p>
        </w:tc>
        <w:tc>
          <w:tcPr>
            <w:tcW w:w="580" w:type="dxa"/>
            <w:vAlign w:val="bottom"/>
            <w:tcBorders>
              <w:top w:val="single" w:sz="8" w:color="0000EE"/>
            </w:tcBorders>
            <w:gridSpan w:val="8"/>
          </w:tcPr>
          <w:p>
            <w:pPr>
              <w:spacing w:after="0"/>
              <w:rPr>
                <w:sz w:val="20"/>
                <w:szCs w:val="20"/>
                <w:color w:val="auto"/>
              </w:rPr>
            </w:pPr>
          </w:p>
        </w:tc>
        <w:tc>
          <w:tcPr>
            <w:tcW w:w="8800" w:type="dxa"/>
            <w:vAlign w:val="bottom"/>
            <w:gridSpan w:val="18"/>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0"/>
              </w:rPr>
              <w:t>(7)</w:t>
            </w:r>
          </w:p>
        </w:tc>
        <w:tc>
          <w:tcPr>
            <w:tcW w:w="1160" w:type="dxa"/>
            <w:vAlign w:val="bottom"/>
            <w:tcBorders>
              <w:bottom w:val="single" w:sz="8" w:color="0000EE"/>
            </w:tcBorders>
            <w:gridSpan w:val="8"/>
          </w:tcPr>
          <w:p>
            <w:pPr>
              <w:ind w:left="20"/>
              <w:spacing w:after="0"/>
              <w:rPr>
                <w:sz w:val="20"/>
                <w:szCs w:val="20"/>
                <w:color w:val="auto"/>
              </w:rPr>
            </w:pPr>
            <w:r>
              <w:rPr>
                <w:rFonts w:ascii="Arial" w:cs="Arial" w:eastAsia="Arial" w:hAnsi="Arial"/>
                <w:sz w:val="18"/>
                <w:szCs w:val="18"/>
                <w:color w:val="0000EE"/>
                <w:w w:val="87"/>
              </w:rPr>
              <w:t>Restricted Cash</w:t>
            </w:r>
          </w:p>
        </w:tc>
        <w:tc>
          <w:tcPr>
            <w:tcW w:w="9160" w:type="dxa"/>
            <w:vAlign w:val="bottom"/>
            <w:gridSpan w:val="21"/>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24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0"/>
              </w:rPr>
              <w:t>(8)</w:t>
            </w:r>
          </w:p>
        </w:tc>
        <w:tc>
          <w:tcPr>
            <w:tcW w:w="2140" w:type="dxa"/>
            <w:vAlign w:val="bottom"/>
            <w:tcBorders>
              <w:bottom w:val="single" w:sz="8" w:color="0000EE"/>
            </w:tcBorders>
            <w:gridSpan w:val="13"/>
          </w:tcPr>
          <w:p>
            <w:pPr>
              <w:ind w:left="20"/>
              <w:spacing w:after="0"/>
              <w:rPr>
                <w:sz w:val="20"/>
                <w:szCs w:val="20"/>
                <w:color w:val="auto"/>
              </w:rPr>
            </w:pPr>
            <w:r>
              <w:rPr>
                <w:rFonts w:ascii="Arial" w:cs="Arial" w:eastAsia="Arial" w:hAnsi="Arial"/>
                <w:sz w:val="18"/>
                <w:szCs w:val="18"/>
                <w:color w:val="0000EE"/>
                <w:w w:val="90"/>
              </w:rPr>
              <w:t>Property and Equipment, Net</w:t>
            </w:r>
          </w:p>
        </w:tc>
        <w:tc>
          <w:tcPr>
            <w:tcW w:w="8180" w:type="dxa"/>
            <w:vAlign w:val="bottom"/>
            <w:gridSpan w:val="16"/>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20"/>
                <w:szCs w:val="20"/>
                <w:color w:val="auto"/>
              </w:rPr>
            </w:pPr>
          </w:p>
        </w:tc>
      </w:tr>
      <w:tr>
        <w:trPr>
          <w:trHeight w:val="236"/>
        </w:trPr>
        <w:tc>
          <w:tcPr>
            <w:tcW w:w="160" w:type="dxa"/>
            <w:vAlign w:val="bottom"/>
            <w:gridSpan w:val="2"/>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0000EE"/>
                <w:w w:val="90"/>
              </w:rPr>
              <w:t>(9)</w:t>
            </w:r>
          </w:p>
        </w:tc>
        <w:tc>
          <w:tcPr>
            <w:tcW w:w="10320" w:type="dxa"/>
            <w:vAlign w:val="bottom"/>
            <w:gridSpan w:val="29"/>
          </w:tcPr>
          <w:p>
            <w:pPr>
              <w:ind w:left="20"/>
              <w:spacing w:after="0"/>
              <w:rPr>
                <w:sz w:val="20"/>
                <w:szCs w:val="20"/>
                <w:color w:val="auto"/>
              </w:rPr>
            </w:pPr>
            <w:r>
              <w:rPr>
                <w:rFonts w:ascii="Arial" w:cs="Arial" w:eastAsia="Arial" w:hAnsi="Arial"/>
                <w:sz w:val="18"/>
                <w:szCs w:val="18"/>
                <w:color w:val="0000EE"/>
              </w:rPr>
              <w:t>Goodwill and Acquired Intangible Assets, Net</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80" w:type="dxa"/>
            <w:vAlign w:val="bottom"/>
          </w:tcPr>
          <w:p>
            <w:pPr>
              <w:spacing w:after="0"/>
              <w:rPr>
                <w:sz w:val="20"/>
                <w:szCs w:val="20"/>
                <w:color w:val="auto"/>
              </w:rPr>
            </w:pPr>
          </w:p>
        </w:tc>
      </w:tr>
      <w:tr>
        <w:trPr>
          <w:trHeight w:val="20"/>
        </w:trPr>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(10)</w:t>
            </w:r>
          </w:p>
        </w:tc>
        <w:tc>
          <w:tcPr>
            <w:tcW w:w="3500" w:type="dxa"/>
            <w:vAlign w:val="bottom"/>
            <w:tcBorders>
              <w:bottom w:val="single" w:sz="8" w:color="0000EE"/>
            </w:tcBorders>
            <w:gridSpan w:val="21"/>
          </w:tcPr>
          <w:p>
            <w:pPr>
              <w:ind w:left="20"/>
              <w:spacing w:after="0"/>
              <w:rPr>
                <w:sz w:val="20"/>
                <w:szCs w:val="20"/>
                <w:color w:val="auto"/>
              </w:rPr>
            </w:pPr>
            <w:r>
              <w:rPr>
                <w:rFonts w:ascii="Arial" w:cs="Arial" w:eastAsia="Arial" w:hAnsi="Arial"/>
                <w:sz w:val="18"/>
                <w:szCs w:val="18"/>
                <w:color w:val="0000EE"/>
                <w:w w:val="90"/>
              </w:rPr>
              <w:t>Accrued Expenses and Other Current Liabilities</w:t>
            </w:r>
          </w:p>
        </w:tc>
        <w:tc>
          <w:tcPr>
            <w:tcW w:w="6720" w:type="dxa"/>
            <w:vAlign w:val="bottom"/>
            <w:gridSpan w:val="7"/>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8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0"/>
          </w:tcPr>
          <w:p>
            <w:pPr>
              <w:ind w:left="20"/>
              <w:spacing w:after="0"/>
              <w:rPr>
                <w:sz w:val="20"/>
                <w:szCs w:val="20"/>
                <w:color w:val="auto"/>
              </w:rPr>
            </w:pPr>
            <w:r>
              <w:rPr>
                <w:rFonts w:ascii="Arial" w:cs="Arial" w:eastAsia="Arial" w:hAnsi="Arial"/>
                <w:sz w:val="18"/>
                <w:szCs w:val="18"/>
                <w:color w:val="0000EE"/>
              </w:rPr>
              <w:t>(11) Debt Obligations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80" w:type="dxa"/>
            <w:vAlign w:val="bottom"/>
          </w:tcPr>
          <w:p>
            <w:pPr>
              <w:spacing w:after="0"/>
              <w:rPr>
                <w:sz w:val="20"/>
                <w:szCs w:val="20"/>
                <w:color w:val="auto"/>
              </w:rPr>
            </w:pPr>
          </w:p>
        </w:tc>
      </w:tr>
      <w:tr>
        <w:trPr>
          <w:trHeight w:val="20"/>
        </w:trPr>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0000EE"/>
                <w:w w:val="93"/>
              </w:rPr>
              <w:t>(12)</w:t>
            </w:r>
          </w:p>
        </w:tc>
        <w:tc>
          <w:tcPr>
            <w:tcW w:w="10220" w:type="dxa"/>
            <w:vAlign w:val="bottom"/>
            <w:gridSpan w:val="28"/>
          </w:tcPr>
          <w:p>
            <w:pPr>
              <w:ind w:left="20"/>
              <w:spacing w:after="0"/>
              <w:rPr>
                <w:sz w:val="20"/>
                <w:szCs w:val="20"/>
                <w:color w:val="auto"/>
              </w:rPr>
            </w:pPr>
            <w:r>
              <w:rPr>
                <w:rFonts w:ascii="Arial" w:cs="Arial" w:eastAsia="Arial" w:hAnsi="Arial"/>
                <w:sz w:val="18"/>
                <w:szCs w:val="18"/>
                <w:color w:val="0000EE"/>
              </w:rPr>
              <w:t>Derivative Instruments and Hedging Activities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(13)</w:t>
            </w:r>
          </w:p>
        </w:tc>
        <w:tc>
          <w:tcPr>
            <w:tcW w:w="3380" w:type="dxa"/>
            <w:vAlign w:val="bottom"/>
            <w:tcBorders>
              <w:top w:val="single" w:sz="8" w:color="0000EE"/>
            </w:tcBorders>
            <w:gridSpan w:val="20"/>
          </w:tcPr>
          <w:p>
            <w:pPr>
              <w:ind w:left="20"/>
              <w:spacing w:after="0"/>
              <w:rPr>
                <w:sz w:val="20"/>
                <w:szCs w:val="20"/>
                <w:color w:val="auto"/>
              </w:rPr>
            </w:pPr>
            <w:r>
              <w:rPr>
                <w:rFonts w:ascii="Arial" w:cs="Arial" w:eastAsia="Arial" w:hAnsi="Arial"/>
                <w:sz w:val="18"/>
                <w:szCs w:val="18"/>
                <w:color w:val="0000EE"/>
              </w:rPr>
              <w:t>Leases</w:t>
            </w:r>
          </w:p>
        </w:tc>
        <w:tc>
          <w:tcPr>
            <w:tcW w:w="6840" w:type="dxa"/>
            <w:vAlign w:val="bottom"/>
            <w:gridSpan w:val="8"/>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84</w:t>
            </w:r>
          </w:p>
        </w:tc>
        <w:tc>
          <w:tcPr>
            <w:tcW w:w="180" w:type="dxa"/>
            <w:vAlign w:val="bottom"/>
          </w:tcPr>
          <w:p>
            <w:pPr>
              <w:spacing w:after="0"/>
              <w:rPr>
                <w:sz w:val="20"/>
                <w:szCs w:val="20"/>
                <w:color w:val="auto"/>
              </w:rPr>
            </w:pPr>
          </w:p>
        </w:tc>
      </w:tr>
      <w:tr>
        <w:trPr>
          <w:trHeight w:val="20"/>
        </w:trPr>
        <w:tc>
          <w:tcPr>
            <w:tcW w:w="16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(14)</w:t>
            </w:r>
          </w:p>
        </w:tc>
        <w:tc>
          <w:tcPr>
            <w:tcW w:w="1020" w:type="dxa"/>
            <w:vAlign w:val="bottom"/>
            <w:tcBorders>
              <w:bottom w:val="single" w:sz="8" w:color="0000EE"/>
            </w:tcBorders>
            <w:gridSpan w:val="5"/>
          </w:tcPr>
          <w:p>
            <w:pPr>
              <w:ind w:left="20"/>
              <w:spacing w:after="0"/>
              <w:rPr>
                <w:sz w:val="20"/>
                <w:szCs w:val="20"/>
                <w:color w:val="auto"/>
              </w:rPr>
            </w:pPr>
            <w:r>
              <w:rPr>
                <w:rFonts w:ascii="Arial" w:cs="Arial" w:eastAsia="Arial" w:hAnsi="Arial"/>
                <w:sz w:val="18"/>
                <w:szCs w:val="18"/>
                <w:color w:val="0000EE"/>
                <w:w w:val="86"/>
              </w:rPr>
              <w:t>Income Taxes</w:t>
            </w:r>
          </w:p>
        </w:tc>
        <w:tc>
          <w:tcPr>
            <w:tcW w:w="9200" w:type="dxa"/>
            <w:vAlign w:val="bottom"/>
            <w:gridSpan w:val="23"/>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80" w:type="dxa"/>
            <w:vAlign w:val="bottom"/>
          </w:tcPr>
          <w:p>
            <w:pPr>
              <w:spacing w:after="0"/>
              <w:rPr>
                <w:sz w:val="20"/>
                <w:szCs w:val="20"/>
                <w:color w:val="auto"/>
              </w:rPr>
            </w:pPr>
          </w:p>
        </w:tc>
      </w:tr>
      <w:tr>
        <w:trPr>
          <w:trHeight w:val="236"/>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(15)</w:t>
            </w:r>
          </w:p>
        </w:tc>
        <w:tc>
          <w:tcPr>
            <w:tcW w:w="2560" w:type="dxa"/>
            <w:vAlign w:val="bottom"/>
            <w:tcBorders>
              <w:bottom w:val="single" w:sz="8" w:color="0000EE"/>
            </w:tcBorders>
            <w:gridSpan w:val="17"/>
          </w:tcPr>
          <w:p>
            <w:pPr>
              <w:ind w:left="20"/>
              <w:spacing w:after="0"/>
              <w:rPr>
                <w:sz w:val="20"/>
                <w:szCs w:val="20"/>
                <w:color w:val="auto"/>
              </w:rPr>
            </w:pPr>
            <w:r>
              <w:rPr>
                <w:rFonts w:ascii="Arial" w:cs="Arial" w:eastAsia="Arial" w:hAnsi="Arial"/>
                <w:sz w:val="18"/>
                <w:szCs w:val="18"/>
                <w:color w:val="0000EE"/>
                <w:w w:val="91"/>
              </w:rPr>
              <w:t>Valuation and Qualifying Accounts</w:t>
            </w:r>
          </w:p>
        </w:tc>
        <w:tc>
          <w:tcPr>
            <w:tcW w:w="7660" w:type="dxa"/>
            <w:vAlign w:val="bottom"/>
            <w:gridSpan w:val="11"/>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(16)</w:t>
            </w:r>
          </w:p>
        </w:tc>
        <w:tc>
          <w:tcPr>
            <w:tcW w:w="860" w:type="dxa"/>
            <w:vAlign w:val="bottom"/>
            <w:tcBorders>
              <w:bottom w:val="single" w:sz="8" w:color="0000EE"/>
            </w:tcBorders>
            <w:gridSpan w:val="3"/>
          </w:tcPr>
          <w:p>
            <w:pPr>
              <w:ind w:left="20"/>
              <w:spacing w:after="0"/>
              <w:rPr>
                <w:sz w:val="20"/>
                <w:szCs w:val="20"/>
                <w:color w:val="auto"/>
              </w:rPr>
            </w:pPr>
            <w:r>
              <w:rPr>
                <w:rFonts w:ascii="Arial" w:cs="Arial" w:eastAsia="Arial" w:hAnsi="Arial"/>
                <w:sz w:val="18"/>
                <w:szCs w:val="18"/>
                <w:color w:val="0000EE"/>
                <w:w w:val="86"/>
              </w:rPr>
              <w:t>Stock Plans</w:t>
            </w:r>
          </w:p>
        </w:tc>
        <w:tc>
          <w:tcPr>
            <w:tcW w:w="9360" w:type="dxa"/>
            <w:vAlign w:val="bottom"/>
            <w:gridSpan w:val="25"/>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180" w:type="dxa"/>
            <w:vAlign w:val="bottom"/>
          </w:tcPr>
          <w:p>
            <w:pPr>
              <w:spacing w:after="0"/>
              <w:rPr>
                <w:sz w:val="20"/>
                <w:szCs w:val="20"/>
                <w:color w:val="auto"/>
              </w:rPr>
            </w:pPr>
          </w:p>
        </w:tc>
      </w:tr>
      <w:tr>
        <w:trPr>
          <w:trHeight w:val="236"/>
        </w:trPr>
        <w:tc>
          <w:tcPr>
            <w:tcW w:w="160" w:type="dxa"/>
            <w:vAlign w:val="bottom"/>
            <w:gridSpan w:val="2"/>
          </w:tcPr>
          <w:p>
            <w:pPr>
              <w:spacing w:after="0"/>
              <w:rPr>
                <w:sz w:val="20"/>
                <w:szCs w:val="20"/>
                <w:color w:val="auto"/>
              </w:rPr>
            </w:pPr>
          </w:p>
        </w:tc>
        <w:tc>
          <w:tcPr>
            <w:tcW w:w="34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(17)</w:t>
            </w:r>
          </w:p>
        </w:tc>
        <w:tc>
          <w:tcPr>
            <w:tcW w:w="2240" w:type="dxa"/>
            <w:vAlign w:val="bottom"/>
            <w:tcBorders>
              <w:bottom w:val="single" w:sz="8" w:color="0000EE"/>
            </w:tcBorders>
            <w:gridSpan w:val="14"/>
          </w:tcPr>
          <w:p>
            <w:pPr>
              <w:ind w:left="20"/>
              <w:spacing w:after="0"/>
              <w:rPr>
                <w:sz w:val="20"/>
                <w:szCs w:val="20"/>
                <w:color w:val="auto"/>
              </w:rPr>
            </w:pPr>
            <w:r>
              <w:rPr>
                <w:rFonts w:ascii="Arial" w:cs="Arial" w:eastAsia="Arial" w:hAnsi="Arial"/>
                <w:sz w:val="18"/>
                <w:szCs w:val="18"/>
                <w:color w:val="0000EE"/>
                <w:w w:val="89"/>
              </w:rPr>
              <w:t>Business Segment Information</w:t>
            </w:r>
          </w:p>
        </w:tc>
        <w:tc>
          <w:tcPr>
            <w:tcW w:w="7980" w:type="dxa"/>
            <w:vAlign w:val="bottom"/>
            <w:gridSpan w:val="14"/>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0000EE"/>
                <w:w w:val="93"/>
              </w:rPr>
              <w:t>(18)</w:t>
            </w:r>
          </w:p>
        </w:tc>
        <w:tc>
          <w:tcPr>
            <w:tcW w:w="10220" w:type="dxa"/>
            <w:vAlign w:val="bottom"/>
            <w:gridSpan w:val="28"/>
          </w:tcPr>
          <w:p>
            <w:pPr>
              <w:ind w:left="20"/>
              <w:spacing w:after="0"/>
              <w:rPr>
                <w:sz w:val="20"/>
                <w:szCs w:val="20"/>
                <w:color w:val="auto"/>
              </w:rPr>
            </w:pPr>
            <w:r>
              <w:rPr>
                <w:rFonts w:ascii="Arial" w:cs="Arial" w:eastAsia="Arial" w:hAnsi="Arial"/>
                <w:sz w:val="18"/>
                <w:szCs w:val="18"/>
                <w:color w:val="0000EE"/>
              </w:rPr>
              <w:t>Financial Instruments and Fair Value Measurements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180" w:type="dxa"/>
            <w:vAlign w:val="bottom"/>
          </w:tcPr>
          <w:p>
            <w:pPr>
              <w:spacing w:after="0"/>
              <w:rPr>
                <w:sz w:val="20"/>
                <w:szCs w:val="20"/>
                <w:color w:val="auto"/>
              </w:rPr>
            </w:pPr>
          </w:p>
        </w:tc>
      </w:tr>
      <w:tr>
        <w:trPr>
          <w:trHeight w:val="236"/>
        </w:trPr>
        <w:tc>
          <w:tcPr>
            <w:tcW w:w="160" w:type="dxa"/>
            <w:vAlign w:val="bottom"/>
            <w:gridSpan w:val="2"/>
          </w:tcPr>
          <w:p>
            <w:pPr>
              <w:spacing w:after="0"/>
              <w:rPr>
                <w:sz w:val="20"/>
                <w:szCs w:val="20"/>
                <w:color w:val="auto"/>
              </w:rPr>
            </w:pPr>
          </w:p>
        </w:tc>
        <w:tc>
          <w:tcPr>
            <w:tcW w:w="34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color w:val="0000EE"/>
                <w:w w:val="93"/>
              </w:rPr>
              <w:t>(19)</w:t>
            </w:r>
          </w:p>
        </w:tc>
        <w:tc>
          <w:tcPr>
            <w:tcW w:w="3760" w:type="dxa"/>
            <w:vAlign w:val="bottom"/>
            <w:tcBorders>
              <w:top w:val="single" w:sz="8" w:color="0000EE"/>
            </w:tcBorders>
            <w:gridSpan w:val="23"/>
          </w:tcPr>
          <w:p>
            <w:pPr>
              <w:ind w:left="20"/>
              <w:spacing w:after="0"/>
              <w:rPr>
                <w:sz w:val="20"/>
                <w:szCs w:val="20"/>
                <w:color w:val="auto"/>
              </w:rPr>
            </w:pPr>
            <w:r>
              <w:rPr>
                <w:rFonts w:ascii="Arial" w:cs="Arial" w:eastAsia="Arial" w:hAnsi="Arial"/>
                <w:sz w:val="18"/>
                <w:szCs w:val="18"/>
                <w:color w:val="0000EE"/>
              </w:rPr>
              <w:t>Litigation and Contingencies</w:t>
            </w:r>
          </w:p>
        </w:tc>
        <w:tc>
          <w:tcPr>
            <w:tcW w:w="6460" w:type="dxa"/>
            <w:vAlign w:val="bottom"/>
            <w:gridSpan w:val="5"/>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tcBorders>
              <w:top w:val="single" w:sz="8" w:color="0000EE"/>
              <w:bottom w:val="single" w:sz="8" w:color="0000EE"/>
            </w:tcBorders>
            <w:gridSpan w:val="2"/>
          </w:tcPr>
          <w:p>
            <w:pPr>
              <w:ind w:left="20"/>
              <w:spacing w:after="0"/>
              <w:rPr>
                <w:sz w:val="20"/>
                <w:szCs w:val="20"/>
                <w:color w:val="auto"/>
              </w:rPr>
            </w:pPr>
            <w:r>
              <w:rPr>
                <w:rFonts w:ascii="Arial" w:cs="Arial" w:eastAsia="Arial" w:hAnsi="Arial"/>
                <w:sz w:val="18"/>
                <w:szCs w:val="18"/>
                <w:color w:val="0000EE"/>
                <w:w w:val="93"/>
              </w:rPr>
              <w:t>(20)</w:t>
            </w:r>
          </w:p>
        </w:tc>
        <w:tc>
          <w:tcPr>
            <w:tcW w:w="1040" w:type="dxa"/>
            <w:vAlign w:val="bottom"/>
            <w:tcBorders>
              <w:top w:val="single" w:sz="8" w:color="0000EE"/>
              <w:bottom w:val="single" w:sz="8" w:color="0000EE"/>
            </w:tcBorders>
            <w:gridSpan w:val="6"/>
          </w:tcPr>
          <w:p>
            <w:pPr>
              <w:ind w:left="20"/>
              <w:spacing w:after="0"/>
              <w:rPr>
                <w:sz w:val="20"/>
                <w:szCs w:val="20"/>
                <w:color w:val="auto"/>
              </w:rPr>
            </w:pPr>
            <w:r>
              <w:rPr>
                <w:rFonts w:ascii="Arial" w:cs="Arial" w:eastAsia="Arial" w:hAnsi="Arial"/>
                <w:sz w:val="18"/>
                <w:szCs w:val="18"/>
                <w:color w:val="0000EE"/>
                <w:w w:val="90"/>
              </w:rPr>
              <w:t>Commitments</w:t>
            </w:r>
          </w:p>
        </w:tc>
        <w:tc>
          <w:tcPr>
            <w:tcW w:w="1060" w:type="dxa"/>
            <w:vAlign w:val="bottom"/>
            <w:tcBorders>
              <w:top w:val="single" w:sz="8" w:color="0000EE"/>
            </w:tcBorders>
            <w:gridSpan w:val="7"/>
          </w:tcPr>
          <w:p>
            <w:pPr>
              <w:spacing w:after="0"/>
              <w:rPr>
                <w:sz w:val="20"/>
                <w:szCs w:val="20"/>
                <w:color w:val="auto"/>
              </w:rPr>
            </w:pPr>
          </w:p>
        </w:tc>
        <w:tc>
          <w:tcPr>
            <w:tcW w:w="8120" w:type="dxa"/>
            <w:vAlign w:val="bottom"/>
            <w:gridSpan w:val="15"/>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80" w:type="dxa"/>
            <w:vAlign w:val="bottom"/>
          </w:tcPr>
          <w:p>
            <w:pPr>
              <w:spacing w:after="0"/>
              <w:rPr>
                <w:sz w:val="20"/>
                <w:szCs w:val="20"/>
                <w:color w:val="auto"/>
              </w:rPr>
            </w:pPr>
          </w:p>
        </w:tc>
      </w:tr>
      <w:tr>
        <w:trPr>
          <w:trHeight w:val="237"/>
        </w:trPr>
        <w:tc>
          <w:tcPr>
            <w:tcW w:w="160" w:type="dxa"/>
            <w:vAlign w:val="bottom"/>
            <w:gridSpan w:val="2"/>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0000EE"/>
                <w:w w:val="93"/>
              </w:rPr>
              <w:t>(21)</w:t>
            </w:r>
          </w:p>
        </w:tc>
        <w:tc>
          <w:tcPr>
            <w:tcW w:w="10220" w:type="dxa"/>
            <w:vAlign w:val="bottom"/>
            <w:gridSpan w:val="28"/>
          </w:tcPr>
          <w:p>
            <w:pPr>
              <w:ind w:left="20"/>
              <w:spacing w:after="0"/>
              <w:rPr>
                <w:sz w:val="20"/>
                <w:szCs w:val="20"/>
                <w:color w:val="auto"/>
              </w:rPr>
            </w:pPr>
            <w:r>
              <w:rPr>
                <w:rFonts w:ascii="Arial" w:cs="Arial" w:eastAsia="Arial" w:hAnsi="Arial"/>
                <w:sz w:val="18"/>
                <w:szCs w:val="18"/>
                <w:color w:val="0000EE"/>
              </w:rPr>
              <w:t>Related Party Transactions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80" w:type="dxa"/>
            <w:vAlign w:val="bottom"/>
          </w:tcPr>
          <w:p>
            <w:pPr>
              <w:spacing w:after="0"/>
              <w:rPr>
                <w:sz w:val="20"/>
                <w:szCs w:val="20"/>
                <w:color w:val="auto"/>
              </w:rPr>
            </w:pPr>
          </w:p>
        </w:tc>
      </w:tr>
      <w:tr>
        <w:trPr>
          <w:trHeight w:val="520"/>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gridSpan w:val="11"/>
          </w:tcPr>
          <w:p>
            <w:pPr>
              <w:spacing w:after="0"/>
              <w:rPr>
                <w:sz w:val="24"/>
                <w:szCs w:val="24"/>
                <w:color w:val="auto"/>
              </w:rPr>
            </w:pPr>
          </w:p>
        </w:tc>
        <w:tc>
          <w:tcPr>
            <w:tcW w:w="3340" w:type="dxa"/>
            <w:vAlign w:val="bottom"/>
            <w:gridSpan w:val="16"/>
          </w:tcPr>
          <w:p>
            <w:pPr>
              <w:jc w:val="right"/>
              <w:ind w:right="60"/>
              <w:spacing w:after="0"/>
              <w:rPr>
                <w:sz w:val="20"/>
                <w:szCs w:val="20"/>
                <w:color w:val="auto"/>
              </w:rPr>
            </w:pPr>
            <w:r>
              <w:rPr>
                <w:rFonts w:ascii="Arial" w:cs="Arial" w:eastAsia="Arial" w:hAnsi="Arial"/>
                <w:sz w:val="18"/>
                <w:szCs w:val="18"/>
                <w:color w:val="auto"/>
              </w:rPr>
              <w:t>56</w:t>
            </w:r>
          </w:p>
        </w:tc>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8"/>
        </w:trPr>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2022 and 2021, the related consolidated statements of operations, comprehensive income (loss), changes in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acquired the Euronet Merchant Services Payment Institution S.M.S.A (formerly the Merchant Acquiring Business of Piraeus Bank) during 2022 and management excluded from its assessment of the effectiveness of the Company's internal control over financial reporting as of December 31, 2022, Euronet Merchant Services Payment Institution S.M.S.A. internal control over financial reporting associated with total assets of $520.8 million and total revenues of $88.8 million included in the consolidated financial statements of the company as of and for the year ended December 31, 2022. Our audit of internal control over financial reporting of the Company also excluded an evaluation of the internal control over financial reporting of Euronet Merchant Services Payment Institution S.M.S.A.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in Note 3 to the consolidated financial statements, the Company has changed its method of accounting for convertible instruments as of January 1, 2022 due to the adoption of ASU 2020-06, Accounting for Convertible Instruments and Contracts in an Entity’s Own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matters or on the accounts or disclosures to which it relates.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144"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As discussed in Note 3 to the consolidated financial statements, the Company earned $3.4 billion of revenue in 2022. The Company earned revenue by payment and transaction processing and distribution solutions to financial institutions, retailers, service providers and individual consumers (collectively services). The services were provided to customers in approximately 200 countries through 66 different business offices in 43 countries within 3 different reportable operating segments.</w:t>
      </w:r>
    </w:p>
    <w:p>
      <w:pPr>
        <w:spacing w:after="0" w:line="119"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spacing w:after="0" w:line="106"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including the determination of locations at which those procedures were to be performed. At each Company location selected, we:</w:t>
      </w:r>
    </w:p>
    <w:p>
      <w:pPr>
        <w:spacing w:after="0" w:line="11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evaluated the design and tested the operating effectiveness of certain internal controls related to the Company’s revenue process, including controls over the accurate recording of revenue amounts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assessed the training and experience of the auditors on our audit team that were in countries other than the United States</w:t>
      </w:r>
    </w:p>
    <w:p>
      <w:pPr>
        <w:spacing w:after="0" w:line="144"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tested a sample of individual revenue transactions by comparing amounts recognized by the Company to relevant contracts and or payment and transaction support.</w:t>
      </w:r>
    </w:p>
    <w:p>
      <w:pPr>
        <w:spacing w:after="0" w:line="103"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We evaluated the sufficiency of audit evidence obtained over revenue by assessing the results of procedures performed, including the appropriateness of such evidence.</w:t>
      </w:r>
    </w:p>
    <w:p>
      <w:pPr>
        <w:spacing w:after="0" w:line="1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1" w:name="page62"/>
    <w:bookmarkEnd w:id="61"/>
    <w:p>
      <w:pPr>
        <w:jc w:val="center"/>
        <w:spacing w:after="0" w:line="259" w:lineRule="auto"/>
        <w:rPr>
          <w:sz w:val="20"/>
          <w:szCs w:val="20"/>
          <w:color w:val="auto"/>
        </w:rPr>
      </w:pPr>
      <w:r>
        <w:rPr>
          <w:rFonts w:ascii="Arial" w:cs="Arial" w:eastAsia="Arial" w:hAnsi="Arial"/>
          <w:sz w:val="18"/>
          <w:szCs w:val="18"/>
          <w:b w:val="1"/>
          <w:bCs w:val="1"/>
          <w:color w:val="auto"/>
        </w:rPr>
        <w:t>CONSOLIDATED FINANCIAL STATEMENTS EURONET WORLDWIDE, INC. AND SUBSIDIARIES CONSOLIDATED BALANCE SHEETS (in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3"/>
        </w:trPr>
        <w:tc>
          <w:tcPr>
            <w:tcW w:w="89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1,260,466</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ATM cash</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543,422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1,442,692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1,102,389</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 allowance of $4,021 and $4,469</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203,010</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358,929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195,443</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3,308,423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161,494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$576,433 and $532,631</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345,381</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641,605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$199,237 and $185,054</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97,793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 assets, net of accumulated amortization of $68,015 and $62,349</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174,073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189,580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5,403,633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4,744,276</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1,442,692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1,102,389</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193,529</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367,692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52,136</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59,037</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77,037</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1,852,641</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1,609,098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1,420,085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111,355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46,505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58,166</w:t>
            </w:r>
          </w:p>
        </w:tc>
        <w:tc>
          <w:tcPr>
            <w:tcW w:w="0" w:type="dxa"/>
            <w:vAlign w:val="bottom"/>
          </w:tcPr>
          <w:p>
            <w:pPr>
              <w:spacing w:after="0"/>
              <w:rPr>
                <w:sz w:val="1"/>
                <w:szCs w:val="1"/>
                <w:color w:val="auto"/>
              </w:rPr>
            </w:pPr>
          </w:p>
        </w:tc>
      </w:tr>
      <w:tr>
        <w:trPr>
          <w:trHeight w:val="237"/>
        </w:trPr>
        <w:tc>
          <w:tcPr>
            <w:tcW w:w="892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4,159,227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3,488,752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0 issued</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Common Stock, $0.02 par value. 90,000,000 shares authorized; shares issued 64,091,387 and 63,779,009</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1,274,118</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Treasury stock, at cost, shares issued 14,269,645 and 12,631,125</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(1,105,813)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(931,212)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1,083,882</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(250,989)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(172,582)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1,244,583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1,255,481</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1,244,406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1,255,524</w:t>
            </w:r>
          </w:p>
        </w:tc>
        <w:tc>
          <w:tcPr>
            <w:tcW w:w="0" w:type="dxa"/>
            <w:vAlign w:val="bottom"/>
          </w:tcPr>
          <w:p>
            <w:pPr>
              <w:spacing w:after="0"/>
              <w:rPr>
                <w:sz w:val="1"/>
                <w:szCs w:val="1"/>
                <w:color w:val="auto"/>
              </w:rPr>
            </w:pPr>
          </w:p>
        </w:tc>
      </w:tr>
      <w:tr>
        <w:trPr>
          <w:trHeight w:val="257"/>
        </w:trPr>
        <w:tc>
          <w:tcPr>
            <w:tcW w:w="892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5,403,633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4,744,276</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3220"/>
              <w:spacing w:after="0"/>
              <w:rPr>
                <w:sz w:val="20"/>
                <w:szCs w:val="20"/>
                <w:color w:val="auto"/>
              </w:rPr>
            </w:pPr>
            <w:r>
              <w:rPr>
                <w:rFonts w:ascii="Arial" w:cs="Arial" w:eastAsia="Arial" w:hAnsi="Arial"/>
                <w:sz w:val="18"/>
                <w:szCs w:val="18"/>
                <w:color w:val="auto"/>
              </w:rPr>
              <w:t>See accompanying notes to the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554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8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right"/>
              <w:ind w:right="79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8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r>
      <w:tr>
        <w:trPr>
          <w:trHeight w:val="256"/>
        </w:trPr>
        <w:tc>
          <w:tcPr>
            <w:tcW w:w="7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3,358,741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2,995,443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2,482,700</w:t>
            </w:r>
          </w:p>
        </w:tc>
      </w:tr>
      <w:tr>
        <w:trPr>
          <w:trHeight w:val="223"/>
        </w:trPr>
        <w:tc>
          <w:tcPr>
            <w:tcW w:w="7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7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1,900,267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1,576,699</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Acquired contract cost impairment</w:t>
            </w:r>
          </w:p>
        </w:tc>
        <w:tc>
          <w:tcPr>
            <w:tcW w:w="14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404,142</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285,173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251,933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221,614</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106,602</w:t>
            </w:r>
          </w:p>
        </w:tc>
      </w:tr>
      <w:tr>
        <w:trPr>
          <w:trHeight w:val="270"/>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135,864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135,754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127,021</w:t>
            </w:r>
          </w:p>
        </w:tc>
      </w:tr>
      <w:tr>
        <w:trPr>
          <w:trHeight w:val="250"/>
        </w:trPr>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2,973,402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2,811,427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2,436,078</w:t>
            </w:r>
          </w:p>
        </w:tc>
      </w:tr>
      <w:tr>
        <w:trPr>
          <w:trHeight w:val="250"/>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46,622</w:t>
            </w:r>
          </w:p>
        </w:tc>
      </w:tr>
      <w:tr>
        <w:trPr>
          <w:trHeight w:val="23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(3,756)</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r>
      <w:tr>
        <w:trPr>
          <w:trHeight w:val="250"/>
        </w:trPr>
        <w:tc>
          <w:tcPr>
            <w:tcW w:w="78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(38,451)</w:t>
            </w:r>
          </w:p>
        </w:tc>
      </w:tr>
      <w:tr>
        <w:trPr>
          <w:trHeight w:val="25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8,171</w:t>
            </w:r>
          </w:p>
        </w:tc>
      </w:tr>
      <w:tr>
        <w:trPr>
          <w:trHeight w:val="270"/>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w:t>
            </w:r>
          </w:p>
        </w:tc>
      </w:tr>
      <w:tr>
        <w:trPr>
          <w:trHeight w:val="25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r>
      <w:tr>
        <w:trPr>
          <w:trHeight w:val="270"/>
        </w:trPr>
        <w:tc>
          <w:tcPr>
            <w:tcW w:w="78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36"/>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97"/>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10"/>
        </w:trPr>
        <w:tc>
          <w:tcPr>
            <w:tcW w:w="78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97"/>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50,175,614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52,585,674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52,659,551</w:t>
            </w:r>
          </w:p>
        </w:tc>
      </w:tr>
      <w:tr>
        <w:trPr>
          <w:trHeight w:val="210"/>
        </w:trPr>
        <w:tc>
          <w:tcPr>
            <w:tcW w:w="78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53,463,308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53,529,576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52,659,551</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left="2540" w:right="2580"/>
        <w:spacing w:after="0" w:line="275"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(LOSS) INCOME (in thousands)</w:t>
      </w:r>
    </w:p>
    <w:p>
      <w:pPr>
        <w:sectPr>
          <w:pgSz w:w="11900" w:h="16838" w:orient="portrait"/>
          <w:cols w:equalWidth="0" w:num="1">
            <w:col w:w="11200"/>
          </w:cols>
          <w:pgMar w:left="36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-147320</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Translation adjustment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Comprehensive loss (income) attributable to noncontrolling interests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(loss) income attributable to Euronet Worldwide, Inc.</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2160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7"/>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230,742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70,587</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540"/>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70,794</w:t>
            </w:r>
          </w:p>
        </w:tc>
      </w:tr>
      <w:tr>
        <w:trPr>
          <w:trHeight w:val="250"/>
        </w:trPr>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67,490</w:t>
            </w:r>
          </w:p>
        </w:tc>
      </w:tr>
      <w:tr>
        <w:trPr>
          <w:trHeight w:val="270"/>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6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67,277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400"/>
          </w:cols>
          <w:pgMar w:left="360" w:top="553" w:right="339" w:bottom="1440" w:gutter="0" w:footer="0" w:header="0"/>
          <w:type w:val="continuous"/>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553"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Treasury</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54,220,854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1,190,058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020" w:type="dxa"/>
            <w:vAlign w:val="bottom"/>
          </w:tcPr>
          <w:p>
            <w:pPr>
              <w:jc w:val="right"/>
              <w:spacing w:after="0"/>
              <w:rPr>
                <w:sz w:val="20"/>
                <w:szCs w:val="20"/>
                <w:color w:val="auto"/>
              </w:rPr>
            </w:pPr>
            <w:r>
              <w:rPr>
                <w:rFonts w:ascii="Arial" w:cs="Arial" w:eastAsia="Arial" w:hAnsi="Arial"/>
                <w:sz w:val="18"/>
                <w:szCs w:val="18"/>
                <w:color w:val="auto"/>
              </w:rPr>
              <w:t>608,878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(2,095,683)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50"/>
        </w:trPr>
        <w:tc>
          <w:tcPr>
            <w:tcW w:w="6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52,734,049</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1,228,446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020" w:type="dxa"/>
            <w:vAlign w:val="bottom"/>
          </w:tcPr>
          <w:p>
            <w:pPr>
              <w:jc w:val="right"/>
              <w:spacing w:after="0"/>
              <w:rPr>
                <w:sz w:val="20"/>
                <w:szCs w:val="20"/>
                <w:color w:val="auto"/>
              </w:rPr>
            </w:pPr>
            <w:r>
              <w:rPr>
                <w:rFonts w:ascii="Arial" w:cs="Arial" w:eastAsia="Arial" w:hAnsi="Arial"/>
                <w:sz w:val="18"/>
                <w:szCs w:val="18"/>
                <w:color w:val="auto"/>
              </w:rPr>
              <w:t>413,835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(227,764)</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Balance as of December 31, 2021</w:t>
            </w: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51,147,884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1,274,118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(931,212)</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Adoption of ASU-2020-60 on Convertible bond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314,358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(1,639,535)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(174,951)</w:t>
            </w:r>
          </w:p>
        </w:tc>
        <w:tc>
          <w:tcPr>
            <w:tcW w:w="0" w:type="dxa"/>
            <w:vAlign w:val="bottom"/>
          </w:tcPr>
          <w:p>
            <w:pPr>
              <w:spacing w:after="0"/>
              <w:rPr>
                <w:sz w:val="1"/>
                <w:szCs w:val="1"/>
                <w:color w:val="auto"/>
              </w:rPr>
            </w:pPr>
          </w:p>
        </w:tc>
      </w:tr>
      <w:tr>
        <w:trPr>
          <w:trHeight w:val="236"/>
        </w:trPr>
        <w:tc>
          <w:tcPr>
            <w:tcW w:w="6700" w:type="dxa"/>
            <w:vAlign w:val="bottom"/>
          </w:tcPr>
          <w:p>
            <w:pPr>
              <w:ind w:left="40"/>
              <w:spacing w:after="0"/>
              <w:rPr>
                <w:sz w:val="20"/>
                <w:szCs w:val="20"/>
                <w:color w:val="auto"/>
              </w:rPr>
            </w:pPr>
            <w:r>
              <w:rPr>
                <w:rFonts w:ascii="Arial" w:cs="Arial" w:eastAsia="Arial" w:hAnsi="Arial"/>
                <w:sz w:val="18"/>
                <w:szCs w:val="18"/>
                <w:color w:val="auto"/>
              </w:rPr>
              <w:t>Balance as of December 31, 2022</w:t>
            </w:r>
          </w:p>
        </w:tc>
        <w:tc>
          <w:tcPr>
            <w:tcW w:w="1020" w:type="dxa"/>
            <w:vAlign w:val="bottom"/>
          </w:tcPr>
          <w:p>
            <w:pPr>
              <w:jc w:val="right"/>
              <w:spacing w:after="0"/>
              <w:rPr>
                <w:sz w:val="20"/>
                <w:szCs w:val="20"/>
                <w:color w:val="auto"/>
              </w:rPr>
            </w:pPr>
            <w:r>
              <w:rPr>
                <w:rFonts w:ascii="Arial" w:cs="Arial" w:eastAsia="Arial" w:hAnsi="Arial"/>
                <w:sz w:val="18"/>
                <w:szCs w:val="18"/>
                <w:color w:val="auto"/>
              </w:rPr>
              <w:t>49,822,707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1,251,837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(1,105,813)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jc w:val="center"/>
        <w:ind w:right="20"/>
        <w:spacing w:after="0" w:line="275" w:lineRule="auto"/>
        <w:rPr>
          <w:sz w:val="20"/>
          <w:szCs w:val="20"/>
          <w:color w:val="auto"/>
        </w:rPr>
      </w:pPr>
      <w:r>
        <w:rPr>
          <w:rFonts w:ascii="Arial" w:cs="Arial" w:eastAsia="Arial" w:hAnsi="Arial"/>
          <w:sz w:val="18"/>
          <w:szCs w:val="18"/>
          <w:b w:val="1"/>
          <w:bCs w:val="1"/>
          <w:color w:val="auto"/>
        </w:rPr>
        <w:t>EURONET WORLDWIDE, INC. AND SUBSIDIARIES CONSOLIDATED STATEMENT OF CHANGES IN EQUITY (CONTINUED)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Noncontrolling</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1,579,342</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70,794</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16,883</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21,951</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(239,763)</w:t>
            </w:r>
          </w:p>
        </w:tc>
      </w:tr>
      <w:tr>
        <w:trPr>
          <w:trHeight w:val="25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1,013,155</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1,445,903</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70,587</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36,540</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(227,764)</w:t>
            </w:r>
          </w:p>
        </w:tc>
      </w:tr>
      <w:tr>
        <w:trPr>
          <w:trHeight w:val="25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1,083,882</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1,255,524</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230,994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230,742</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(78,375)</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Adoption of ASU-2020-06 on Convertible bond</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(40,690)</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44,100</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shares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(174,951)</w:t>
            </w: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1,348,266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1,244,406</w:t>
            </w:r>
          </w:p>
        </w:tc>
      </w:tr>
      <w:tr>
        <w:trPr>
          <w:trHeight w:val="20"/>
        </w:trPr>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553"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230,742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135,864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127,021</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36,540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21,951</w:t>
            </w: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2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106,602</w:t>
            </w: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18,924</w:t>
            </w: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732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10,805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23,912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(16,823)</w:t>
            </w:r>
          </w:p>
        </w:tc>
      </w:tr>
      <w:tr>
        <w:trPr>
          <w:trHeight w:val="270"/>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including amounts in settlement assets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63,629</w:t>
            </w:r>
          </w:p>
        </w:tc>
      </w:tr>
      <w:tr>
        <w:trPr>
          <w:trHeight w:val="270"/>
        </w:trPr>
        <w:tc>
          <w:tcPr>
            <w:tcW w:w="73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 including amounts in settlement assets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(192,591)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93,475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(168,256)</w:t>
            </w:r>
          </w:p>
        </w:tc>
      </w:tr>
      <w:tr>
        <w:trPr>
          <w:trHeight w:val="270"/>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 including amounts in settlement obligations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88,687</w:t>
            </w:r>
          </w:p>
        </w:tc>
      </w:tr>
      <w:tr>
        <w:trPr>
          <w:trHeight w:val="270"/>
        </w:trPr>
        <w:tc>
          <w:tcPr>
            <w:tcW w:w="73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10,945</w:t>
            </w:r>
          </w:p>
        </w:tc>
      </w:tr>
      <w:tr>
        <w:trPr>
          <w:trHeight w:val="270"/>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Accrued expenses and other current liabilities, including amounts in settlement obligations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608,252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118,618</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57,642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(94,299)</w:t>
            </w:r>
          </w:p>
        </w:tc>
      </w:tr>
      <w:tr>
        <w:trPr>
          <w:trHeight w:val="250"/>
        </w:trPr>
        <w:tc>
          <w:tcPr>
            <w:tcW w:w="7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748,290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406,576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253,505</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property and equipment and proceeds of sale property and equipment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(97,628)</w:t>
            </w: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967</w:t>
            </w:r>
          </w:p>
        </w:tc>
      </w:tr>
      <w:tr>
        <w:trPr>
          <w:trHeight w:val="250"/>
        </w:trPr>
        <w:tc>
          <w:tcPr>
            <w:tcW w:w="7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(453,776)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(105,531)</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18,101</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(229,877)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(241,518)</w:t>
            </w: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7,904,600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5,074,000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3,113,800</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(7,733,200)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(5,061,000)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(2,843,400)</w:t>
            </w: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borrowings (repayments) from short-term debt obligations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r>
      <w:tr>
        <w:trPr>
          <w:trHeight w:val="250"/>
        </w:trPr>
        <w:tc>
          <w:tcPr>
            <w:tcW w:w="73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35,398</w:t>
            </w:r>
          </w:p>
        </w:tc>
      </w:tr>
      <w:tr>
        <w:trPr>
          <w:trHeight w:val="25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(388,602)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98,757</w:t>
            </w:r>
          </w:p>
        </w:tc>
      </w:tr>
      <w:tr>
        <w:trPr>
          <w:trHeight w:val="250"/>
        </w:trPr>
        <w:tc>
          <w:tcPr>
            <w:tcW w:w="7320" w:type="dxa"/>
            <w:vAlign w:val="bottom"/>
          </w:tcPr>
          <w:p>
            <w:pPr>
              <w:ind w:left="60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282,129</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2,086,102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2,099,508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1,817,379</w:t>
            </w:r>
          </w:p>
        </w:tc>
      </w:tr>
      <w:tr>
        <w:trPr>
          <w:trHeight w:val="236"/>
        </w:trPr>
        <w:tc>
          <w:tcPr>
            <w:tcW w:w="732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1,990,860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2,086,102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2,099,508</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Disclosures: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17,319</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86,208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48,688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60,170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Euronet Worldwide, Inc. (the "Company" or "Euronet") was established as a Delaware corporation on December 13, 1996 and succeeded Euronet Holding N.V. as the group holding company, which was founded and established in 1994. Euronet is a leading financial technology solutions and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has no variable interest entities. Results from operations related to entities acquired during the periods covered by the Consolidated Financial Statements are reflected from the effective date of acquisition.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Euronet’s EFT Processing Segment normally experiences its heaviest demand for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 The majority of our foreign currency exchange gains or losses are due to the remeasurement of intercompany loans which are not considered a long-term investment in nature and are in a currency other than the functional currency of one of the parties to the loan.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(loss) income as a separate component of consolidated equity.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ATM cash represents cash within the ATM network either included within ATMs, within dedicated accounts, or in-transit to ATMs.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and obligations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See Note 4, Settlement Assets and Obligations, to the Consolidated Financial Statements for further discussion on settlement assets and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rates are generally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ATMs or ATM upgrades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5 - 8 years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65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 terminals</w:t>
            </w:r>
          </w:p>
        </w:tc>
        <w:tc>
          <w:tcPr>
            <w:tcW w:w="6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Vehicles and office equipment</w:t>
            </w:r>
          </w:p>
        </w:tc>
        <w:tc>
          <w:tcPr>
            <w:tcW w:w="654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7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 xml:space="preserve"> - The Company accounts for goodwill and other intangible assets in accordance with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In accordance with the requirements of ASC 350 the Company tests for impairment on an annual basis in the fourth quarter and whenever events or circumstances dictate. Goodwill is allocated among and evaluated for impairment at the reporting unit level, which is defined as an operating segment or one level below an operating segment.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 The Company has a policy for its annual review of goodwill to perform the qualitative assessment for all reporting units not subjected directly to the quantitative impairment test.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9" w:name="page70"/>
    <w:bookmarkEnd w:id="69"/>
    <w:p>
      <w:pPr>
        <w:jc w:val="both"/>
        <w:spacing w:after="0" w:line="270" w:lineRule="auto"/>
        <w:rPr>
          <w:sz w:val="20"/>
          <w:szCs w:val="20"/>
          <w:color w:val="auto"/>
        </w:rPr>
      </w:pPr>
      <w:r>
        <w:rPr>
          <w:rFonts w:ascii="Arial" w:cs="Arial" w:eastAsia="Arial" w:hAnsi="Arial"/>
          <w:sz w:val="17"/>
          <w:szCs w:val="17"/>
          <w:color w:val="auto"/>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 The DCF Model and Market Approach Model utilize Level 3 inputs in the fair value hierarchy as they include unobservable inputs that require significant management assumptions.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50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000" w:type="dxa"/>
            <w:vAlign w:val="bottom"/>
          </w:tcPr>
          <w:p>
            <w:pPr>
              <w:jc w:val="right"/>
              <w:spacing w:after="0"/>
              <w:rPr>
                <w:sz w:val="20"/>
                <w:szCs w:val="20"/>
                <w:color w:val="auto"/>
              </w:rPr>
            </w:pPr>
            <w:r>
              <w:rPr>
                <w:rFonts w:ascii="Arial" w:cs="Arial" w:eastAsia="Arial" w:hAnsi="Arial"/>
                <w:sz w:val="18"/>
                <w:szCs w:val="18"/>
                <w:color w:val="auto"/>
              </w:rPr>
              <w:t>6 - 20 years</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Goodwill and Acquired Intangible Assets, Net, to the Consolidated Financial Statements for additional information regarding the impairment of goodwill and other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assets include capitalized software development costs and capitalized payments for new or renewed contracts.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ASC Topic 340, </w:t>
      </w:r>
      <w:r>
        <w:rPr>
          <w:rFonts w:ascii="Arial" w:cs="Arial" w:eastAsia="Arial" w:hAnsi="Arial"/>
          <w:sz w:val="17"/>
          <w:szCs w:val="17"/>
          <w:i w:val="1"/>
          <w:iCs w:val="1"/>
          <w:color w:val="auto"/>
        </w:rPr>
        <w:t>Other Assets and Deferred Costs</w:t>
      </w:r>
      <w:r>
        <w:rPr>
          <w:rFonts w:ascii="Arial" w:cs="Arial" w:eastAsia="Arial" w:hAnsi="Arial"/>
          <w:sz w:val="17"/>
          <w:szCs w:val="17"/>
          <w:color w:val="auto"/>
        </w:rPr>
        <w:t>("ASC 340") requires the deferral of incremental costs to fulfill customer contracts, known as contract assets, which are then amortized to expense as part of direct operating costs over the respective periods of expected benefit. Deferred contract costs are reported on our balance sheet within current or non-current other assets based on the expected life of the related contract. At December 31, 2022 and 2021, we had $78.9 million and $96.4 million, respectively, of deferred contract costs. For the years ended December 31, 2022, 2021 and 2020, we had $22.1 million, $33.3 million and $17.2 million of amortization related to these costs, respectively. On a quarterly basis we evaluate the carrying amount of contract assets recognized to determine if there are contracts that may have a carrying amount in excess of the remaining future consideration to be received from the contract. During the fourth quarter of 2021, we identified certain contract assets that had carrying balances greater than the estimated remaining cash flows in the contracts and recorded a corresponding $38.6 million non-cash impairment. The impairment charge is the result of lower-than-expected customer transaction volume related to these specific contracts, stemming primarily from COVID-19 related disruptions. This non-cash impairment charge is included in the Money Transfer Segment.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ASU 2020-06, </w:t>
      </w:r>
      <w:r>
        <w:rPr>
          <w:rFonts w:ascii="Arial" w:cs="Arial" w:eastAsia="Arial" w:hAnsi="Arial"/>
          <w:sz w:val="17"/>
          <w:szCs w:val="17"/>
          <w:i w:val="1"/>
          <w:iCs w:val="1"/>
          <w:color w:val="auto"/>
        </w:rPr>
        <w:t>"Accounting for Convertible Instruments and Contracts in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w:t>
      </w:r>
      <w:r>
        <w:rPr>
          <w:rFonts w:ascii="Arial" w:cs="Arial" w:eastAsia="Arial" w:hAnsi="Arial"/>
          <w:sz w:val="17"/>
          <w:szCs w:val="17"/>
          <w:color w:val="auto"/>
        </w:rPr>
        <w:t>which simplifies the accounting for convertible instruments by eliminating certain accounting models when the conversion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We adopted this standard on January 1, 2022 using the modified retrospective approach, which resulted in our Convertible Senior Notes due 2049 being recognized as a single liability. As a result of the adoption of this standard we recorded a $99.7 million decrease to additional paid-in capital, a $56.8 million decrease in debt discounts and a $42.9 million increase in retained earnings. The adoption of this standard also impacted our deferred tax liability by decreasing our deferred tax liability by $15.0 million, decreasing retained earnings by $10.6 million, and increasing additional paid-in capital by $25.6 million. Additionally, the elimination of the treasury stock method will increase the number of dilutive shares used in the diluted earnings per share calculation, if dilutive, by 2.8 million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Operations. See Note 14, Income Taxes, to the Consolidated Financial Statements for further discussion regarding these provisions.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98" w:lineRule="exact"/>
        <w:rPr>
          <w:sz w:val="20"/>
          <w:szCs w:val="20"/>
          <w:color w:val="auto"/>
        </w:rPr>
      </w:pPr>
    </w:p>
    <w:p>
      <w:pPr>
        <w:ind w:right="20"/>
        <w:spacing w:after="0" w:line="438" w:lineRule="auto"/>
        <w:rPr>
          <w:sz w:val="20"/>
          <w:szCs w:val="20"/>
          <w:color w:val="auto"/>
        </w:rPr>
      </w:pPr>
      <w:r>
        <w:rPr>
          <w:rFonts w:ascii="Arial" w:cs="Arial" w:eastAsia="Arial" w:hAnsi="Arial"/>
          <w:sz w:val="18"/>
          <w:szCs w:val="18"/>
          <w:color w:val="auto"/>
        </w:rPr>
        <w:t xml:space="preserve">The Company presents taxes collected and remitted to governmental authorities on a net basis in the accompanying Consolidated Statements of Operations.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18, Financial Instruments and Fair Value Measurements, to the Consolidated Financial Statements for the required fair value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Operations.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12, Derivative Instruments and Hedging Activities, to the Consolidated Financial Statements for further discussion of derivative instruments.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16, Stock Plans, for further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when control of the promised goods or services is transferred to our customers, in an amount that reflects the consideration the Company expects to be entitled to receive in exchange for those goods or services. Sales and usage-based taxes are excluded from revenues. A description of the major components of revenue by business segment is as follows: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EFT Processing</w:t>
      </w:r>
      <w:r>
        <w:rPr>
          <w:rFonts w:ascii="Arial" w:cs="Arial" w:eastAsia="Arial" w:hAnsi="Arial"/>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 which is recorded as deferred revenue upon receipt.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epay</w:t>
      </w:r>
      <w:r>
        <w:rPr>
          <w:rFonts w:ascii="Arial" w:cs="Arial" w:eastAsia="Arial" w:hAnsi="Arial"/>
          <w:sz w:val="18"/>
          <w:szCs w:val="18"/>
          <w:i w:val="1"/>
          <w:iCs w:val="1"/>
          <w:color w:val="auto"/>
        </w:rPr>
        <w:t>-</w:t>
      </w:r>
      <w:r>
        <w:rPr>
          <w:rFonts w:ascii="Arial" w:cs="Arial" w:eastAsia="Arial" w:hAnsi="Arial"/>
          <w:sz w:val="18"/>
          <w:szCs w:val="18"/>
          <w:color w:val="auto"/>
        </w:rPr>
        <w:t xml:space="preserve"> Revenue generated in the epay Segment is primarily derived from commissions or processing fees associated with distribution and/or processing of prepaid mobile airtime and digital media products. These fees and commissions are received from mobile operators, content vendors or distributors or from retailers. Commissions are recognized as revenue during the period in which the Company provides the service. The portion of the commission that is paid to retailers is generally recorded as a direct operating cost. In selling certain products, the Company is the principle obligor in the arrangements; accordingly, the gross sales value of the products is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Revenues - The Company records deferred revenues when cash payments are received or due in advance of its performance. The decrease in the deferred revenue balance for the year ended December 31, 2022 was primarily driven by $44.3 million of cash payments received in the current year for which the Company has not yet satisfied the performance obligations, partially offset by $55.5 million of revenues recognized that were included in the deferred revenue balance as of December 31, 2021.</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Disaggregation of Revenues -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0" w:type="dxa"/>
            <w:vAlign w:val="bottom"/>
            <w:gridSpan w:val="9"/>
          </w:tcPr>
          <w:p>
            <w:pPr>
              <w:jc w:val="right"/>
              <w:ind w:right="90"/>
              <w:spacing w:after="0"/>
              <w:rPr>
                <w:sz w:val="20"/>
                <w:szCs w:val="20"/>
                <w:color w:val="auto"/>
              </w:rPr>
            </w:pPr>
            <w:r>
              <w:rPr>
                <w:rFonts w:ascii="Arial" w:cs="Arial" w:eastAsia="Arial" w:hAnsi="Arial"/>
                <w:sz w:val="18"/>
                <w:szCs w:val="18"/>
                <w:b w:val="1"/>
                <w:bCs w:val="1"/>
                <w:color w:val="auto"/>
                <w:w w:val="90"/>
              </w:rPr>
              <w:t>For the Year Ended December 31, 2022</w:t>
            </w:r>
          </w:p>
        </w:tc>
        <w:tc>
          <w:tcPr>
            <w:tcW w:w="104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5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Money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57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EFT Processing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716,348</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1,956,491</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902,745</w:t>
            </w:r>
          </w:p>
        </w:tc>
      </w:tr>
      <w:tr>
        <w:trPr>
          <w:trHeight w:val="27"/>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396,412</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110,873</w:t>
            </w:r>
          </w:p>
        </w:tc>
      </w:tr>
      <w:tr>
        <w:trPr>
          <w:trHeight w:val="27"/>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924,208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1,444,304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3,358,741</w:t>
            </w:r>
          </w:p>
        </w:tc>
      </w:tr>
      <w:tr>
        <w:trPr>
          <w:trHeight w:val="20"/>
        </w:trPr>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0" w:type="dxa"/>
            <w:vAlign w:val="bottom"/>
            <w:gridSpan w:val="9"/>
          </w:tcPr>
          <w:p>
            <w:pPr>
              <w:jc w:val="right"/>
              <w:ind w:right="9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104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5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Money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57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EFT Processing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420,181</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667,738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870,865</w:t>
            </w:r>
          </w:p>
        </w:tc>
      </w:tr>
      <w:tr>
        <w:trPr>
          <w:trHeight w:val="27"/>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370,228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96,366</w:t>
            </w:r>
          </w:p>
        </w:tc>
      </w:tr>
      <w:tr>
        <w:trPr>
          <w:trHeight w:val="27"/>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591,138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1,400,957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2,995,443</w:t>
            </w:r>
          </w:p>
        </w:tc>
      </w:tr>
      <w:tr>
        <w:trPr>
          <w:trHeight w:val="20"/>
        </w:trPr>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40" w:type="dxa"/>
            <w:vAlign w:val="bottom"/>
            <w:gridSpan w:val="9"/>
          </w:tcPr>
          <w:p>
            <w:pPr>
              <w:jc w:val="right"/>
              <w:ind w:right="180"/>
              <w:spacing w:after="0"/>
              <w:rPr>
                <w:sz w:val="20"/>
                <w:szCs w:val="20"/>
                <w:color w:val="auto"/>
              </w:rPr>
            </w:pPr>
            <w:r>
              <w:rPr>
                <w:rFonts w:ascii="Arial" w:cs="Arial" w:eastAsia="Arial" w:hAnsi="Arial"/>
                <w:sz w:val="18"/>
                <w:szCs w:val="18"/>
                <w:b w:val="1"/>
                <w:bCs w:val="1"/>
                <w:color w:val="auto"/>
              </w:rPr>
              <w:t>For the Year Ended December 31, 2020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Money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4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EFT Processing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epay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Transfer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60" w:type="dxa"/>
            <w:vAlign w:val="bottom"/>
            <w:tcBorders>
              <w:bottom w:val="single" w:sz="8" w:color="CCEEFF"/>
            </w:tcBorders>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561,514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449,299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1,324,766</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577,845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778,905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323,643</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60,778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468,726</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835,517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1,183,849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2,482,700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3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the Company.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As of December</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As of December</w:t>
            </w:r>
          </w:p>
        </w:tc>
        <w:tc>
          <w:tcPr>
            <w:tcW w:w="0" w:type="dxa"/>
            <w:vAlign w:val="bottom"/>
          </w:tcPr>
          <w:p>
            <w:pPr>
              <w:spacing w:after="0"/>
              <w:rPr>
                <w:sz w:val="1"/>
                <w:szCs w:val="1"/>
                <w:color w:val="auto"/>
              </w:rPr>
            </w:pP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31, 2021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Settlement assets:</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cash and cash equivalents</w:t>
            </w:r>
          </w:p>
        </w:tc>
        <w:tc>
          <w:tcPr>
            <w:tcW w:w="3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203,624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Settlement restricted cash</w:t>
            </w:r>
          </w:p>
        </w:tc>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74,897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Account receivables, net of credit loss allowance of $32,989 and $27,341</w:t>
            </w:r>
          </w:p>
        </w:tc>
        <w:tc>
          <w:tcPr>
            <w:tcW w:w="2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619,738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204,130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settlement assets</w:t>
            </w:r>
          </w:p>
        </w:tc>
        <w:tc>
          <w:tcPr>
            <w:tcW w:w="31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1,442,692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1,102,389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Settlement obligations:</w:t>
            </w:r>
          </w:p>
        </w:tc>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 payables</w:t>
            </w:r>
          </w:p>
        </w:tc>
        <w:tc>
          <w:tcPr>
            <w:tcW w:w="3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461,135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787,568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641,254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settlement obligations</w:t>
            </w:r>
          </w:p>
        </w:tc>
        <w:tc>
          <w:tcPr>
            <w:tcW w:w="31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1,442,692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1,102,389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w w:val="99"/>
              </w:rPr>
              <w:t>71</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60" w:type="dxa"/>
            <w:vAlign w:val="bottom"/>
            <w:vMerge w:val="restart"/>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1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1,131,207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1,420,255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411,054</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242,621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203,624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188,191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76,674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1,990,860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2,086,102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2,099,508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diluted earnings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4"/>
          </w:tcPr>
          <w:p>
            <w:pPr>
              <w:spacing w:after="0"/>
              <w:rPr>
                <w:sz w:val="20"/>
                <w:szCs w:val="20"/>
                <w:color w:val="auto"/>
              </w:rPr>
            </w:pPr>
            <w:r>
              <w:rPr>
                <w:rFonts w:ascii="Arial" w:cs="Arial" w:eastAsia="Arial" w:hAnsi="Arial"/>
                <w:sz w:val="18"/>
                <w:szCs w:val="18"/>
                <w:color w:val="auto"/>
                <w:w w:val="93"/>
              </w:rPr>
              <w:t>The following table provides the computation of diluted weighted average number of common shares outstanding:</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Computation of diluted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230,994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70,727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 Interest expense from assumed conversion of convertible notes,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9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income (loss) for diluted earnings per share calculation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235,698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70,727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w:t>
            </w:r>
          </w:p>
        </w:tc>
      </w:tr>
      <w:tr>
        <w:trPr>
          <w:trHeight w:val="257"/>
        </w:trPr>
        <w:tc>
          <w:tcPr>
            <w:tcW w:w="6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50,175,614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52,585,674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52,659,551</w:t>
            </w:r>
          </w:p>
        </w:tc>
      </w:tr>
      <w:tr>
        <w:trPr>
          <w:trHeight w:val="243"/>
        </w:trPr>
        <w:tc>
          <w:tcPr>
            <w:tcW w:w="6980" w:type="dxa"/>
            <w:vAlign w:val="bottom"/>
          </w:tcPr>
          <w:p>
            <w:pPr>
              <w:ind w:left="140"/>
              <w:spacing w:after="0"/>
              <w:rPr>
                <w:sz w:val="20"/>
                <w:szCs w:val="20"/>
                <w:color w:val="auto"/>
              </w:rPr>
            </w:pPr>
            <w:r>
              <w:rPr>
                <w:rFonts w:ascii="Arial" w:cs="Arial" w:eastAsia="Arial" w:hAnsi="Arial"/>
                <w:sz w:val="18"/>
                <w:szCs w:val="18"/>
                <w:color w:val="auto"/>
                <w:w w:val="95"/>
              </w:rPr>
              <w:t>Incremental shares from assumed exercise of stock options and vesting of restricted stock</w:t>
            </w: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505,876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943,902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Incremental shares from assumed conversion of convertible debt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2,781,818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ind w:left="4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53,463,308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53,529,576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52,659,551</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2022, 2021 and 2020 of approximately 1,975,000, 1,668,000 and 2,073,000, respectively.</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issued Convertible Senior Notes ("Convertible Notes") due March 2049 on March 18, 2019. Our Convertible Notes currently have a settlement feature requiring us upon conversion to settle the principal amount of the debt and any conversion value in excess of the principal value ("conversion premium"), for cash or shares of our common stock or a combination thereof, at our option. We have stated our intent to settle any conversion of these notes by paying cash for the principal value and issuing common stock for any conversion premium; however, after adopting ASU 2020-06, 2.8 million incremental shares assumed for conversion of convertible notes shall be included in the dilutive earnings per share calculation, if dilutive, regardless of whether the market price trigger has been met. Therefore, our Convertible Notes were included in the calculation of diluted earnings (loss) per share if their inclusion was dilutive. The dilutive effect increases the more the market price exceeds the conversion price of $188.73 per share. See Note 9, Debt Obligations, to the consolidated financial statements for more information about the Convertible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8, 2021, the Company put a repurchase program in place to repurchase up to $300 million in value, but not more than 5.0 million shares of common stock through December 8, 2023. For the year ended December 31, 2022, the Company repurchased 1.6 million shares under the repurchase program at a weighted average purchase price of $106.71 for a total value of $175.0 million. Repurchases under the program may take place in the open market or in privately negotiated transactions, including derivative transactions, and may be made under a Rule 10b5-1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13, 2022, the Company put a repurchase program in place to repurchase up to $350 million in value, but not more than 7.0 million shares of common stock through September 13, 2024. Repurchases under the program may take place in the open market or in privately negotiated transactions, including derivative transactions, and may be made under a Rule 10b5-1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2021, accumulated other comprehensive loss consists entirely of foreign currency translation adjustments. The Company recorded a foreign currency translation loss of $78.4 million, a loss of $78.5 million and a gain of $70.8 million for the years ended December 31, 2022, 2021, and 2020, respectively. There were no reclassifications of foreign currency translation into the Consolidated Statements of Operations for the years ended December 31, 2022,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dividends were paid on any class of the Company's stock during 2022,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15, 2022 we completed the acquisition of the Merchant Acquiring Business of Piraeus Bank ("PBMA"). The acquisition includes 205,000 POS terminals at 170,000 merchants throughout Greece, as well as Piraeus Bank’s online merchant acquiring business and expands our omnichannel payments strategy where we use our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purchase price was €317.8 million, or approximately $350.6 million, which includes $331 million cash paid at closing, $4.4 million cash paid for surplus working capital and $15.2 million of estimated contingent consideration for a ten-year earn 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has been accounted for as a business combination in accordance with U.S. GAAP and the results of operations have been included from the date of acquisition in the EFT Processing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The following table presents the final fair value that was allocated to PBMA's Euronet Merchant Services' (EMS) assets and liabilities based upon fair values as determined by the Company. The valuation process to determine the fair values is complete. For the year ended December 31, 2022, the Company made measurement period adjustments to reflect facts and circumstances in existence as of the effective time of the acquisition. These adjustments primarily included an adjustment to the accrued expenses and other current liabilities related to the surplus working capital of $4.4 million and some other immaterial adjustments.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As of March 15,</w:t>
            </w:r>
          </w:p>
        </w:tc>
      </w:tr>
      <w:tr>
        <w:trPr>
          <w:trHeight w:val="234"/>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Settlement assets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77,643</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122,455</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207,587</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Settlement liabilities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(65,851)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(69,751)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212,736</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5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350,572</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acquired a customer relationship intangible asset with a fair value of $112.2 million that is being amortized on a straight-line basis over 15 years and a contract related intangible asset of $10.3 million that is being amortized on a straight-line basis over 10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with a value of $212.7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PBMA operations are included in our consolidated results of operation, as part of our EFT Processing business segment, beginning on March 16, 2022. For the period beginning on the acquisition date through December 31, 2022, PBMA had $88.8 million in revenue. The PBMA business is impacted by higher transaction volumes during the tourism season in the second and third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completed one additional acquisition in 2022 for immaterial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(7) Restricted Cash</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The restricted cash balances as of December 31, 2022 and 2021 were as follows: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7"/>
        </w:trPr>
        <w:tc>
          <w:tcPr>
            <w:tcW w:w="8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held in trust and/or cash held on behalf of others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r>
      <w:tr>
        <w:trPr>
          <w:trHeight w:val="237"/>
        </w:trPr>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Cash held in trust and/or cash held on behalf of others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80,563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62,077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Collateral on bank credit arrangements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12,820</w:t>
            </w:r>
          </w:p>
        </w:tc>
      </w:tr>
      <w:tr>
        <w:trPr>
          <w:trHeight w:val="237"/>
        </w:trPr>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Restricted cash included within settlement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94,015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74,897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57"/>
        </w:trPr>
        <w:tc>
          <w:tcPr>
            <w:tcW w:w="85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101,389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78,590</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2022 and 2021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7"/>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560,310</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31,321</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75,331</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210,363</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37"/>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913,034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878,012</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(532,631)</w:t>
            </w:r>
          </w:p>
        </w:tc>
      </w:tr>
      <w:tr>
        <w:trPr>
          <w:trHeight w:val="257"/>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345,381</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related to property and equipment, including property and equipment recorded under finance leases, for the years ended December 31, 2022, 2021 and 2020 was $101.5 million, $104.7 million and $96.1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(9) Goodwill and Acquired Intangible Assets, Net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100" w:type="dxa"/>
            <w:vAlign w:val="bottom"/>
            <w:gridSpan w:val="5"/>
          </w:tcPr>
          <w:p>
            <w:pPr>
              <w:spacing w:after="0"/>
              <w:rPr>
                <w:sz w:val="20"/>
                <w:szCs w:val="20"/>
                <w:color w:val="auto"/>
              </w:rPr>
            </w:pPr>
            <w:r>
              <w:rPr>
                <w:rFonts w:ascii="Arial" w:cs="Arial" w:eastAsia="Arial" w:hAnsi="Arial"/>
                <w:sz w:val="18"/>
                <w:szCs w:val="18"/>
                <w:color w:val="auto"/>
              </w:rPr>
              <w:t>The following table summarizes intangible assets as of December 31, 2022 and 2021: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ind w:left="200"/>
              <w:spacing w:after="0"/>
              <w:rPr>
                <w:sz w:val="20"/>
                <w:szCs w:val="20"/>
                <w:color w:val="auto"/>
              </w:rPr>
            </w:pPr>
            <w:r>
              <w:rPr>
                <w:rFonts w:ascii="Arial" w:cs="Arial" w:eastAsia="Arial" w:hAnsi="Arial"/>
                <w:sz w:val="18"/>
                <w:szCs w:val="18"/>
                <w:b w:val="1"/>
                <w:bCs w:val="1"/>
                <w:color w:val="auto"/>
              </w:rPr>
              <w:t>As of December 31, 2022</w:t>
            </w:r>
          </w:p>
        </w:tc>
        <w:tc>
          <w:tcPr>
            <w:tcW w:w="220" w:type="dxa"/>
            <w:vAlign w:val="bottom"/>
          </w:tcPr>
          <w:p>
            <w:pPr>
              <w:spacing w:after="0"/>
              <w:rPr>
                <w:sz w:val="24"/>
                <w:szCs w:val="24"/>
                <w:color w:val="auto"/>
              </w:rPr>
            </w:pPr>
          </w:p>
        </w:tc>
        <w:tc>
          <w:tcPr>
            <w:tcW w:w="24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As of December 31, 2021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Accumulated</w:t>
            </w:r>
          </w:p>
        </w:tc>
      </w:tr>
      <w:tr>
        <w:trPr>
          <w:trHeight w:val="234"/>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(103,713)</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(32,596)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(47,485)</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(185,054)</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2022 and 2021:</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January 1, 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Increases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(primarily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December 31, 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Increases (decreases):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Acquired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Intangible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Total Intangible</w:t>
            </w:r>
          </w:p>
        </w:tc>
      </w:tr>
      <w:tr>
        <w:trPr>
          <w:trHeight w:val="234"/>
        </w:trPr>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Goodwill</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Assets</w:t>
            </w:r>
          </w:p>
        </w:tc>
      </w:tr>
      <w:tr>
        <w:trPr>
          <w:trHeight w:val="27"/>
        </w:trPr>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121,883</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665,821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787,704</w:t>
            </w:r>
          </w:p>
        </w:tc>
      </w:tr>
      <w:tr>
        <w:trPr>
          <w:trHeight w:val="540"/>
        </w:trPr>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(23,059)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(23,059)</w:t>
            </w:r>
          </w:p>
        </w:tc>
      </w:tr>
      <w:tr>
        <w:trPr>
          <w:trHeight w:val="270"/>
        </w:trPr>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(25,247)</w:t>
            </w:r>
          </w:p>
        </w:tc>
      </w:tr>
      <w:tr>
        <w:trPr>
          <w:trHeight w:val="250"/>
        </w:trPr>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641,605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739,398</w:t>
            </w:r>
          </w:p>
        </w:tc>
      </w:tr>
    </w:tbl>
    <w:p>
      <w:pPr>
        <w:spacing w:after="0" w:line="269" w:lineRule="exact"/>
        <w:rPr>
          <w:sz w:val="20"/>
          <w:szCs w:val="20"/>
          <w:color w:val="auto"/>
        </w:rPr>
      </w:pPr>
    </w:p>
    <w:p>
      <w:pPr>
        <w:sectPr>
          <w:pgSz w:w="11900" w:h="16838" w:orient="portrait"/>
          <w:cols w:equalWidth="0" w:num="2">
            <w:col w:w="6240" w:space="720"/>
            <w:col w:w="428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Acquisitions (see footnote</w:t>
            </w: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124,755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349,051</w:t>
            </w:r>
          </w:p>
        </w:tc>
      </w:tr>
      <w:tr>
        <w:trPr>
          <w:trHeight w:val="270"/>
        </w:trPr>
        <w:tc>
          <w:tcPr>
            <w:tcW w:w="20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(26,990)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(26,990)</w:t>
            </w:r>
          </w:p>
        </w:tc>
      </w:tr>
      <w:tr>
        <w:trPr>
          <w:trHeight w:val="270"/>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(44,840)</w:t>
            </w:r>
          </w:p>
        </w:tc>
      </w:tr>
      <w:tr>
        <w:trPr>
          <w:trHeight w:val="264"/>
        </w:trPr>
        <w:tc>
          <w:tcPr>
            <w:tcW w:w="2080" w:type="dxa"/>
            <w:vAlign w:val="bottom"/>
          </w:tcPr>
          <w:p>
            <w:pPr>
              <w:ind w:left="40"/>
              <w:spacing w:after="0"/>
              <w:rPr>
                <w:sz w:val="20"/>
                <w:szCs w:val="20"/>
                <w:color w:val="auto"/>
              </w:rPr>
            </w:pPr>
            <w:r>
              <w:rPr>
                <w:rFonts w:ascii="Arial" w:cs="Arial" w:eastAsia="Arial" w:hAnsi="Arial"/>
                <w:sz w:val="18"/>
                <w:szCs w:val="18"/>
                <w:color w:val="auto"/>
                <w:w w:val="88"/>
              </w:rPr>
              <w:t>Balance as of December 31,</w:t>
            </w:r>
          </w:p>
        </w:tc>
        <w:tc>
          <w:tcPr>
            <w:tcW w:w="488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188,275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828,344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1,016,619</w:t>
            </w:r>
          </w:p>
        </w:tc>
      </w:tr>
      <w:tr>
        <w:trPr>
          <w:trHeight w:val="20"/>
        </w:trPr>
        <w:tc>
          <w:tcPr>
            <w:tcW w:w="20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total goodwill balance of $828.3 million as of December 31, 2022, $383.7 million relates to the Money Transfer Segment, $123.1 million relates to the epay Segment and the remaining $321.5 million relates to the EFT Processing Segment. Amortization expense for intangible assets with finite lives was $27.0 million, $23.1 million and $22.9 million for the years ended December 31, 2022, 2021 and 2020, respectively. Estimated annual amortization expense on intangible assets with finite lives as of December 31, 2022, is expected to total $24.1 million for 2023, $17.8 million for 2024, $14.6 million for 2025, $14.3 million for 2026, and $13.0 million for 2027.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The balances as of December 31, 2022 and 2021 were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7"/>
          </w:tcPr>
          <w:p>
            <w:pPr>
              <w:jc w:val="right"/>
              <w:ind w:right="510"/>
              <w:spacing w:after="0"/>
              <w:rPr>
                <w:sz w:val="20"/>
                <w:szCs w:val="20"/>
                <w:color w:val="auto"/>
              </w:rPr>
            </w:pPr>
            <w:r>
              <w:rPr>
                <w:rFonts w:ascii="Arial" w:cs="Arial" w:eastAsia="Arial" w:hAnsi="Arial"/>
                <w:sz w:val="18"/>
                <w:szCs w:val="18"/>
                <w:b w:val="1"/>
                <w:bCs w:val="1"/>
                <w:color w:val="auto"/>
                <w:w w:val="89"/>
              </w:rPr>
              <w:t>As of December 31,</w:t>
            </w:r>
          </w:p>
        </w:tc>
        <w:tc>
          <w:tcPr>
            <w:tcW w:w="0" w:type="dxa"/>
            <w:vAlign w:val="bottom"/>
          </w:tcPr>
          <w:p>
            <w:pPr>
              <w:spacing w:after="0"/>
              <w:rPr>
                <w:sz w:val="1"/>
                <w:szCs w:val="1"/>
                <w:color w:val="auto"/>
              </w:rPr>
            </w:pPr>
          </w:p>
        </w:tc>
      </w:tr>
      <w:tr>
        <w:trPr>
          <w:trHeight w:val="27"/>
        </w:trPr>
        <w:tc>
          <w:tcPr>
            <w:tcW w:w="85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311,807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267,638</w:t>
            </w:r>
          </w:p>
        </w:tc>
        <w:tc>
          <w:tcPr>
            <w:tcW w:w="0" w:type="dxa"/>
            <w:vAlign w:val="bottom"/>
          </w:tcPr>
          <w:p>
            <w:pPr>
              <w:spacing w:after="0"/>
              <w:rPr>
                <w:sz w:val="1"/>
                <w:szCs w:val="1"/>
                <w:color w:val="auto"/>
              </w:rPr>
            </w:pP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Other tax payables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17,460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0" w:type="dxa"/>
            <w:vAlign w:val="bottom"/>
          </w:tcPr>
          <w:p>
            <w:pPr>
              <w:spacing w:after="0"/>
              <w:rPr>
                <w:sz w:val="1"/>
                <w:szCs w:val="1"/>
                <w:color w:val="auto"/>
              </w:rPr>
            </w:pP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Accrued payroll expenses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55,162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57"/>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505,685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367,692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Debt Obligations</w:t>
            </w: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Debt obligations consist of the following as of December 31, 2022 and 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7"/>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8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454,800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283,400</w:t>
            </w:r>
          </w:p>
        </w:tc>
        <w:tc>
          <w:tcPr>
            <w:tcW w:w="0" w:type="dxa"/>
            <w:vAlign w:val="bottom"/>
          </w:tcPr>
          <w:p>
            <w:pPr>
              <w:spacing w:after="0"/>
              <w:rPr>
                <w:sz w:val="1"/>
                <w:szCs w:val="1"/>
                <w:color w:val="auto"/>
              </w:rPr>
            </w:pPr>
          </w:p>
        </w:tc>
      </w:tr>
      <w:tr>
        <w:trPr>
          <w:trHeight w:val="27"/>
        </w:trPr>
        <w:tc>
          <w:tcPr>
            <w:tcW w:w="8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280"/>
              <w:spacing w:after="0"/>
              <w:rPr>
                <w:sz w:val="20"/>
                <w:szCs w:val="20"/>
                <w:color w:val="auto"/>
              </w:rPr>
            </w:pPr>
            <w:r>
              <w:rPr>
                <w:rFonts w:ascii="Arial" w:cs="Arial" w:eastAsia="Arial" w:hAnsi="Arial"/>
                <w:sz w:val="18"/>
                <w:szCs w:val="18"/>
                <w:color w:val="auto"/>
              </w:rPr>
              <w:t>0.75% convertible notes, unsecured, due 2049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525,000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468,235</w:t>
            </w:r>
          </w:p>
        </w:tc>
        <w:tc>
          <w:tcPr>
            <w:tcW w:w="0" w:type="dxa"/>
            <w:vAlign w:val="bottom"/>
          </w:tcPr>
          <w:p>
            <w:pPr>
              <w:spacing w:after="0"/>
              <w:rPr>
                <w:sz w:val="1"/>
                <w:szCs w:val="1"/>
                <w:color w:val="auto"/>
              </w:rPr>
            </w:pPr>
          </w:p>
        </w:tc>
      </w:tr>
      <w:tr>
        <w:trPr>
          <w:trHeight w:val="27"/>
        </w:trPr>
        <w:tc>
          <w:tcPr>
            <w:tcW w:w="8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3"/>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642,120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682,080</w:t>
            </w:r>
          </w:p>
        </w:tc>
        <w:tc>
          <w:tcPr>
            <w:tcW w:w="0" w:type="dxa"/>
            <w:vAlign w:val="bottom"/>
          </w:tcPr>
          <w:p>
            <w:pPr>
              <w:spacing w:after="0"/>
              <w:rPr>
                <w:sz w:val="1"/>
                <w:szCs w:val="1"/>
                <w:color w:val="auto"/>
              </w:rPr>
            </w:pPr>
          </w:p>
        </w:tc>
      </w:tr>
      <w:tr>
        <w:trPr>
          <w:trHeight w:val="27"/>
        </w:trPr>
        <w:tc>
          <w:tcPr>
            <w:tcW w:w="8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3"/>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8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Total debt obligations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1,622,127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1,434,635</w:t>
            </w:r>
          </w:p>
        </w:tc>
        <w:tc>
          <w:tcPr>
            <w:tcW w:w="0" w:type="dxa"/>
            <w:vAlign w:val="bottom"/>
          </w:tcPr>
          <w:p>
            <w:pPr>
              <w:spacing w:after="0"/>
              <w:rPr>
                <w:sz w:val="1"/>
                <w:szCs w:val="1"/>
                <w:color w:val="auto"/>
              </w:rPr>
            </w:pPr>
          </w:p>
        </w:tc>
      </w:tr>
      <w:tr>
        <w:trPr>
          <w:trHeight w:val="257"/>
        </w:trPr>
        <w:tc>
          <w:tcPr>
            <w:tcW w:w="8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97"/>
        </w:trPr>
        <w:tc>
          <w:tcPr>
            <w:tcW w:w="8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400" w:type="dxa"/>
            <w:vAlign w:val="bottom"/>
            <w:tcBorders>
              <w:bottom w:val="single" w:sz="8" w:color="CCEEFF"/>
            </w:tcBorders>
            <w:gridSpan w:val="2"/>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1,609,247</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1,420,906</w:t>
            </w: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4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1,609,098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1,420,085</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As of December 31, 2022, aggregate annual maturities of long-term debt are $0.1 million in 2023, no maturities in 2024, $525 million due in 2025, $642.1 million due in 2026, and $454.8 million thereafter. This maturity schedule reflects the revolving credit facility maturing in 2024 and the Convertible Notes maturing in 2025, coinciding with the terms of the initial put option by holders of the Convertible Notes. It also reflects the maturing of the 1.375% Senior Notes of €600 million ($642.1million) due in 2026.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24, 2022, the Company amended its revolving credit agreement (the “Credit Facility”) to increase the facility from $1.03 billion to $1.25 billion and to extend the expiration to October 24, 2027.</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revolving credit facility contains a sublimit of up to $250 million, with $150 million committed, for the issuance of letters of credit,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initially 1.25% including the facility fee.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of the Company's borrowings under the Credit Facility was 5.5% as of December 31, 2022.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and 2021, the Company had stand-by letters of credit/bank guarantees outstanding under the Credit Facility of $54.6 million and $57.3 million, respectively. Stand-by letters of credit/bank guarantees reduce the Company's borrowing capacity under the Credit Facility and are generally used to secure trade credit and performance obligations. As of December 31, 2022 and 2021, the stand-by letters of credit interest charges were each1.1% per annum. Borrowing capacity under the Credit Facility as of December 31, 2022 was $740.6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Uncommitted Line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25, 2022, the Company entered into an Uncommitted Credit Agreement for $300 million, for the sole purpose of providing vault cash for ATMs, that expired on November 30, 2022. The loan was fully repaid and there was no balance at December 31, 2022. The loan bears interest at the rate per annum equal to the secured overnight financing rate (“SOFR”) plus 1.00%. The weighted-average interest rate from the loan inception date to December 31, 2022 was 3.14%.</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24, 2022, the Company entered into an Uncommitted Loan Agreement for $150 million, for the sole purpose of providing vault cash for ATMs, that expires no later than June 23, 2023. The loan was fully repaid and there was no balance at December 31, 2022. The loan was either a Prime rate loan, a Bloomberg Short-term Bank Yield rate loan or bears interest at the rate agreed to by the bank and the Company at the time such loan is made. The weighted average interest rate from the loan inception date to December 31, 2022 was 2.76%.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may redeem for cash all or any portion of the Convertible Notes, at its option, (i)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December 31, 2022 the conversion threshold was not met. On January 1, 2022, the Company adopted ASU 2020-06,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Convertible Instruments and Contracts in an Entity's Own Equity" </w:t>
      </w:r>
      <w:r>
        <w:rPr>
          <w:rFonts w:ascii="Arial" w:cs="Arial" w:eastAsia="Arial" w:hAnsi="Arial"/>
          <w:sz w:val="16"/>
          <w:szCs w:val="16"/>
          <w:color w:val="auto"/>
        </w:rPr>
        <w:t>which simplifies the accounting for convertible instruments by eliminating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models when the conversion features are not required to be accounted for as derivatives under Topic 815, Derivatives and Hedging, or that do not result in substantial premiums accounted for as paid-in-capital. ASU 2020-06 amended the accounting for convertible instruments with ASC Topic 470 Debt (See Footnote 3 for the accounting impact of adopting ASU 220-06).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7"/>
          <w:szCs w:val="17"/>
          <w:color w:val="auto"/>
        </w:rPr>
        <w:t>Contractual interest expense for the Convertible Notes was $3.9 million, $3.9 million, and $3.9 millionfor the years ended December 31, 2022, 2021 and 2020. Accretion expense was $16.0 million and $15.3 million for the years ended December 31, 2021 and 2020. Accretion expense is no longer applicable for 2022 due to adoption of standard 2020-06. The effective interest rate was 4.4% for the year ended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1.375%Senior Notes due 2026</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mature on May 2026 (the "Senior Notes"). The Senior Notes accrue interest at a rate of 1.375% per year, payable annually in arrears commencing May 22, 2020, until maturity or earlier redemption. As of December 31, 2022, the Company has outstanding €600 million ($642.1 million) principal amount of the Senior Notes. In addition, the Company may redeem some or all of these notes on or after February 22, 2026 at their principal amount plus any accrued and unpaid interest. As of December 31, 2022, the Company had $4.1 million of unamortized debt issuance costs related to the Senior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2022 and 2021, borrowings under these arrangements were $0.2 million and $0.9 million, respectively. As of December 31, 2022, there was $0.1 million due in 2023 under these other obligation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being reflected concurrently in earnings for both the derivative instrument and the transaction and have an offsetting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2022 and 2021, the Company had foreign currency forward contracts outstanding in the U.S. with a notional value of $398.6 million and $222.1 million, respectively. The foreign currency forward contracts consist primarily in Australian dollars, Canadian dollars, British pounds, euros and Mexican pesos.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jc w:val="both"/>
        <w:spacing w:after="0" w:line="311"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As of December 31, 2022 and 2021, the Company had foreign currency forward contracts outstanding with a notional value of $228.4 million and $216.1 million, respectively, primarily in euros.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$86.6 million, $79.5 million and $68.2 million for the years ended December 31, 2022, 2021 and 2020, respectively. All of the derivative contracts used in the Company' s xe operations are economic hedges and are not designated as hedges under ASC 815.The duration of these derivative contracts is generally less than one year.</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xe operations as of December 31, 2022 and 2021, was approximately $1.0 billion. The significant majority of customer contracts are written in major currencies such as the euro, U.S. dollar, British pound, Australian dollar and New Zealand dollar.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gridSpan w:val="5"/>
          </w:tcPr>
          <w:p>
            <w:pPr>
              <w:ind w:left="40"/>
              <w:spacing w:after="0"/>
              <w:rPr>
                <w:sz w:val="20"/>
                <w:szCs w:val="20"/>
                <w:color w:val="auto"/>
              </w:rPr>
            </w:pPr>
            <w:r>
              <w:rPr>
                <w:rFonts w:ascii="Arial" w:cs="Arial" w:eastAsia="Arial" w:hAnsi="Arial"/>
                <w:sz w:val="18"/>
                <w:szCs w:val="18"/>
                <w:b w:val="1"/>
                <w:bCs w:val="1"/>
                <w:color w:val="auto"/>
                <w:w w:val="87"/>
              </w:rPr>
              <w:t>Asset Derivatives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3"/>
              </w:rPr>
              <w:t>Liability Derivatives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4"/>
          </w:tcPr>
          <w:p>
            <w:pPr>
              <w:ind w:left="560"/>
              <w:spacing w:after="0"/>
              <w:rPr>
                <w:sz w:val="20"/>
                <w:szCs w:val="20"/>
                <w:color w:val="auto"/>
              </w:rPr>
            </w:pPr>
            <w:r>
              <w:rPr>
                <w:rFonts w:ascii="Arial" w:cs="Arial" w:eastAsia="Arial" w:hAnsi="Arial"/>
                <w:sz w:val="18"/>
                <w:szCs w:val="18"/>
                <w:b w:val="1"/>
                <w:bCs w:val="1"/>
                <w:color w:val="auto"/>
                <w:w w:val="92"/>
              </w:rPr>
              <w:t>Fair Value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ind w:left="560"/>
              <w:spacing w:after="0"/>
              <w:rPr>
                <w:sz w:val="20"/>
                <w:szCs w:val="20"/>
                <w:color w:val="auto"/>
              </w:rPr>
            </w:pPr>
            <w:r>
              <w:rPr>
                <w:rFonts w:ascii="Arial" w:cs="Arial" w:eastAsia="Arial" w:hAnsi="Arial"/>
                <w:sz w:val="18"/>
                <w:szCs w:val="18"/>
                <w:b w:val="1"/>
                <w:bCs w:val="1"/>
                <w:color w:val="auto"/>
                <w:w w:val="92"/>
              </w:rPr>
              <w:t>Fair Value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Other 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Other current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50,248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27,582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(23,285)</w:t>
            </w:r>
          </w:p>
        </w:tc>
        <w:tc>
          <w:tcPr>
            <w:tcW w:w="0" w:type="dxa"/>
            <w:vAlign w:val="bottom"/>
          </w:tcPr>
          <w:p>
            <w:pPr>
              <w:spacing w:after="0"/>
              <w:rPr>
                <w:sz w:val="1"/>
                <w:szCs w:val="1"/>
                <w:color w:val="auto"/>
              </w:rPr>
            </w:pPr>
          </w:p>
        </w:tc>
      </w:tr>
      <w:tr>
        <w:trPr>
          <w:trHeight w:val="47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2022 and 2021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10"/>
          </w:tcPr>
          <w:p>
            <w:pPr>
              <w:ind w:left="40"/>
              <w:spacing w:after="0"/>
              <w:rPr>
                <w:sz w:val="20"/>
                <w:szCs w:val="20"/>
                <w:color w:val="auto"/>
              </w:rPr>
            </w:pPr>
            <w:r>
              <w:rPr>
                <w:rFonts w:ascii="Arial" w:cs="Arial" w:eastAsia="Arial" w:hAnsi="Arial"/>
                <w:sz w:val="18"/>
                <w:szCs w:val="18"/>
                <w:b w:val="1"/>
                <w:bCs w:val="1"/>
                <w:color w:val="auto"/>
                <w:w w:val="95"/>
              </w:rPr>
              <w:t>Gross Amounts Not Offset in the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9"/>
          </w:tcPr>
          <w:p>
            <w:pPr>
              <w:ind w:left="100"/>
              <w:spacing w:after="0"/>
              <w:rPr>
                <w:sz w:val="20"/>
                <w:szCs w:val="20"/>
                <w:color w:val="auto"/>
              </w:rPr>
            </w:pPr>
            <w:r>
              <w:rPr>
                <w:rFonts w:ascii="Arial" w:cs="Arial" w:eastAsia="Arial" w:hAnsi="Arial"/>
                <w:sz w:val="18"/>
                <w:szCs w:val="18"/>
                <w:b w:val="1"/>
                <w:bCs w:val="1"/>
                <w:color w:val="auto"/>
              </w:rPr>
              <w:t>Consolidated Balance Sheet</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Net Amounts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Gross Amounts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Presented in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Gross 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Offset in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of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20" w:type="dxa"/>
            <w:vAlign w:val="bottom"/>
          </w:tcPr>
          <w:p>
            <w:pPr>
              <w:spacing w:after="0"/>
              <w:rPr>
                <w:sz w:val="18"/>
                <w:szCs w:val="18"/>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w:t>
            </w:r>
          </w:p>
        </w:tc>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Arial" w:cs="Arial" w:eastAsia="Arial" w:hAnsi="Arial"/>
                <w:sz w:val="18"/>
                <w:szCs w:val="18"/>
                <w:b w:val="1"/>
                <w:bCs w:val="1"/>
                <w:color w:val="auto"/>
              </w:rPr>
              <w:t>Cash Collateral</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Sheet</w:t>
            </w:r>
          </w:p>
        </w:tc>
        <w:tc>
          <w:tcPr>
            <w:tcW w:w="20" w:type="dxa"/>
            <w:vAlign w:val="bottom"/>
          </w:tcPr>
          <w:p>
            <w:pPr>
              <w:spacing w:after="0"/>
              <w:rPr>
                <w:sz w:val="20"/>
                <w:szCs w:val="20"/>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Received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Net Amounts</w:t>
            </w: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4"/>
              </w:rPr>
              <w:t>50,248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18,341</w:t>
            </w:r>
          </w:p>
        </w:tc>
      </w:tr>
      <w:tr>
        <w:trPr>
          <w:trHeight w:val="513"/>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4"/>
              </w:rPr>
              <w:t>27,582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10"/>
          </w:tcPr>
          <w:p>
            <w:pPr>
              <w:ind w:left="60"/>
              <w:spacing w:after="0"/>
              <w:rPr>
                <w:sz w:val="20"/>
                <w:szCs w:val="20"/>
                <w:color w:val="auto"/>
              </w:rPr>
            </w:pPr>
            <w:r>
              <w:rPr>
                <w:rFonts w:ascii="Arial" w:cs="Arial" w:eastAsia="Arial" w:hAnsi="Arial"/>
                <w:sz w:val="18"/>
                <w:szCs w:val="18"/>
                <w:b w:val="1"/>
                <w:bCs w:val="1"/>
                <w:color w:val="auto"/>
                <w:w w:val="94"/>
              </w:rPr>
              <w:t>Gross Amounts Not Offset in the</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9"/>
          </w:tcPr>
          <w:p>
            <w:pPr>
              <w:ind w:left="140"/>
              <w:spacing w:after="0"/>
              <w:rPr>
                <w:sz w:val="20"/>
                <w:szCs w:val="20"/>
                <w:color w:val="auto"/>
              </w:rPr>
            </w:pPr>
            <w:r>
              <w:rPr>
                <w:rFonts w:ascii="Arial" w:cs="Arial" w:eastAsia="Arial" w:hAnsi="Arial"/>
                <w:sz w:val="18"/>
                <w:szCs w:val="18"/>
                <w:b w:val="1"/>
                <w:bCs w:val="1"/>
                <w:color w:val="auto"/>
              </w:rPr>
              <w:t>Consolidated Balance Sheet</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Gross Amounts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Net Amounts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Gross 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Offset in the</w:t>
            </w:r>
          </w:p>
        </w:tc>
        <w:tc>
          <w:tcPr>
            <w:tcW w:w="20" w:type="dxa"/>
            <w:vAlign w:val="bottom"/>
          </w:tcPr>
          <w:p>
            <w:pPr>
              <w:spacing w:after="0"/>
              <w:rPr>
                <w:sz w:val="18"/>
                <w:szCs w:val="18"/>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Presented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of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Consolidated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Cash</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Balance Sheet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Instruments</w:t>
            </w:r>
          </w:p>
        </w:tc>
        <w:tc>
          <w:tcPr>
            <w:tcW w:w="20" w:type="dxa"/>
            <w:vAlign w:val="bottom"/>
          </w:tcPr>
          <w:p>
            <w:pPr>
              <w:spacing w:after="0"/>
              <w:rPr>
                <w:sz w:val="20"/>
                <w:szCs w:val="20"/>
                <w:color w:val="auto"/>
              </w:rPr>
            </w:pPr>
          </w:p>
        </w:tc>
        <w:tc>
          <w:tcPr>
            <w:tcW w:w="13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Collateral Paid</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Net Amounts</w:t>
            </w:r>
          </w:p>
        </w:tc>
      </w:tr>
      <w:tr>
        <w:trPr>
          <w:trHeight w:val="27"/>
        </w:trPr>
        <w:tc>
          <w:tcPr>
            <w:tcW w:w="2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89"/>
              </w:rPr>
              <w:t>(42,320)</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(42,320)</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r>
      <w:tr>
        <w:trPr>
          <w:trHeight w:val="513"/>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Derivatives subject to a master netting</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89"/>
              </w:rPr>
              <w:t>(23,285)</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(23,285)</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r>
      <w:tr>
        <w:trPr>
          <w:trHeight w:val="459"/>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89"/>
              </w:rPr>
              <w:t>82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8"/>
        </w:trPr>
        <w:tc>
          <w:tcPr>
            <w:tcW w:w="2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Operations for the years ended December 31, 2022,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9"/>
              </w:rPr>
              <w:t>Amount of Gain (Loss) Recognized in Income on</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2"/>
              </w:rPr>
              <w:t>Derivative Contracts (a)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Location of Gain (Loss) Recognized in</w:t>
            </w:r>
          </w:p>
        </w:tc>
        <w:tc>
          <w:tcPr>
            <w:tcW w:w="140" w:type="dxa"/>
            <w:vAlign w:val="bottom"/>
            <w:vMerge w:val="restart"/>
          </w:tcPr>
          <w:p>
            <w:pPr>
              <w:spacing w:after="0"/>
              <w:rPr>
                <w:sz w:val="20"/>
                <w:szCs w:val="20"/>
                <w:color w:val="auto"/>
              </w:rPr>
            </w:pPr>
          </w:p>
        </w:tc>
        <w:tc>
          <w:tcPr>
            <w:tcW w:w="298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gridSpan w:val="2"/>
            <w:vMerge w:val="continue"/>
          </w:tcPr>
          <w:p>
            <w:pPr>
              <w:spacing w:after="0"/>
              <w:rPr>
                <w:sz w:val="2"/>
                <w:szCs w:val="2"/>
                <w:color w:val="auto"/>
              </w:rPr>
            </w:pPr>
          </w:p>
        </w:tc>
        <w:tc>
          <w:tcPr>
            <w:tcW w:w="140" w:type="dxa"/>
            <w:vAlign w:val="bottom"/>
            <w:tcBorders>
              <w:bottom w:val="single" w:sz="8" w:color="auto"/>
            </w:tcBorders>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3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Income on Derivative Contracts</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Foreign currency exchange gain (loss), net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18, Financial Instruments and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jc w:val="both"/>
        <w:spacing w:after="0" w:line="293"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The Company evaluated the likelihood of exercising the renewal and termination options beginning with the adoption of the new accounting lease standard on January 1, 2019, concluding: the options were not reasonably certain to be exercised and thus were not considered in determining the lease terms, and associated payment impacts were excluded from lease payments; and termination options were reasonably certain not to be exercised and therefore the stated lease payment schedule of the lease was used to determine the lease term.</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second quarter of 2020, the impact of the COVID-19 pandemic was a significant event that caused a significant change in circumstances and business plans to manage our portfolio of ATM leases. Specifically, the Company downsized, through the exercise of termination clauses and the reduction of monthly costs by renegotiating payment terms of its ATM leases. The Company's execution of the business plan to renegotiate terms and downsize the portfolio of ATM leases constituted a reassessment event during the second quarter of 2020. The reassessment event required the Company to reevaluate the accounting for the portfolio of ATM leases, including lease terms. Due to the recent increased frequency of ATM site lease terminations, modifications, and greater unpredictability whether or not future lease terminations will be exercised, the Company was no longer able to conclude that termination options are reasonably certain not to be exercised. This reassessment conclusion impacted the lease term evaluation, instead of determining the lease term based on the stated lease payment schedule of the lease, the lease term was evaluated when the Company has the contractual ability to terminate the lease (most leases allow for a termination upon advance notice of between 30 and 90 days), which impacted the amounts recorded as right of use assets and lease liability balances. New, amended, and modified ATM site leases with termination options exercisable within 12 months will be excluded from the right of use lease asset and lease liability balances under the short-term lease exemption.</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for ATM site leases with termination options subject to the short-term lease exemption are expensed in the period incurred. The short-term lease expense for 2022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operating leases (with initial lease terms in excess of one year) as of December 31, 2022 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As of December 31,</w:t>
            </w:r>
          </w:p>
        </w:tc>
      </w:tr>
      <w:tr>
        <w:trPr>
          <w:trHeight w:val="234"/>
        </w:trPr>
        <w:tc>
          <w:tcPr>
            <w:tcW w:w="9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9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8"/>
        </w:trPr>
        <w:tc>
          <w:tcPr>
            <w:tcW w:w="96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Operating Leases</w:t>
            </w:r>
          </w:p>
        </w:tc>
      </w:tr>
      <w:tr>
        <w:trPr>
          <w:trHeight w:val="234"/>
        </w:trPr>
        <w:tc>
          <w:tcPr>
            <w:tcW w:w="9680" w:type="dxa"/>
            <w:vAlign w:val="bottom"/>
          </w:tcPr>
          <w:p>
            <w:pPr>
              <w:ind w:left="40"/>
              <w:spacing w:after="0"/>
              <w:rPr>
                <w:sz w:val="20"/>
                <w:szCs w:val="20"/>
                <w:color w:val="auto"/>
              </w:rPr>
            </w:pPr>
            <w:r>
              <w:rPr>
                <w:rFonts w:ascii="Arial" w:cs="Arial" w:eastAsia="Arial" w:hAnsi="Arial"/>
                <w:sz w:val="18"/>
                <w:szCs w:val="18"/>
                <w:b w:val="1"/>
                <w:bCs w:val="1"/>
                <w:color w:val="auto"/>
              </w:rPr>
              <w:t>Maturity of Lease Liabilities (in thousands)</w:t>
            </w:r>
          </w:p>
        </w:tc>
        <w:tc>
          <w:tcPr>
            <w:tcW w:w="34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(1)</w:t>
            </w:r>
          </w:p>
        </w:tc>
      </w:tr>
      <w:tr>
        <w:trPr>
          <w:trHeight w:val="27"/>
        </w:trPr>
        <w:tc>
          <w:tcPr>
            <w:tcW w:w="9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jc w:val="right"/>
              <w:ind w:right="915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47,004</w:t>
            </w:r>
          </w:p>
        </w:tc>
      </w:tr>
      <w:tr>
        <w:trPr>
          <w:trHeight w:val="243"/>
        </w:trPr>
        <w:tc>
          <w:tcPr>
            <w:tcW w:w="9680" w:type="dxa"/>
            <w:vAlign w:val="bottom"/>
          </w:tcPr>
          <w:p>
            <w:pPr>
              <w:jc w:val="right"/>
              <w:ind w:right="915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36,508</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jc w:val="right"/>
              <w:ind w:right="9150"/>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26,519</w:t>
            </w:r>
          </w:p>
        </w:tc>
      </w:tr>
      <w:tr>
        <w:trPr>
          <w:trHeight w:val="243"/>
        </w:trPr>
        <w:tc>
          <w:tcPr>
            <w:tcW w:w="9680" w:type="dxa"/>
            <w:vAlign w:val="bottom"/>
          </w:tcPr>
          <w:p>
            <w:pPr>
              <w:jc w:val="right"/>
              <w:ind w:right="915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18,331</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jc w:val="right"/>
              <w:ind w:right="9150"/>
              <w:spacing w:after="0"/>
              <w:rPr>
                <w:sz w:val="20"/>
                <w:szCs w:val="20"/>
                <w:color w:val="auto"/>
              </w:rPr>
            </w:pPr>
            <w:r>
              <w:rPr>
                <w:rFonts w:ascii="Arial" w:cs="Arial" w:eastAsia="Arial" w:hAnsi="Arial"/>
                <w:sz w:val="18"/>
                <w:szCs w:val="18"/>
                <w:color w:val="auto"/>
              </w:rPr>
              <w:t>2027</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17,015</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156,887</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(4,055)</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152,832</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40" w:right="2940" w:hanging="5532"/>
        <w:spacing w:after="0" w:line="559"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lease payments reflect the Company's current fixed obligations under the operating lease agreements.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Lease expense recognized in the Consolidated Statements of Operations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December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Lease Expense (in thousands)</w:t>
            </w:r>
          </w:p>
        </w:tc>
        <w:tc>
          <w:tcPr>
            <w:tcW w:w="2800" w:type="dxa"/>
            <w:vAlign w:val="bottom"/>
            <w:gridSpan w:val="2"/>
          </w:tcPr>
          <w:p>
            <w:pPr>
              <w:ind w:left="160"/>
              <w:spacing w:after="0"/>
              <w:rPr>
                <w:sz w:val="20"/>
                <w:szCs w:val="20"/>
                <w:color w:val="auto"/>
              </w:rPr>
            </w:pPr>
            <w:r>
              <w:rPr>
                <w:rFonts w:ascii="Arial" w:cs="Arial" w:eastAsia="Arial" w:hAnsi="Arial"/>
                <w:sz w:val="18"/>
                <w:szCs w:val="18"/>
                <w:b w:val="1"/>
                <w:bCs w:val="1"/>
                <w:color w:val="auto"/>
                <w:w w:val="94"/>
              </w:rPr>
              <w:t>Income Statement Classification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31,2022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31,2021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31,2020</w:t>
            </w:r>
          </w:p>
        </w:tc>
        <w:tc>
          <w:tcPr>
            <w:tcW w:w="60" w:type="dxa"/>
            <w:vAlign w:val="bottom"/>
          </w:tcPr>
          <w:p>
            <w:pPr>
              <w:spacing w:after="0"/>
              <w:rPr>
                <w:sz w:val="20"/>
                <w:szCs w:val="20"/>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4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r>
      <w:tr>
        <w:trPr>
          <w:trHeight w:val="23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Direct operating costs</w:t>
            </w:r>
          </w:p>
        </w:tc>
        <w:tc>
          <w:tcPr>
            <w:tcW w:w="2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51,031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83,102</w:t>
            </w:r>
          </w:p>
        </w:tc>
        <w:tc>
          <w:tcPr>
            <w:tcW w:w="60" w:type="dxa"/>
            <w:vAlign w:val="bottom"/>
            <w:tcBorders>
              <w:left w:val="single" w:sz="8" w:color="CCEEFF"/>
            </w:tcBorders>
          </w:tcPr>
          <w:p>
            <w:pPr>
              <w:spacing w:after="0"/>
              <w:rPr>
                <w:sz w:val="20"/>
                <w:szCs w:val="20"/>
                <w:color w:val="auto"/>
              </w:rPr>
            </w:pPr>
          </w:p>
        </w:tc>
      </w:tr>
      <w:tr>
        <w:trPr>
          <w:trHeight w:val="229"/>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Short-term and variable lease expense</w:t>
            </w: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and Direct operating costs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142,613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w w:val="89"/>
              </w:rPr>
              <w:t>115,963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69,711</w:t>
            </w:r>
          </w:p>
        </w:tc>
        <w:tc>
          <w:tcPr>
            <w:tcW w:w="6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2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193,644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171,576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152,813</w:t>
            </w:r>
          </w:p>
        </w:tc>
        <w:tc>
          <w:tcPr>
            <w:tcW w:w="60" w:type="dxa"/>
            <w:vAlign w:val="bottom"/>
            <w:tcBorders>
              <w:left w:val="single" w:sz="8" w:color="CCEEFF"/>
            </w:tcBorders>
          </w:tcPr>
          <w:p>
            <w:pPr>
              <w:spacing w:after="0"/>
              <w:rPr>
                <w:sz w:val="22"/>
                <w:szCs w:val="22"/>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9"/>
        </w:trPr>
        <w:tc>
          <w:tcPr>
            <w:tcW w:w="8540" w:type="dxa"/>
            <w:vAlign w:val="bottom"/>
            <w:gridSpan w:val="10"/>
          </w:tcPr>
          <w:p>
            <w:pPr>
              <w:spacing w:after="0"/>
              <w:rPr>
                <w:sz w:val="20"/>
                <w:szCs w:val="20"/>
                <w:color w:val="auto"/>
              </w:rPr>
            </w:pPr>
            <w:r>
              <w:rPr>
                <w:rFonts w:ascii="Arial" w:cs="Arial" w:eastAsia="Arial" w:hAnsi="Arial"/>
                <w:sz w:val="18"/>
                <w:szCs w:val="18"/>
                <w:color w:val="auto"/>
                <w:w w:val="91"/>
              </w:rPr>
              <w:t>Other information about lease amounts recognized in the consolidated financial statements is summarized as follows: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As of</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Lease Term and Discount Rate of Operating Leases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31,2022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31,2021</w:t>
            </w:r>
          </w:p>
        </w:tc>
        <w:tc>
          <w:tcPr>
            <w:tcW w:w="60" w:type="dxa"/>
            <w:vAlign w:val="bottom"/>
          </w:tcPr>
          <w:p>
            <w:pPr>
              <w:spacing w:after="0"/>
              <w:rPr>
                <w:sz w:val="20"/>
                <w:szCs w:val="20"/>
                <w:color w:val="auto"/>
              </w:rPr>
            </w:pPr>
          </w:p>
        </w:tc>
      </w:tr>
      <w:tr>
        <w:trPr>
          <w:trHeight w:val="27"/>
        </w:trPr>
        <w:tc>
          <w:tcPr>
            <w:tcW w:w="436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2.24</w:t>
            </w:r>
          </w:p>
        </w:tc>
      </w:tr>
      <w:tr>
        <w:trPr>
          <w:trHeight w:val="499"/>
        </w:trPr>
        <w:tc>
          <w:tcPr>
            <w:tcW w:w="7160" w:type="dxa"/>
            <w:vAlign w:val="bottom"/>
            <w:gridSpan w:val="4"/>
          </w:tcPr>
          <w:p>
            <w:pPr>
              <w:spacing w:after="0"/>
              <w:rPr>
                <w:sz w:val="20"/>
                <w:szCs w:val="20"/>
                <w:color w:val="auto"/>
              </w:rPr>
            </w:pPr>
            <w:r>
              <w:rPr>
                <w:rFonts w:ascii="Arial" w:cs="Arial" w:eastAsia="Arial" w:hAnsi="Arial"/>
                <w:sz w:val="18"/>
                <w:szCs w:val="18"/>
                <w:color w:val="auto"/>
                <w:w w:val="93"/>
              </w:rPr>
              <w:t>The following table presents supplemental cash flow and non-cash information related to leases: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360" w:type="dxa"/>
            <w:vAlign w:val="bottom"/>
            <w:gridSpan w:val="6"/>
          </w:tcPr>
          <w:p>
            <w:pPr>
              <w:ind w:left="4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Information (in thousands)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r>
      <w:tr>
        <w:trPr>
          <w:trHeight w:val="27"/>
        </w:trPr>
        <w:tc>
          <w:tcPr>
            <w:tcW w:w="7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7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 (a)</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51,464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79,447</w:t>
            </w:r>
          </w:p>
        </w:tc>
        <w:tc>
          <w:tcPr>
            <w:tcW w:w="60" w:type="dxa"/>
            <w:vAlign w:val="bottom"/>
          </w:tcPr>
          <w:p>
            <w:pPr>
              <w:spacing w:after="0"/>
              <w:rPr>
                <w:sz w:val="21"/>
                <w:szCs w:val="21"/>
                <w:color w:val="auto"/>
              </w:rPr>
            </w:pPr>
          </w:p>
        </w:tc>
      </w:tr>
      <w:tr>
        <w:trPr>
          <w:trHeight w:val="243"/>
        </w:trPr>
        <w:tc>
          <w:tcPr>
            <w:tcW w:w="7160" w:type="dxa"/>
            <w:vAlign w:val="bottom"/>
            <w:gridSpan w:val="4"/>
          </w:tcPr>
          <w:p>
            <w:pPr>
              <w:ind w:left="40"/>
              <w:spacing w:after="0"/>
              <w:rPr>
                <w:sz w:val="20"/>
                <w:szCs w:val="20"/>
                <w:color w:val="auto"/>
              </w:rPr>
            </w:pPr>
            <w:r>
              <w:rPr>
                <w:rFonts w:ascii="Arial" w:cs="Arial" w:eastAsia="Arial" w:hAnsi="Arial"/>
                <w:sz w:val="18"/>
                <w:szCs w:val="18"/>
                <w:color w:val="auto"/>
                <w:w w:val="99"/>
              </w:rPr>
              <w:t>Supplemental non-cash information on lease liabilities arising from obtaining ROU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7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71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69,073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77,728</w:t>
            </w:r>
          </w:p>
        </w:tc>
        <w:tc>
          <w:tcPr>
            <w:tcW w:w="60" w:type="dxa"/>
            <w:vAlign w:val="bottom"/>
          </w:tcPr>
          <w:p>
            <w:pPr>
              <w:spacing w:after="0"/>
              <w:rPr>
                <w:sz w:val="21"/>
                <w:szCs w:val="21"/>
                <w:color w:val="auto"/>
              </w:rPr>
            </w:pP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Included in Net cash provided by operating activities on the Company's Consolidated Statements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2022, 2021 and 2020 are presented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23"/>
                <w:szCs w:val="23"/>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(4,775)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335,121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140,450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0" w:type="dxa"/>
            <w:vAlign w:val="bottom"/>
          </w:tcPr>
          <w:p>
            <w:pPr>
              <w:spacing w:after="0"/>
              <w:rPr>
                <w:sz w:val="1"/>
                <w:szCs w:val="1"/>
                <w:color w:val="auto"/>
              </w:rPr>
            </w:pPr>
          </w:p>
        </w:tc>
      </w:tr>
      <w:tr>
        <w:trPr>
          <w:trHeight w:val="236"/>
        </w:trPr>
        <w:tc>
          <w:tcPr>
            <w:tcW w:w="4120" w:type="dxa"/>
            <w:vAlign w:val="bottom"/>
          </w:tcPr>
          <w:p>
            <w:pPr>
              <w:ind w:left="280"/>
              <w:spacing w:after="0"/>
              <w:rPr>
                <w:sz w:val="20"/>
                <w:szCs w:val="20"/>
                <w:color w:val="auto"/>
              </w:rPr>
            </w:pPr>
            <w:r>
              <w:rPr>
                <w:rFonts w:ascii="Arial" w:cs="Arial" w:eastAsia="Arial" w:hAnsi="Arial"/>
                <w:sz w:val="18"/>
                <w:szCs w:val="18"/>
                <w:color w:val="auto"/>
              </w:rPr>
              <w:t>Total income before income taxes</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322,595</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135,675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740" w:type="dxa"/>
            <w:vAlign w:val="bottom"/>
            <w:vMerge w:val="restart"/>
          </w:tcPr>
          <w:p>
            <w:pPr>
              <w:jc w:val="right"/>
              <w:ind w:right="105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Company's income tax expense for the years ended December 31, 2022, 2021 and 2020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r>
      <w:tr>
        <w:trPr>
          <w:trHeight w:val="27"/>
        </w:trPr>
        <w:tc>
          <w:tcPr>
            <w:tcW w:w="69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6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2,605</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39,270</w:t>
            </w:r>
          </w:p>
        </w:tc>
      </w:tr>
      <w:tr>
        <w:trPr>
          <w:trHeight w:val="237"/>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41,875</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(16,100)</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r>
      <w:tr>
        <w:trPr>
          <w:trHeight w:val="250"/>
        </w:trPr>
        <w:tc>
          <w:tcPr>
            <w:tcW w:w="6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(30,400)</w:t>
            </w:r>
          </w:p>
        </w:tc>
      </w:tr>
      <w:tr>
        <w:trPr>
          <w:trHeight w:val="25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91,853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11,475</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the federal statutory income tax rates of 21% to the effective income tax rate for the years ended December 31, 2022,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68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(dollar amounts in thousands)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7"/>
        </w:trPr>
        <w:tc>
          <w:tcPr>
            <w:tcW w:w="6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67,745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28,492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1,716</w:t>
            </w: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Tax effect of:</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 net of U.S. federal income tax</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347</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1,887</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(6,446)</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Other permanent differences</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3,828</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13,859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7,002</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3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(6,491)</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(4,238)</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Impairment of goodwill and acquired intangibles assets</w:t>
            </w:r>
          </w:p>
        </w:tc>
        <w:tc>
          <w:tcPr>
            <w:tcW w:w="32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22,053</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GILTI, net of tax credits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(3,518)</w:t>
            </w:r>
          </w:p>
        </w:tc>
      </w:tr>
      <w:tr>
        <w:trPr>
          <w:trHeight w:val="27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(4,665)</w:t>
            </w:r>
          </w:p>
        </w:tc>
      </w:tr>
      <w:tr>
        <w:trPr>
          <w:trHeight w:val="304"/>
        </w:trPr>
        <w:tc>
          <w:tcPr>
            <w:tcW w:w="6840" w:type="dxa"/>
            <w:vAlign w:val="bottom"/>
            <w:gridSpan w:val="2"/>
          </w:tcPr>
          <w:p>
            <w:pPr>
              <w:ind w:left="280"/>
              <w:spacing w:after="0"/>
              <w:rPr>
                <w:sz w:val="20"/>
                <w:szCs w:val="20"/>
                <w:color w:val="auto"/>
              </w:rPr>
            </w:pPr>
            <w:r>
              <w:rPr>
                <w:rFonts w:ascii="Arial" w:cs="Arial" w:eastAsia="Arial" w:hAnsi="Arial"/>
                <w:sz w:val="18"/>
                <w:szCs w:val="18"/>
                <w:color w:val="auto"/>
              </w:rPr>
              <w:t>Total income tax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91,853</w:t>
            </w:r>
          </w:p>
        </w:tc>
        <w:tc>
          <w:tcPr>
            <w:tcW w:w="12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65,088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11,475</w:t>
            </w:r>
          </w:p>
        </w:tc>
      </w:tr>
      <w:tr>
        <w:trPr>
          <w:trHeight w:val="223"/>
        </w:trPr>
        <w:tc>
          <w:tcPr>
            <w:tcW w:w="6840" w:type="dxa"/>
            <w:vAlign w:val="bottom"/>
            <w:tcBorders>
              <w:top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tax rate</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calculate our provision for federal, state and foreign income taxes based on current tax law.</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64,889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65,862</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9,743</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19,907</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11,949</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9,353</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9,921</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Intercompany notes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6,077</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7,541</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64,384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65,267</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Lease accounting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42,381</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8,283</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14,616</w:t>
            </w:r>
          </w:p>
        </w:tc>
      </w:tr>
      <w:tr>
        <w:trPr>
          <w:trHeight w:val="237"/>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264,983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270,900</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(100,489)</w:t>
            </w:r>
          </w:p>
        </w:tc>
      </w:tr>
      <w:tr>
        <w:trPr>
          <w:trHeight w:val="237"/>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174,614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170,411</w:t>
            </w: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Intangible assets related to purchase accounting</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(11,763)</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(30,339)</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(21,495)</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(10,388)</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(34,175)</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(6,376)</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(15,597)</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(2,073)</w:t>
            </w:r>
          </w:p>
        </w:tc>
      </w:tr>
      <w:tr>
        <w:trPr>
          <w:trHeight w:val="270"/>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Lease accounting</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(42,381)</w:t>
            </w:r>
          </w:p>
        </w:tc>
      </w:tr>
      <w:tr>
        <w:trPr>
          <w:trHeight w:val="270"/>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(3,971)</w:t>
            </w: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(179,769)</w:t>
            </w:r>
          </w:p>
        </w:tc>
      </w:tr>
      <w:tr>
        <w:trPr>
          <w:trHeight w:val="257"/>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(9,358)</w:t>
            </w: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deferred tax assets of $24.0 million and $36.8 million as of December 31, 2022 and 2021, respectively, are recorded within "Other assets" on the Consolidated Balance Sheet.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jc w:val="both"/>
        <w:spacing w:after="0" w:line="311"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2022 are expected to be allocated to income taxes in the Consolidated Statements of Operations. As of December 31, 2022, and 2021, the Company's foreign tax loss carryforwards were $260.6 million and $267.3 million, respectively, and U.S. state tax loss carryforwards were $97.7 million and $73.7 million,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 Company had U.S. foreign tax credit carryforwards of $59.8 million which are largely not expected to be utilized in future periods. As of December 31, 2021, the Company had 100 U.S. foreign tax credit carryforwards of $61.6 million which are largely not expected to be utilized in future periods.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realize the benefits of these deductible differences, net of the existing valuation allowances, as of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foreign tax net operating loss carryforwards of $260.6 million, which will expire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Tax Effected</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r>
      <w:tr>
        <w:trPr>
          <w:trHeight w:val="243"/>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46,293</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61,382</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Company's state tax net operating loss carryforwards of $97.7 million will expire periodically from 2023 through 2042, U.S. foreign tax credit carryforwards of $59.8 million will expire periodically from 2023 through 2032 and U.S. federal research and expenditure credit carryforwards of $3.8 million will expire periodically from 2034 through 2041.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$2,063.1 million as of December 31, 2022.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2022 and 2021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Year Ended December 31,</w:t>
            </w:r>
          </w:p>
        </w:tc>
      </w:tr>
      <w:tr>
        <w:trPr>
          <w:trHeight w:val="27"/>
        </w:trPr>
        <w:tc>
          <w:tcPr>
            <w:tcW w:w="8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39,785</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3,815</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Statute of limitations expiration</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40,990</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2021, approximately $30.8 million and $29.1 million, respectively, of the unrecognized tax benefits would impact the Company's provision for income taxes and effective income tax rate, if recognized. Total estimated accrued interest and penalties related to the underpayment of income taxes was $8.3 million and $7.2 million as of December 31, 2022 and 2021, respectively. The following income tax years remain open in the Company's major jurisdictions as of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880" w:type="dxa"/>
            <w:vAlign w:val="bottom"/>
          </w:tcPr>
          <w:p>
            <w:pPr>
              <w:ind w:left="2300"/>
              <w:spacing w:after="0"/>
              <w:rPr>
                <w:sz w:val="20"/>
                <w:szCs w:val="20"/>
                <w:color w:val="auto"/>
              </w:rPr>
            </w:pPr>
            <w:r>
              <w:rPr>
                <w:rFonts w:ascii="Arial" w:cs="Arial" w:eastAsia="Arial" w:hAnsi="Arial"/>
                <w:sz w:val="18"/>
                <w:szCs w:val="18"/>
                <w:b w:val="1"/>
                <w:bCs w:val="1"/>
                <w:color w:val="auto"/>
              </w:rPr>
              <w:t>Periods</w:t>
            </w:r>
          </w:p>
        </w:tc>
      </w:tr>
      <w:tr>
        <w:trPr>
          <w:trHeight w:val="27"/>
        </w:trPr>
        <w:tc>
          <w:tcPr>
            <w:tcW w:w="3360" w:type="dxa"/>
            <w:vAlign w:val="bottom"/>
            <w:tcBorders>
              <w:bottom w:val="single" w:sz="8" w:color="auto"/>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2014 through 2022</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Germany</w:t>
            </w:r>
          </w:p>
        </w:tc>
        <w:tc>
          <w:tcPr>
            <w:tcW w:w="7880" w:type="dxa"/>
            <w:vAlign w:val="bottom"/>
          </w:tcPr>
          <w:p>
            <w:pPr>
              <w:ind w:left="2300"/>
              <w:spacing w:after="0"/>
              <w:rPr>
                <w:sz w:val="20"/>
                <w:szCs w:val="20"/>
                <w:color w:val="auto"/>
              </w:rPr>
            </w:pPr>
            <w:r>
              <w:rPr>
                <w:rFonts w:ascii="Arial" w:cs="Arial" w:eastAsia="Arial" w:hAnsi="Arial"/>
                <w:sz w:val="18"/>
                <w:szCs w:val="18"/>
                <w:color w:val="auto"/>
              </w:rPr>
              <w:t>2016 through 2022</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2013 through 2022</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Spain</w:t>
            </w:r>
          </w:p>
        </w:tc>
        <w:tc>
          <w:tcPr>
            <w:tcW w:w="7880" w:type="dxa"/>
            <w:vAlign w:val="bottom"/>
          </w:tcPr>
          <w:p>
            <w:pPr>
              <w:ind w:left="2300"/>
              <w:spacing w:after="0"/>
              <w:rPr>
                <w:sz w:val="20"/>
                <w:szCs w:val="20"/>
                <w:color w:val="auto"/>
              </w:rPr>
            </w:pPr>
            <w:r>
              <w:rPr>
                <w:rFonts w:ascii="Arial" w:cs="Arial" w:eastAsia="Arial" w:hAnsi="Arial"/>
                <w:sz w:val="18"/>
                <w:szCs w:val="18"/>
                <w:color w:val="auto"/>
              </w:rPr>
              <w:t>2015 through 2022</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43"/>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w:t>
            </w:r>
          </w:p>
        </w:tc>
        <w:tc>
          <w:tcPr>
            <w:tcW w:w="788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2018 through 2022</w:t>
            </w:r>
          </w:p>
        </w:tc>
      </w:tr>
      <w:tr>
        <w:trPr>
          <w:trHeight w:val="27"/>
        </w:trPr>
        <w:tc>
          <w:tcPr>
            <w:tcW w:w="336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Valuation and Qualifying Accounts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accounts receivable and accounts receivable balances included within the settlement assets are stated net of credit losses. Historically, the Company has not experienced significant write-offs. The Company records credit losses when it is probable that the accounts receivable balance will not be collected.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following table provides a summary of the credit loss balances and activity for the years endedDecember 31, 2022,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r>
      <w:tr>
        <w:trPr>
          <w:trHeight w:val="27"/>
        </w:trPr>
        <w:tc>
          <w:tcPr>
            <w:tcW w:w="71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7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balance-credit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19,469</w:t>
            </w: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r>
      <w:tr>
        <w:trPr>
          <w:trHeight w:val="270"/>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r>
      <w:tr>
        <w:trPr>
          <w:trHeight w:val="263"/>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Ending balance-credit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Plans</w:t>
      </w:r>
    </w:p>
    <w:p>
      <w:pPr>
        <w:spacing w:after="0" w:line="229"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Stock options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ofDecember 31, 2022, the Company has approximately 4.9 million in total shares remaining available for issuance under the SCP.</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Share-based compensation expense was $44.1 million, $36.5 million and $22.0 million for the years ended December 31, 2022, 2021 and 2020, respectively, and was recorded in salaries and benefits expense in the accompanying Consolidated Statements of Operations. The Company recorded a tax benefit of $3.4 million, $4.1 million and $2.1 million during the years ended December 31, 2022, 2021 and 2020, respectively, for the portion of this expense that relates to foreign tax jurisdictions in which an income tax benefit is expected to be derived.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8"/>
                <w:szCs w:val="18"/>
                <w:color w:val="auto"/>
              </w:rPr>
              <w:t>Summary stock options activity is presented in the table below:</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Average Exercise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Term (years)</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(thousands)</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2021 (1,466,983 shares exercisable)</w:t>
            </w:r>
          </w:p>
        </w:tc>
        <w:tc>
          <w:tcPr>
            <w:tcW w:w="21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4,309,201</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622,722</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(197,184)</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(30,316)</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125.52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9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2022</w:t>
            </w:r>
          </w:p>
        </w:tc>
        <w:tc>
          <w:tcPr>
            <w:tcW w:w="94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4,703,405</w:t>
            </w:r>
          </w:p>
        </w:tc>
        <w:tc>
          <w:tcPr>
            <w:tcW w:w="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26,045</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2022</w:t>
            </w: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1,514,504</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23,497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2022</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4,207,661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25,584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vMerge w:val="restart"/>
          </w:tcPr>
          <w:p>
            <w:pPr>
              <w:jc w:val="right"/>
              <w:ind w:right="190"/>
              <w:spacing w:after="0"/>
              <w:rPr>
                <w:sz w:val="20"/>
                <w:szCs w:val="20"/>
                <w:color w:val="auto"/>
              </w:rPr>
            </w:pPr>
            <w:r>
              <w:rPr>
                <w:rFonts w:ascii="Arial" w:cs="Arial" w:eastAsia="Arial" w:hAnsi="Arial"/>
                <w:sz w:val="18"/>
                <w:szCs w:val="18"/>
                <w:color w:val="auto"/>
              </w:rPr>
              <w:t>90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0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0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557" w:right="259" w:bottom="1440" w:gutter="0" w:footer="0" w:header="0"/>
        </w:sectPr>
      </w:pPr>
    </w:p>
    <w:bookmarkStart w:id="93" w:name="page94"/>
    <w:bookmarkEnd w:id="93"/>
    <w:p>
      <w:pPr>
        <w:jc w:val="both"/>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$5.9 million, $7.8 million and $15.8 million in connection with stock options exercised in the years ended December 31, 2022, 2021 and 2020, respectively. The intrinsic value of these options exercised was $12.8 million, $27.7 million and $41.1 million in the years ended December 31, 2022, 2021 and 2020, respectively. As of December 31, 2022, unrecognized compensation expense related to nonvested stock options that are expected to vest totaled $68.1 million and will be recognized over the next 4 years, with an overall weighted-average period of 3.2 years. The following table provides the fair value of options granted under the SCP during 2022, 2021 and 2020, together with a description of the assumptions used to calculate the fair value using the Black-Scholes-Merton option-pricing model: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ind w:left="114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6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3.45% to 3.97%</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0.50% to 1.21%</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0.31% to 1.17%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40" w:type="dxa"/>
            <w:vAlign w:val="bottom"/>
          </w:tcPr>
          <w:p>
            <w:pPr>
              <w:spacing w:after="0"/>
              <w:rPr>
                <w:sz w:val="21"/>
                <w:szCs w:val="21"/>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4.6 years</w:t>
            </w:r>
          </w:p>
        </w:tc>
        <w:tc>
          <w:tcPr>
            <w:tcW w:w="16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4.6 years</w:t>
            </w:r>
          </w:p>
        </w:tc>
        <w:tc>
          <w:tcPr>
            <w:tcW w:w="1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7.1 years</w:t>
            </w: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option)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48.21</w:t>
            </w:r>
          </w:p>
        </w:tc>
      </w:tr>
      <w:tr>
        <w:trPr>
          <w:trHeight w:val="27"/>
        </w:trPr>
        <w:tc>
          <w:tcPr>
            <w:tcW w:w="6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the Company granted approximately 411,648 options, which vest evenly over a four year term upon the achievement of a 10% increase over the share price on the date of grant for 30 consecutive days. Options were valued using a Monte Carlo simulation (not included in the table above). The Monte Carlo simulation calculated a fair value per option of $36.70 using the following assumptions: volatility of 42.5%, risk-free interest rate of 3.8%, and a term of 4.6 years.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the Company granted approximately 331,000 options, which vest evenly over a four year term upon the achievement of a 10% increase over the share price on the date of grant for 30 consecutive days. Options were valued using a Monte Carlo simulation (not included in the table above). The Monte Carlo simulation calculated a fair value per option of $40.30 using the following assumptions: volatility of 40.0%, risk-free interest rate of 1.19%, and a term of 4.5 years.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2020, the Company granted 1,350,000 options, which vests each year starting in February 2023 upon the achievement of a 15% increase in the share price on the date of the grant for 30 consecutive days and a 10% increase in adjusted earnings per share Options were valued using a Monte Carlo simulation (not included in the table above). The Monte Carlo simulation calculated a fair value per option of $26.90 using the following assumptions: volatility of 37.0%, risk-free interest rate of 0.33%, and a term of 5.0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 The Company records related expense for these awards that have performance-based conditions over the vesting period when the achievement of the award is probable of occurrence.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Summary restricted stock activity is presented in the table below:</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8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5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85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2021</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535,104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127.96</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270,124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91.47</w:t>
            </w:r>
          </w:p>
        </w:tc>
      </w:tr>
      <w:tr>
        <w:trPr>
          <w:trHeight w:val="27"/>
        </w:trPr>
        <w:tc>
          <w:tcPr>
            <w:tcW w:w="8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(90,986)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39.99</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(37,807)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117.01</w:t>
            </w:r>
          </w:p>
        </w:tc>
      </w:tr>
      <w:tr>
        <w:trPr>
          <w:trHeight w:val="27"/>
        </w:trPr>
        <w:tc>
          <w:tcPr>
            <w:tcW w:w="8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2022</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676,435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115.36</w:t>
            </w:r>
          </w:p>
        </w:tc>
      </w:tr>
      <w:tr>
        <w:trPr>
          <w:trHeight w:val="20"/>
        </w:trPr>
        <w:tc>
          <w:tcPr>
            <w:tcW w:w="8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shares vested in the years ended December 31, 2022, 2021 and 2020 was $9.3 million, $13.8 million and $15.4 million, respectively. As of December 31, 2022, there was $16.8 million of total unrecognized compensation cost related to unvested time-based restricted stock, which is expected to be recognized over a weighted-average period of 2.87 years. As of December 31, 2022, there was $26.3 million of total unrecognized compensation costs related to unvested performance-based restricted stock, which is expected to be recognized based on Company performance over a weighted-average period of 2.0 years. The weighted average grant date fair value of restricted stock granted during the years ended December 31, 2022, 2021 and 2020 was $91.47, 115.85 and $117.97 per share,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(17) Business Segment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("ASC 280")</w:t>
      </w:r>
      <w:r>
        <w:rPr>
          <w:rFonts w:ascii="Arial" w:cs="Arial" w:eastAsia="Arial" w:hAnsi="Arial"/>
          <w:sz w:val="18"/>
          <w:szCs w:val="18"/>
          <w:i w:val="1"/>
          <w:iCs w:val="1"/>
          <w:color w:val="auto"/>
        </w:rPr>
        <w:t>.</w:t>
      </w:r>
      <w:r>
        <w:rPr>
          <w:rFonts w:ascii="Arial" w:cs="Arial" w:eastAsia="Arial" w:hAnsi="Arial"/>
          <w:sz w:val="18"/>
          <w:szCs w:val="18"/>
          <w:color w:val="auto"/>
        </w:rPr>
        <w:t>The Company currently operates in the following three reportable operating segments:</w:t>
      </w:r>
    </w:p>
    <w:p>
      <w:pPr>
        <w:spacing w:after="0" w:line="170" w:lineRule="exact"/>
        <w:rPr>
          <w:sz w:val="20"/>
          <w:szCs w:val="20"/>
          <w:color w:val="auto"/>
        </w:rPr>
      </w:pPr>
    </w:p>
    <w:p>
      <w:pPr>
        <w:jc w:val="both"/>
        <w:ind w:firstLine="278"/>
        <w:spacing w:after="0" w:line="275" w:lineRule="auto"/>
        <w:tabs>
          <w:tab w:leader="none" w:pos="47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Through the EFT Processing Segment, the Company processes transactions for a network of ATMs and POS terminals across Europe, the Middle East, Africa, Asia Pacific and the United States. The Company provides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76" w:lineRule="exact"/>
        <w:rPr>
          <w:rFonts w:ascii="Arial" w:cs="Arial" w:eastAsia="Arial" w:hAnsi="Arial"/>
          <w:sz w:val="17"/>
          <w:szCs w:val="17"/>
          <w:color w:val="auto"/>
        </w:rPr>
      </w:pPr>
    </w:p>
    <w:p>
      <w:pPr>
        <w:ind w:firstLine="278"/>
        <w:spacing w:after="0" w:line="277" w:lineRule="auto"/>
        <w:tabs>
          <w:tab w:leader="none" w:pos="4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70" w:lineRule="exact"/>
        <w:rPr>
          <w:rFonts w:ascii="Arial" w:cs="Arial" w:eastAsia="Arial" w:hAnsi="Arial"/>
          <w:sz w:val="18"/>
          <w:szCs w:val="18"/>
          <w:color w:val="auto"/>
        </w:rPr>
      </w:pPr>
    </w:p>
    <w:p>
      <w:pPr>
        <w:jc w:val="both"/>
        <w:ind w:firstLine="278"/>
        <w:spacing w:after="0" w:line="254" w:lineRule="auto"/>
        <w:tabs>
          <w:tab w:leader="none" w:pos="4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tables present the Company's results for the years ended December 31, 2022,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8"/>
          </w:tcPr>
          <w:p>
            <w:pPr>
              <w:ind w:left="320"/>
              <w:spacing w:after="0"/>
              <w:rPr>
                <w:sz w:val="20"/>
                <w:szCs w:val="20"/>
                <w:color w:val="auto"/>
              </w:rPr>
            </w:pPr>
            <w:r>
              <w:rPr>
                <w:rFonts w:ascii="Arial" w:cs="Arial" w:eastAsia="Arial" w:hAnsi="Arial"/>
                <w:sz w:val="18"/>
                <w:szCs w:val="18"/>
                <w:b w:val="1"/>
                <w:bCs w:val="1"/>
                <w:color w:val="auto"/>
              </w:rPr>
              <w:t>For the Year Ended December 31, 2022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 and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EFT Processing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Money Transfer</w:t>
            </w: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924,208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998,009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1,444,304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3,358,741</w:t>
            </w:r>
          </w:p>
        </w:tc>
      </w:tr>
      <w:tr>
        <w:trPr>
          <w:trHeight w:val="23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796,951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2,018,127</w:t>
            </w: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111,997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63,549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534,238</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285,173</w:t>
            </w: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33,727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135,864</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877,059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65,976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2,973,402</w:t>
            </w:r>
          </w:p>
        </w:tc>
      </w:tr>
      <w:tr>
        <w:trPr>
          <w:trHeight w:val="237"/>
        </w:trPr>
        <w:tc>
          <w:tcPr>
            <w:tcW w:w="42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183,891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120,950</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154,254</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(73,756)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385,339</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2,066</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(37,585)</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(28,175)</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37"/>
        </w:trPr>
        <w:tc>
          <w:tcPr>
            <w:tcW w:w="42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(62,744)</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322,595</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2022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2,150,685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1,173,330</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1,795,799</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283,819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5,403,633</w:t>
            </w:r>
          </w:p>
        </w:tc>
      </w:tr>
      <w:tr>
        <w:trPr>
          <w:trHeight w:val="486"/>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w w:val="89"/>
              </w:rPr>
              <w:t>94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28"/>
        </w:trPr>
        <w:tc>
          <w:tcPr>
            <w:tcW w:w="4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8"/>
          </w:tcPr>
          <w:p>
            <w:pPr>
              <w:ind w:left="320"/>
              <w:spacing w:after="0"/>
              <w:rPr>
                <w:sz w:val="20"/>
                <w:szCs w:val="20"/>
                <w:color w:val="auto"/>
              </w:rPr>
            </w:pPr>
            <w:r>
              <w:rPr>
                <w:rFonts w:ascii="Arial" w:cs="Arial" w:eastAsia="Arial" w:hAnsi="Arial"/>
                <w:sz w:val="18"/>
                <w:szCs w:val="18"/>
                <w:b w:val="1"/>
                <w:bCs w:val="1"/>
                <w:color w:val="auto"/>
              </w:rPr>
              <w:t>For the Year Ended December 31, 2021</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Services,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Money</w:t>
            </w: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Eliminations and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EFT Processing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Transfer</w:t>
            </w: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591,138</w:t>
            </w:r>
          </w:p>
        </w:tc>
        <w:tc>
          <w:tcPr>
            <w:tcW w:w="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1,011,482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1,400,957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2,995,443</w:t>
            </w:r>
          </w:p>
        </w:tc>
      </w:tr>
      <w:tr>
        <w:trPr>
          <w:trHeight w:val="237"/>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1,900,267</w:t>
            </w:r>
          </w:p>
        </w:tc>
      </w:tr>
      <w:tr>
        <w:trPr>
          <w:trHeight w:val="243"/>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Acquired contract cost impairment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38,634</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484,839</w:t>
            </w:r>
          </w:p>
        </w:tc>
      </w:tr>
      <w:tr>
        <w:trPr>
          <w:trHeight w:val="243"/>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157,955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251,933</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135,754</w:t>
            </w:r>
          </w:p>
        </w:tc>
      </w:tr>
      <w:tr>
        <w:trPr>
          <w:trHeight w:val="237"/>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591,639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888,445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1,281,362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49,981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2,811,427</w:t>
            </w: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184,016</w:t>
            </w:r>
          </w:p>
        </w:tc>
      </w:tr>
      <w:tr>
        <w:trPr>
          <w:trHeight w:val="237"/>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(38,198)</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gain,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(48,341)</w:t>
            </w:r>
          </w:p>
        </w:tc>
      </w:tr>
      <w:tr>
        <w:trPr>
          <w:trHeight w:val="297"/>
        </w:trPr>
        <w:tc>
          <w:tcPr>
            <w:tcW w:w="416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135,675</w:t>
            </w:r>
          </w:p>
        </w:tc>
      </w:tr>
      <w:tr>
        <w:trPr>
          <w:trHeight w:val="237"/>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2021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1,682,680</w:t>
            </w:r>
          </w:p>
        </w:tc>
        <w:tc>
          <w:tcPr>
            <w:tcW w:w="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1,621,726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205,796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4,744,276</w:t>
            </w:r>
          </w:p>
        </w:tc>
      </w:tr>
      <w:tr>
        <w:trPr>
          <w:trHeight w:val="459"/>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95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Money</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EFT Processing</w:t>
            </w: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Transfer</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Consolidated</w:t>
            </w:r>
          </w:p>
        </w:tc>
      </w:tr>
      <w:tr>
        <w:trPr>
          <w:trHeight w:val="27"/>
        </w:trPr>
        <w:tc>
          <w:tcPr>
            <w:tcW w:w="4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835,517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1,183,849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2,482,700</w:t>
            </w:r>
          </w:p>
        </w:tc>
      </w:tr>
      <w:tr>
        <w:trPr>
          <w:trHeight w:val="237"/>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1,576,699</w:t>
            </w:r>
          </w:p>
        </w:tc>
      </w:tr>
      <w:tr>
        <w:trPr>
          <w:trHeight w:val="243"/>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404,142</w:t>
            </w: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221,614</w:t>
            </w:r>
          </w:p>
        </w:tc>
      </w:tr>
      <w:tr>
        <w:trPr>
          <w:trHeight w:val="243"/>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106,602</w:t>
            </w: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127,021</w:t>
            </w:r>
          </w:p>
        </w:tc>
      </w:tr>
      <w:tr>
        <w:trPr>
          <w:trHeight w:val="237"/>
        </w:trPr>
        <w:tc>
          <w:tcPr>
            <w:tcW w:w="43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535,437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738,839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1,124,140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2,436,078</w:t>
            </w:r>
          </w:p>
        </w:tc>
      </w:tr>
      <w:tr>
        <w:trPr>
          <w:trHeight w:val="27"/>
        </w:trPr>
        <w:tc>
          <w:tcPr>
            <w:tcW w:w="4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46,622</w:t>
            </w:r>
          </w:p>
        </w:tc>
      </w:tr>
      <w:tr>
        <w:trPr>
          <w:trHeight w:val="237"/>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(36,604)</w:t>
            </w: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43"/>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4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(38,451)</w:t>
            </w:r>
          </w:p>
        </w:tc>
      </w:tr>
      <w:tr>
        <w:trPr>
          <w:trHeight w:val="297"/>
        </w:trPr>
        <w:tc>
          <w:tcPr>
            <w:tcW w:w="43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8,171</w:t>
            </w:r>
          </w:p>
        </w:tc>
      </w:tr>
      <w:tr>
        <w:trPr>
          <w:trHeight w:val="237"/>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2020</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1,541,610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1,135,204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494,246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4,926,711</w:t>
            </w:r>
          </w:p>
        </w:tc>
      </w:tr>
      <w:tr>
        <w:trPr>
          <w:trHeight w:val="459"/>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4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spacing w:after="0" w:line="293" w:lineRule="auto"/>
        <w:rPr>
          <w:sz w:val="20"/>
          <w:szCs w:val="20"/>
          <w:color w:val="auto"/>
        </w:rPr>
      </w:pPr>
      <w:r>
        <w:rPr>
          <w:rFonts w:ascii="Arial" w:cs="Arial" w:eastAsia="Arial" w:hAnsi="Arial"/>
          <w:sz w:val="18"/>
          <w:szCs w:val="18"/>
          <w:color w:val="auto"/>
        </w:rPr>
        <w:t>Total revenues for the years ended December 31, 2022, 2021 and 2020, and property and equipment and total assets as of December 31, 2022 and 2021, summarized by geographic location, were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Property and Equipment, net</w:t>
            </w:r>
          </w:p>
        </w:tc>
        <w:tc>
          <w:tcPr>
            <w:tcW w:w="200" w:type="dxa"/>
            <w:vAlign w:val="bottom"/>
          </w:tcPr>
          <w:p>
            <w:pPr>
              <w:spacing w:after="0"/>
              <w:rPr>
                <w:sz w:val="20"/>
                <w:szCs w:val="20"/>
                <w:color w:val="auto"/>
              </w:rPr>
            </w:pPr>
          </w:p>
        </w:tc>
        <w:tc>
          <w:tcPr>
            <w:tcW w:w="21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Total Assets</w:t>
            </w:r>
          </w:p>
        </w:tc>
      </w:tr>
      <w:tr>
        <w:trPr>
          <w:trHeight w:val="270"/>
        </w:trPr>
        <w:tc>
          <w:tcPr>
            <w:tcW w:w="2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54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For the year ended December 31,</w:t>
            </w:r>
          </w:p>
        </w:tc>
        <w:tc>
          <w:tcPr>
            <w:tcW w:w="260" w:type="dxa"/>
            <w:vAlign w:val="bottom"/>
          </w:tcPr>
          <w:p>
            <w:pPr>
              <w:spacing w:after="0"/>
              <w:rPr>
                <w:sz w:val="23"/>
                <w:szCs w:val="23"/>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as of December 31,</w:t>
            </w:r>
          </w:p>
        </w:tc>
        <w:tc>
          <w:tcPr>
            <w:tcW w:w="200" w:type="dxa"/>
            <w:vAlign w:val="bottom"/>
          </w:tcPr>
          <w:p>
            <w:pPr>
              <w:spacing w:after="0"/>
              <w:rPr>
                <w:sz w:val="23"/>
                <w:szCs w:val="23"/>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6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7"/>
        </w:trPr>
        <w:tc>
          <w:tcPr>
            <w:tcW w:w="2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830,846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805,028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59,925</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1,051,433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1,040,190</w:t>
            </w: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644,488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631,550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533,999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30,222</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772,575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901,724</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211,658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46,392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317,199</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144,737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143,914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10,453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403,874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371,090</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16,670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207,347</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98,069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93,654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23,013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220,686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201,506</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30,476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206,378</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173,825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166,655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119,265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8,514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140,396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134,981</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18,032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80,778</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47,597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2,167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91,813</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56,275</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56,480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3,537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234,836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231,468</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Netherlands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217,521</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66,439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46,851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106,419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103,056</w:t>
            </w:r>
          </w:p>
        </w:tc>
      </w:tr>
      <w:tr>
        <w:trPr>
          <w:trHeight w:val="27"/>
        </w:trPr>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34,115</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420,921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338,033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78,016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724,851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548,835</w:t>
            </w:r>
          </w:p>
        </w:tc>
      </w:tr>
      <w:tr>
        <w:trPr>
          <w:trHeight w:val="27"/>
        </w:trPr>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foreign</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2,527,895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2,190,415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1,757,565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276,676</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4,352,200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3,704,086</w:t>
            </w:r>
          </w:p>
        </w:tc>
      </w:tr>
      <w:tr>
        <w:trPr>
          <w:trHeight w:val="25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3,358,741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2,995,443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2,482,700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336,601</w:t>
            </w: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5,403,633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4,744,276</w:t>
            </w:r>
          </w:p>
        </w:tc>
      </w:tr>
      <w:tr>
        <w:trPr>
          <w:trHeight w:val="20"/>
        </w:trPr>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15, Valuation and Qualifying Accounts, for further disclosure.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right="20"/>
        <w:spacing w:after="0" w:line="250"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35"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522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40" w:type="dxa"/>
            <w:vAlign w:val="bottom"/>
          </w:tcPr>
          <w:p>
            <w:pPr>
              <w:ind w:left="860"/>
              <w:spacing w:after="0"/>
              <w:rPr>
                <w:sz w:val="20"/>
                <w:szCs w:val="20"/>
                <w:color w:val="auto"/>
              </w:rPr>
            </w:pPr>
            <w:r>
              <w:rPr>
                <w:rFonts w:ascii="Arial" w:cs="Arial" w:eastAsia="Arial" w:hAnsi="Arial"/>
                <w:sz w:val="18"/>
                <w:szCs w:val="18"/>
                <w:b w:val="1"/>
                <w:bCs w:val="1"/>
                <w:color w:val="auto"/>
              </w:rPr>
              <w:t>Balance Sheet</w:t>
            </w:r>
          </w:p>
        </w:tc>
      </w:tr>
      <w:tr>
        <w:trPr>
          <w:trHeight w:val="234"/>
        </w:trPr>
        <w:tc>
          <w:tcPr>
            <w:tcW w:w="3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440" w:type="dxa"/>
            <w:vAlign w:val="bottom"/>
          </w:tcPr>
          <w:p>
            <w:pPr>
              <w:ind w:left="8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40" w:type="dxa"/>
            <w:vAlign w:val="bottom"/>
          </w:tcPr>
          <w:p>
            <w:pPr>
              <w:spacing w:after="0"/>
              <w:rPr>
                <w:sz w:val="20"/>
                <w:szCs w:val="20"/>
                <w:color w:val="auto"/>
              </w:rPr>
            </w:pP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2440" w:type="dxa"/>
            <w:vAlign w:val="bottom"/>
          </w:tcPr>
          <w:p>
            <w:pPr>
              <w:ind w:left="380"/>
              <w:spacing w:after="0"/>
              <w:rPr>
                <w:sz w:val="20"/>
                <w:szCs w:val="20"/>
                <w:color w:val="auto"/>
              </w:rPr>
            </w:pPr>
            <w:r>
              <w:rPr>
                <w:rFonts w:ascii="Arial" w:cs="Arial" w:eastAsia="Arial" w:hAnsi="Arial"/>
                <w:sz w:val="18"/>
                <w:szCs w:val="18"/>
                <w:color w:val="auto"/>
              </w:rPr>
              <w:t>Other current assets</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rPr>
                <w:sz w:val="23"/>
                <w:szCs w:val="23"/>
                <w:color w:val="auto"/>
              </w:rPr>
            </w:pP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24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r>
    </w:tbl>
    <w:p>
      <w:pPr>
        <w:spacing w:after="0" w:line="200" w:lineRule="exact"/>
        <w:rPr>
          <w:sz w:val="20"/>
          <w:szCs w:val="20"/>
          <w:color w:val="auto"/>
        </w:rPr>
      </w:pP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40" w:type="dxa"/>
            <w:vAlign w:val="bottom"/>
          </w:tcPr>
          <w:p>
            <w:pPr>
              <w:ind w:left="860"/>
              <w:spacing w:after="0"/>
              <w:rPr>
                <w:sz w:val="20"/>
                <w:szCs w:val="20"/>
                <w:color w:val="auto"/>
              </w:rPr>
            </w:pPr>
            <w:r>
              <w:rPr>
                <w:rFonts w:ascii="Arial" w:cs="Arial" w:eastAsia="Arial" w:hAnsi="Arial"/>
                <w:sz w:val="18"/>
                <w:szCs w:val="18"/>
                <w:b w:val="1"/>
                <w:bCs w:val="1"/>
                <w:color w:val="auto"/>
              </w:rPr>
              <w:t>Balance Sheet</w:t>
            </w:r>
          </w:p>
        </w:tc>
      </w:tr>
      <w:tr>
        <w:trPr>
          <w:trHeight w:val="234"/>
        </w:trPr>
        <w:tc>
          <w:tcPr>
            <w:tcW w:w="3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440" w:type="dxa"/>
            <w:vAlign w:val="bottom"/>
          </w:tcPr>
          <w:p>
            <w:pPr>
              <w:ind w:left="8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40" w:type="dxa"/>
            <w:vAlign w:val="bottom"/>
          </w:tcPr>
          <w:p>
            <w:pPr>
              <w:spacing w:after="0"/>
              <w:rPr>
                <w:sz w:val="20"/>
                <w:szCs w:val="20"/>
                <w:color w:val="auto"/>
              </w:rPr>
            </w:pP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2440" w:type="dxa"/>
            <w:vAlign w:val="bottom"/>
          </w:tcPr>
          <w:p>
            <w:pPr>
              <w:ind w:left="380"/>
              <w:spacing w:after="0"/>
              <w:rPr>
                <w:sz w:val="20"/>
                <w:szCs w:val="20"/>
                <w:color w:val="auto"/>
              </w:rPr>
            </w:pPr>
            <w:r>
              <w:rPr>
                <w:rFonts w:ascii="Arial" w:cs="Arial" w:eastAsia="Arial" w:hAnsi="Arial"/>
                <w:sz w:val="18"/>
                <w:szCs w:val="18"/>
                <w:color w:val="auto"/>
              </w:rPr>
              <w:t>Other current assets</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rPr>
                <w:sz w:val="23"/>
                <w:szCs w:val="23"/>
                <w:color w:val="auto"/>
              </w:rPr>
            </w:pP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24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r>
      <w:tr>
        <w:trPr>
          <w:trHeight w:val="27"/>
        </w:trPr>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50,248</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40"/>
              <w:spacing w:after="0"/>
              <w:rPr>
                <w:sz w:val="20"/>
                <w:szCs w:val="20"/>
                <w:color w:val="auto"/>
              </w:rPr>
            </w:pPr>
            <w:r>
              <w:rPr>
                <w:rFonts w:ascii="Arial" w:cs="Arial" w:eastAsia="Arial" w:hAnsi="Arial"/>
                <w:sz w:val="18"/>
                <w:szCs w:val="18"/>
                <w:color w:val="auto"/>
              </w:rPr>
              <w:t>50,248</w:t>
            </w:r>
          </w:p>
        </w:tc>
      </w:tr>
      <w:tr>
        <w:trPr>
          <w:trHeight w:val="540"/>
        </w:trPr>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20"/>
              <w:spacing w:after="0"/>
              <w:rPr>
                <w:sz w:val="20"/>
                <w:szCs w:val="20"/>
                <w:color w:val="auto"/>
              </w:rPr>
            </w:pPr>
            <w:r>
              <w:rPr>
                <w:rFonts w:ascii="Arial" w:cs="Arial" w:eastAsia="Arial" w:hAnsi="Arial"/>
                <w:sz w:val="18"/>
                <w:szCs w:val="18"/>
                <w:color w:val="auto"/>
                <w:w w:val="95"/>
              </w:rPr>
              <w:t>(42,320)</w:t>
            </w:r>
          </w:p>
        </w:tc>
      </w:tr>
      <w:tr>
        <w:trPr>
          <w:trHeight w:val="50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As of December 31, 2021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39"/>
        </w:trPr>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r>
      <w:tr>
        <w:trPr>
          <w:trHeight w:val="27"/>
        </w:trPr>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ind w:left="420"/>
              <w:spacing w:after="0"/>
              <w:rPr>
                <w:sz w:val="20"/>
                <w:szCs w:val="20"/>
                <w:color w:val="auto"/>
              </w:rPr>
            </w:pPr>
            <w:r>
              <w:rPr>
                <w:rFonts w:ascii="Arial" w:cs="Arial" w:eastAsia="Arial" w:hAnsi="Arial"/>
                <w:sz w:val="18"/>
                <w:szCs w:val="18"/>
                <w:color w:val="auto"/>
              </w:rPr>
              <w:t>27,582</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40"/>
              <w:spacing w:after="0"/>
              <w:rPr>
                <w:sz w:val="20"/>
                <w:szCs w:val="20"/>
                <w:color w:val="auto"/>
              </w:rPr>
            </w:pPr>
            <w:r>
              <w:rPr>
                <w:rFonts w:ascii="Arial" w:cs="Arial" w:eastAsia="Arial" w:hAnsi="Arial"/>
                <w:sz w:val="18"/>
                <w:szCs w:val="18"/>
                <w:color w:val="auto"/>
              </w:rPr>
              <w:t>27,582</w:t>
            </w:r>
          </w:p>
        </w:tc>
      </w:tr>
      <w:tr>
        <w:trPr>
          <w:trHeight w:val="540"/>
        </w:trPr>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ind w:left="400"/>
              <w:spacing w:after="0"/>
              <w:rPr>
                <w:sz w:val="20"/>
                <w:szCs w:val="20"/>
                <w:color w:val="auto"/>
              </w:rPr>
            </w:pPr>
            <w:r>
              <w:rPr>
                <w:rFonts w:ascii="Arial" w:cs="Arial" w:eastAsia="Arial" w:hAnsi="Arial"/>
                <w:sz w:val="18"/>
                <w:szCs w:val="18"/>
                <w:color w:val="auto"/>
              </w:rPr>
              <w:t>(23,285)</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20"/>
              <w:spacing w:after="0"/>
              <w:rPr>
                <w:sz w:val="20"/>
                <w:szCs w:val="20"/>
                <w:color w:val="auto"/>
              </w:rPr>
            </w:pPr>
            <w:r>
              <w:rPr>
                <w:rFonts w:ascii="Arial" w:cs="Arial" w:eastAsia="Arial" w:hAnsi="Arial"/>
                <w:sz w:val="18"/>
                <w:szCs w:val="18"/>
                <w:color w:val="auto"/>
                <w:w w:val="95"/>
              </w:rPr>
              <w:t>(23,285)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-1816735</wp:posOffset>
            </wp:positionV>
            <wp:extent cx="707199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-1473835</wp:posOffset>
            </wp:positionV>
            <wp:extent cx="707199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-496570</wp:posOffset>
            </wp:positionV>
            <wp:extent cx="707199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-153670</wp:posOffset>
            </wp:positionV>
            <wp:extent cx="707199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20"/>
            <w:col w:w="5580"/>
          </w:cols>
          <w:pgMar w:left="320" w:top="557" w:right="339" w:bottom="1440" w:gutter="0" w:footer="0" w:header="0"/>
          <w:type w:val="continuous"/>
        </w:sectPr>
      </w:pPr>
    </w:p>
    <w:p>
      <w:pPr>
        <w:spacing w:after="0" w:line="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SOFR that resets at various intervals of less than one year. The Company estimates the fair value of the Convertible Notes and Senior Notes using quoted prices in inactive markets for identical liabilities (Level 2). As of December 31, 2022, the fair values of the Convertible Notes and Senior Notes were $520.8 million and $568.9 million, respectively, with carrying values of $525.0 million and $642.1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 and Contingencies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(20) Commitments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$83.4 million of stand-by letters of credit/bank guarantees issued on its behalf, of which $3.3 million are collateralized by cash deposits held by the respective issuing banks.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2022, the Company granted off balance sheet guarantees for cash in various ATM networks amounting to $11.1 million over the terms of the cash supply agreements and performance guarantees amounting to approximately $51.9 million over the terms of the agreements with the customers.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77" w:lineRule="exact"/>
        <w:rPr>
          <w:sz w:val="20"/>
          <w:szCs w:val="20"/>
          <w:color w:val="auto"/>
        </w:rPr>
      </w:pPr>
    </w:p>
    <w:p>
      <w:pPr>
        <w:jc w:val="both"/>
        <w:ind w:left="240" w:hanging="232"/>
        <w:spacing w:after="0" w:line="259"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2022, the balance of such cash used in the Company's ATM networks for which the Company was responsible was approximately $319.8 million. The Company maintains insurance policies to mitigate this exposure;</w:t>
      </w:r>
    </w:p>
    <w:p>
      <w:pPr>
        <w:spacing w:after="0" w:line="186" w:lineRule="exact"/>
        <w:rPr>
          <w:rFonts w:ascii="Arial" w:cs="Arial" w:eastAsia="Arial" w:hAnsi="Arial"/>
          <w:sz w:val="18"/>
          <w:szCs w:val="18"/>
          <w:color w:val="auto"/>
        </w:rPr>
      </w:pPr>
    </w:p>
    <w:p>
      <w:pPr>
        <w:jc w:val="both"/>
        <w:ind w:left="240" w:hanging="232"/>
        <w:spacing w:after="0" w:line="286"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165" w:lineRule="exact"/>
        <w:rPr>
          <w:rFonts w:ascii="Arial" w:cs="Arial" w:eastAsia="Arial" w:hAnsi="Arial"/>
          <w:sz w:val="17"/>
          <w:szCs w:val="17"/>
          <w:color w:val="auto"/>
        </w:rPr>
      </w:pPr>
    </w:p>
    <w:p>
      <w:pPr>
        <w:jc w:val="both"/>
        <w:ind w:left="240" w:hanging="232"/>
        <w:spacing w:after="0" w:line="263"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83" w:lineRule="exact"/>
        <w:rPr>
          <w:rFonts w:ascii="Arial" w:cs="Arial" w:eastAsia="Arial" w:hAnsi="Arial"/>
          <w:sz w:val="18"/>
          <w:szCs w:val="18"/>
          <w:color w:val="auto"/>
        </w:rPr>
      </w:pPr>
    </w:p>
    <w:p>
      <w:pPr>
        <w:jc w:val="both"/>
        <w:ind w:left="240" w:hanging="232"/>
        <w:spacing w:after="0" w:line="263"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83" w:lineRule="exact"/>
        <w:rPr>
          <w:rFonts w:ascii="Arial" w:cs="Arial" w:eastAsia="Arial" w:hAnsi="Arial"/>
          <w:sz w:val="18"/>
          <w:szCs w:val="18"/>
          <w:color w:val="auto"/>
        </w:rPr>
      </w:pPr>
    </w:p>
    <w:p>
      <w:pPr>
        <w:jc w:val="both"/>
        <w:ind w:left="240" w:hanging="232"/>
        <w:spacing w:after="0" w:line="273"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177" w:lineRule="exact"/>
        <w:rPr>
          <w:rFonts w:ascii="Arial" w:cs="Arial" w:eastAsia="Arial" w:hAnsi="Arial"/>
          <w:sz w:val="17"/>
          <w:szCs w:val="17"/>
          <w:color w:val="auto"/>
        </w:rPr>
      </w:pPr>
    </w:p>
    <w:p>
      <w:pPr>
        <w:jc w:val="both"/>
        <w:ind w:left="240" w:hanging="232"/>
        <w:spacing w:after="0" w:line="263"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2022 or 2021.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$0.2 million, $0.1 million and $0.1 million during the years ended December 31, 2022, 2021 and 2020, respectively, for the use of this airplane.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2022.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2022 that has materially affected, or is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Management of Euronet Worldwide, Inc. assessed the effectiveness of the Company's internal control over financial reporting as of December 31, 2022. In making this assessment, it used the criteria set forth by the Committee of Sponsoring Organizations of the Treadway Commission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Management’s assessment of the effectiveness of the Company’s internal control over financial reporting as of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excluded Euronet Merchant Services Payment Institution S.M.S.A. (formerly the Merchant Acquiring Business of Piraeus Bank), acquired as of March 15, 2022 with aggregate total assets of $520.8 million and total revenues of $88.8 million included in the Company’s consolidated financial statements as of and for the year ended December 31,2022. Based on these criteria and our assessment, we have determined that, as of December 31, 2022, the Company's internal control over financial reporting was effective.</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KPMG LLP, an independent registered public accounting firm, as stated in their audit report, included herein.</w:t>
      </w:r>
    </w:p>
    <w:p>
      <w:pPr>
        <w:spacing w:after="0" w:line="400"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33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under “Election of Directors,” “Delinquent Section 16(a) Reports” (if applicable) and “Meetings and Committees of the Board of Directors” in the Proxy Statement for the 2023 Annual Meeting of Stockholders, which will be filed with the SEC no later than 120 days after December 31, 2022,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“Compensation Tables,” “Compensation Discussion and Analysis,” “Director Compensation,” “Compensation Committee Report” and “Compensation Committee Interlocks and Insider Participation” in the Proxy Statement for the 2023 Annual Meeting of Stockholders, which will be filed with the SEC no later than 120 days after December 31, 2022, is incorporated herein by reference.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“Beneficial Ownership of Common Stock”, “Election of Directors” and "Compensation Tables - Shares Issuable under Stockholder Approved Plans" in the Proxy Statement for the 2023 Annual Meeting of Stockholders, which will be filed with the SEC no later than 120 days after December 31, 2022, is incorporated herein by reference.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under “Certain Relationships and Related Transactions and Director Independence” in the Proxy Statement for the 2023 Annual Meeting of Stockholders, which will be filed with the SEC no later than 120 days after December 31, 2022, is incorporated herein by reference.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2023 Annual Meeting of Stockholders, which will be filed with the SEC no later than 120 days after December 31, 2022, is incorporated herein by reference.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List of Documents Filed as Part of this Report.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 Financial Statements</w:t>
      </w:r>
    </w:p>
    <w:p>
      <w:pPr>
        <w:spacing w:after="0" w:line="225" w:lineRule="exact"/>
        <w:rPr>
          <w:sz w:val="20"/>
          <w:szCs w:val="20"/>
          <w:color w:val="auto"/>
        </w:rPr>
      </w:pPr>
    </w:p>
    <w:p>
      <w:pPr>
        <w:ind w:left="260" w:right="820"/>
        <w:spacing w:after="0" w:line="277" w:lineRule="auto"/>
        <w:rPr>
          <w:sz w:val="20"/>
          <w:szCs w:val="20"/>
          <w:color w:val="auto"/>
        </w:rPr>
      </w:pPr>
      <w:r>
        <w:rPr>
          <w:rFonts w:ascii="Arial" w:cs="Arial" w:eastAsia="Arial" w:hAnsi="Arial"/>
          <w:sz w:val="18"/>
          <w:szCs w:val="18"/>
          <w:color w:val="auto"/>
        </w:rPr>
        <w:t>The Consolidated Financial Statements and accompanying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00" w:type="dxa"/>
            <w:vAlign w:val="bottom"/>
            <w:gridSpan w:val="14"/>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140" w:type="dxa"/>
            <w:vAlign w:val="bottom"/>
            <w:tcBorders>
              <w:top w:val="single" w:sz="8" w:color="auto"/>
            </w:tcBorders>
          </w:tcPr>
          <w:p>
            <w:pPr>
              <w:jc w:val="right"/>
              <w:ind w:right="792"/>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bottom w:val="single" w:sz="8" w:color="0000FF"/>
            </w:tcBorders>
            <w:gridSpan w:val="15"/>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Certificate of Incorporation of Euronet Worldwide, Inc., as amended (filed as Exhibit 3.2 to the Company's Current Report on Form 8-K</w:t>
              </w:r>
            </w:hyperlink>
          </w:p>
        </w:tc>
        <w:tc>
          <w:tcPr>
            <w:tcW w:w="2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filed on May 22, 2009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FF"/>
                <w:w w:val="96"/>
              </w:rPr>
            </w:pPr>
            <w:hyperlink r:id="rId199">
              <w:r>
                <w:rPr>
                  <w:rFonts w:ascii="Arial" w:cs="Arial" w:eastAsia="Arial" w:hAnsi="Arial"/>
                  <w:sz w:val="18"/>
                  <w:szCs w:val="18"/>
                  <w:color w:val="0000FF"/>
                  <w:w w:val="96"/>
                </w:rPr>
                <w:t>Certificate of Amendment to Certificate of Incorporation of Euronet Worldwide, Inc. (filed as Exhibit 3.1 to the Company's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Report on Form 8-K filed on May 22, 2009 and incorporated by reference herein)</w:t>
              </w:r>
            </w:hyperlink>
          </w:p>
        </w:tc>
        <w:tc>
          <w:tcPr>
            <w:tcW w:w="38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Amended and Restated Certificate of Designations, Preferences and Rights of Series A Junior Participating Preferred Stock (filed as</w:t>
              </w:r>
            </w:hyperlink>
          </w:p>
        </w:tc>
        <w:tc>
          <w:tcPr>
            <w:tcW w:w="3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Exhibit 3.1 to the Company's Current Report on Form 8-K filed on March 29, 2013,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2"/>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Amended and Restated Bylaws of Euronet Worldwide, Inc. (filed as Exhibit 3.2 to the Company's Current Report on Form 8-K filed on</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February 28, 2017,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FF"/>
                <w:w w:val="91"/>
              </w:rPr>
            </w:pPr>
            <w:hyperlink r:id="rId202">
              <w:r>
                <w:rPr>
                  <w:rFonts w:ascii="Arial" w:cs="Arial" w:eastAsia="Arial" w:hAnsi="Arial"/>
                  <w:sz w:val="18"/>
                  <w:szCs w:val="18"/>
                  <w:color w:val="0000FF"/>
                  <w:w w:val="91"/>
                </w:rPr>
                <w:t>Indenture, dated May 22, 2019, between Euronet Worldwide, Inc. and U.S. Bank National Association, as trustee (filed as Exhibit 4.1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the Company's Current Report on Form 8-K filed on May 22, 2019 and incorporated by reference herein)</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14"/>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Supplemental Indenture, dated May 22, 2019, between Euronet Worldwide, Inc. and U.S. Bank National Association, as trustee (filed as</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Exhibit 4.2 to the Company's Current Report on Form 8-K filed on May 22, 2019 and incorporated by reference herein)</w:t>
              </w:r>
            </w:hyperlink>
          </w:p>
        </w:tc>
        <w:tc>
          <w:tcPr>
            <w:tcW w:w="1240" w:type="dxa"/>
            <w:vAlign w:val="bottom"/>
            <w:gridSpan w:val="9"/>
          </w:tcPr>
          <w:p>
            <w:pPr>
              <w:spacing w:after="0"/>
              <w:rPr>
                <w:sz w:val="17"/>
                <w:szCs w:val="17"/>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1.375% Senior Note due 2026 (included as Exhibit A to Exhibit 4.1 above).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574"/>
        </w:trPr>
        <w:tc>
          <w:tcPr>
            <w:tcW w:w="1140" w:type="dxa"/>
            <w:vAlign w:val="bottom"/>
          </w:tcPr>
          <w:p>
            <w:pPr>
              <w:jc w:val="right"/>
              <w:ind w:right="792"/>
              <w:spacing w:after="0"/>
              <w:rPr>
                <w:sz w:val="20"/>
                <w:szCs w:val="20"/>
                <w:color w:val="auto"/>
              </w:rPr>
            </w:pPr>
            <w:r>
              <w:rPr>
                <w:rFonts w:ascii="Arial" w:cs="Arial" w:eastAsia="Arial" w:hAnsi="Arial"/>
                <w:sz w:val="18"/>
                <w:szCs w:val="18"/>
                <w:color w:val="auto"/>
                <w:w w:val="95"/>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w w:val="94"/>
              </w:rPr>
            </w:pPr>
            <w:hyperlink r:id="rId203">
              <w:r>
                <w:rPr>
                  <w:rFonts w:ascii="Arial" w:cs="Arial" w:eastAsia="Arial" w:hAnsi="Arial"/>
                  <w:sz w:val="18"/>
                  <w:szCs w:val="18"/>
                  <w:color w:val="0000EE"/>
                  <w:w w:val="94"/>
                </w:rPr>
                <w:t>Indenture, dated March 18, 2019, between the Company and U.S. Bank National Association, as trustee (filed as Exhibit 4.1 to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Company's Current Report on Form 8-K filed on March 18, 2019 and incorporated by reference herein)</w:t>
              </w:r>
            </w:hyperlink>
          </w:p>
        </w:tc>
        <w:tc>
          <w:tcPr>
            <w:tcW w:w="460" w:type="dxa"/>
            <w:vAlign w:val="bottom"/>
            <w:gridSpan w:val="7"/>
          </w:tcPr>
          <w:p>
            <w:pPr>
              <w:spacing w:after="0"/>
              <w:rPr>
                <w:sz w:val="17"/>
                <w:szCs w:val="17"/>
                <w:color w:val="auto"/>
              </w:rPr>
            </w:pPr>
          </w:p>
        </w:tc>
      </w:tr>
      <w:tr>
        <w:trPr>
          <w:trHeight w:val="425"/>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top w:val="single" w:sz="8" w:color="0000EE"/>
            </w:tcBorders>
            <w:gridSpan w:val="3"/>
          </w:tcPr>
          <w:p>
            <w:pPr>
              <w:ind w:left="4100"/>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6840" w:type="dxa"/>
            <w:vAlign w:val="bottom"/>
            <w:tcBorders>
              <w:bottom w:val="single" w:sz="8" w:color="0000FF"/>
            </w:tcBorders>
            <w:gridSpan w:val="7"/>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Form of 0.75% Convertible Senior Note due 2049 (included as Exhibit A to Exhibit 4.4 above)</w:t>
              </w:r>
            </w:hyperlink>
          </w:p>
        </w:tc>
        <w:tc>
          <w:tcPr>
            <w:tcW w:w="3040" w:type="dxa"/>
            <w:vAlign w:val="bottom"/>
            <w:gridSpan w:val="23"/>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9700" w:type="dxa"/>
            <w:vAlign w:val="bottom"/>
            <w:tcBorders>
              <w:bottom w:val="single" w:sz="8" w:color="0000EE"/>
            </w:tcBorders>
            <w:gridSpan w:val="24"/>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Description of Securities (filed as Exhibit 4.6 to the Company's Annual Report on Form 10-K filed on March 3, 2020 and incorporated</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herein by reference.</w:t>
              </w:r>
            </w:hyperlink>
          </w:p>
        </w:tc>
        <w:tc>
          <w:tcPr>
            <w:tcW w:w="8440" w:type="dxa"/>
            <w:vAlign w:val="bottom"/>
            <w:gridSpan w:val="29"/>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tcBorders>
              <w:bottom w:val="single" w:sz="8" w:color="0000FF"/>
            </w:tcBorders>
            <w:gridSpan w:val="24"/>
          </w:tcPr>
          <w:p>
            <w:pPr>
              <w:spacing w:after="0"/>
              <w:rPr>
                <w:rFonts w:ascii="Arial" w:cs="Arial" w:eastAsia="Arial" w:hAnsi="Arial"/>
                <w:sz w:val="18"/>
                <w:szCs w:val="18"/>
                <w:color w:val="0000FF"/>
                <w:w w:val="91"/>
              </w:rPr>
            </w:pPr>
            <w:hyperlink r:id="rId207">
              <w:r>
                <w:rPr>
                  <w:rFonts w:ascii="Arial" w:cs="Arial" w:eastAsia="Arial" w:hAnsi="Arial"/>
                  <w:sz w:val="18"/>
                  <w:szCs w:val="18"/>
                  <w:color w:val="0000FF"/>
                  <w:w w:val="91"/>
                </w:rPr>
                <w:t>Form of Employee Restricted Stock Grant Agreement pursuant to Euronet Worldwide, Inc. 2006 Stock Incentive Plan (filed as Exhibit</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7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r>
                <w:rPr>
                  <w:rFonts w:ascii="Arial" w:cs="Arial" w:eastAsia="Arial" w:hAnsi="Arial"/>
                  <w:sz w:val="18"/>
                  <w:szCs w:val="18"/>
                  <w:color w:val="0000FF"/>
                  <w:w w:val="90"/>
                </w:rPr>
                <w:t xml:space="preserve"> to the Company's Quarterly Report on Form 10-Q filed on August 4, 2006, and incorporated by reference herein) (2)</w:t>
              </w:r>
            </w:hyperlink>
          </w:p>
        </w:tc>
        <w:tc>
          <w:tcPr>
            <w:tcW w:w="1120" w:type="dxa"/>
            <w:vAlign w:val="bottom"/>
            <w:gridSpan w:val="20"/>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9440" w:type="dxa"/>
            <w:vAlign w:val="bottom"/>
            <w:tcBorders>
              <w:bottom w:val="single" w:sz="8" w:color="0000FF"/>
            </w:tcBorders>
            <w:gridSpan w:val="16"/>
          </w:tcPr>
          <w:p>
            <w:pPr>
              <w:spacing w:after="0"/>
              <w:rPr>
                <w:rFonts w:ascii="Arial" w:cs="Arial" w:eastAsia="Arial" w:hAnsi="Arial"/>
                <w:sz w:val="18"/>
                <w:szCs w:val="18"/>
                <w:color w:val="0000FF"/>
                <w:w w:val="91"/>
              </w:rPr>
            </w:pPr>
            <w:hyperlink r:id="rId208">
              <w:r>
                <w:rPr>
                  <w:rFonts w:ascii="Arial" w:cs="Arial" w:eastAsia="Arial" w:hAnsi="Arial"/>
                  <w:sz w:val="18"/>
                  <w:szCs w:val="18"/>
                  <w:color w:val="0000FF"/>
                  <w:w w:val="91"/>
                </w:rPr>
                <w:t>Form of Employee Restricted Stock Unit Agreement for Executives and Directors pursuant to Euronet Worldwide, Inc. 2006 Stock</w:t>
              </w:r>
            </w:hyperlink>
          </w:p>
        </w:tc>
        <w:tc>
          <w:tcPr>
            <w:tcW w:w="44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w w:val="95"/>
              </w:rPr>
            </w:pPr>
            <w:hyperlink r:id="rId208">
              <w:r>
                <w:rPr>
                  <w:rFonts w:ascii="Arial" w:cs="Arial" w:eastAsia="Arial" w:hAnsi="Arial"/>
                  <w:sz w:val="18"/>
                  <w:szCs w:val="18"/>
                  <w:color w:val="0000FF"/>
                  <w:w w:val="95"/>
                </w:rPr>
                <w:t>Incentive Plan (filed as Exhibit 10.39 to the Company's Annual Report on Form 10- K filed February 28, 2007, and incorporated by</w:t>
              </w:r>
            </w:hyperlink>
          </w:p>
        </w:tc>
      </w:tr>
      <w:tr>
        <w:trPr>
          <w:trHeight w:val="196"/>
        </w:trPr>
        <w:tc>
          <w:tcPr>
            <w:tcW w:w="13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08">
              <w:r>
                <w:rPr>
                  <w:rFonts w:ascii="Arial" w:cs="Arial" w:eastAsia="Arial" w:hAnsi="Arial"/>
                  <w:sz w:val="18"/>
                  <w:szCs w:val="18"/>
                  <w:color w:val="0000FF"/>
                  <w:w w:val="88"/>
                </w:rPr>
                <w:t>reference herein) (2)</w:t>
              </w:r>
            </w:hyperlink>
          </w:p>
        </w:tc>
        <w:tc>
          <w:tcPr>
            <w:tcW w:w="8000" w:type="dxa"/>
            <w:vAlign w:val="bottom"/>
            <w:tcBorders>
              <w:top w:val="single" w:sz="8" w:color="0000FF"/>
            </w:tcBorders>
            <w:gridSpan w:val="16"/>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9580" w:type="dxa"/>
            <w:vAlign w:val="bottom"/>
            <w:tcBorders>
              <w:bottom w:val="single" w:sz="8" w:color="0000FF"/>
            </w:tcBorders>
            <w:gridSpan w:val="19"/>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Employment Agreement dated June 19, 2007 between Euronet Worldwide, Inc. and Kevin J. Caponecchi (filed as Exhibit 10.1 to the</w:t>
              </w:r>
            </w:hyperlink>
          </w:p>
        </w:tc>
        <w:tc>
          <w:tcPr>
            <w:tcW w:w="30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Company's Current Report on Form 8-K filed on June 25, 2007, and incorporated by reference herein) (2)</w:t>
              </w:r>
            </w:hyperlink>
          </w:p>
        </w:tc>
        <w:tc>
          <w:tcPr>
            <w:tcW w:w="2260" w:type="dxa"/>
            <w:vAlign w:val="bottom"/>
            <w:gridSpan w:val="21"/>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30"/>
          </w:tcPr>
          <w:p>
            <w:pPr>
              <w:spacing w:after="0"/>
              <w:rPr>
                <w:rFonts w:ascii="Arial" w:cs="Arial" w:eastAsia="Arial" w:hAnsi="Arial"/>
                <w:sz w:val="18"/>
                <w:szCs w:val="18"/>
                <w:color w:val="0000FF"/>
                <w:w w:val="98"/>
              </w:rPr>
            </w:pPr>
            <w:hyperlink r:id="rId210">
              <w:r>
                <w:rPr>
                  <w:rFonts w:ascii="Arial" w:cs="Arial" w:eastAsia="Arial" w:hAnsi="Arial"/>
                  <w:sz w:val="18"/>
                  <w:szCs w:val="18"/>
                  <w:color w:val="0000FF"/>
                  <w:w w:val="98"/>
                </w:rPr>
                <w:t>Amended and Restated Employment Agreement dated April 10, 2008 between Euronet Worldwide, Inc. and Michael J. Brown,</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210">
              <w:r>
                <w:rPr>
                  <w:rFonts w:ascii="Arial" w:cs="Arial" w:eastAsia="Arial" w:hAnsi="Arial"/>
                  <w:sz w:val="18"/>
                  <w:szCs w:val="18"/>
                  <w:color w:val="0000FF"/>
                  <w:w w:val="92"/>
                </w:rPr>
                <w:t>Chairman and Chief Executive Officer (filed as Exhibit 10.3 to the Company's Quarterly Report on Form 10-Q filed on May 9, 2008,</w:t>
              </w:r>
            </w:hyperlink>
          </w:p>
        </w:tc>
        <w:tc>
          <w:tcPr>
            <w:tcW w:w="2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9700" w:type="dxa"/>
            <w:vAlign w:val="bottom"/>
            <w:tcBorders>
              <w:bottom w:val="single" w:sz="8" w:color="0000FF"/>
            </w:tcBorders>
            <w:gridSpan w:val="23"/>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Amended and Restated Employment Agreement dated April 10, 2008 between Euronet Worldwide, Inc. and Rick L. Weller, Executive</w:t>
              </w:r>
            </w:hyperlink>
          </w:p>
        </w:tc>
        <w:tc>
          <w:tcPr>
            <w:tcW w:w="1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Vice President and Chief Financial Officer (filed as Exhibit 10.4 to the Company's Quarterly Report on Form 10-Q filed on May 9, 2008,</w:t>
              </w:r>
            </w:hyperlink>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9800" w:type="dxa"/>
            <w:vAlign w:val="bottom"/>
            <w:tcBorders>
              <w:bottom w:val="single" w:sz="8" w:color="0000FF"/>
            </w:tcBorders>
            <w:gridSpan w:val="28"/>
          </w:tcPr>
          <w:p>
            <w:pPr>
              <w:spacing w:after="0"/>
              <w:rPr>
                <w:rFonts w:ascii="Arial" w:cs="Arial" w:eastAsia="Arial" w:hAnsi="Arial"/>
                <w:sz w:val="18"/>
                <w:szCs w:val="18"/>
                <w:color w:val="0000FF"/>
                <w:w w:val="90"/>
              </w:rPr>
            </w:pPr>
            <w:hyperlink r:id="rId212">
              <w:r>
                <w:rPr>
                  <w:rFonts w:ascii="Arial" w:cs="Arial" w:eastAsia="Arial" w:hAnsi="Arial"/>
                  <w:sz w:val="18"/>
                  <w:szCs w:val="18"/>
                  <w:color w:val="0000FF"/>
                  <w:w w:val="90"/>
                </w:rPr>
                <w:t>Amended and Restated Employment Agreement dated April 10, 2008 between Euronet Worldwide, Inc. and Juan C. Bianchi, Executive</w:t>
              </w:r>
            </w:hyperlink>
          </w:p>
        </w:tc>
        <w:tc>
          <w:tcPr>
            <w:tcW w:w="8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12">
              <w:r>
                <w:rPr>
                  <w:rFonts w:ascii="Arial" w:cs="Arial" w:eastAsia="Arial" w:hAnsi="Arial"/>
                  <w:sz w:val="18"/>
                  <w:szCs w:val="18"/>
                  <w:color w:val="0000FF"/>
                  <w:w w:val="91"/>
                </w:rPr>
                <w:t>Vice President and Managing Director, Money Transfer Segment (filed as Exhibit 10.6 to the Company's Quarterly Report on Form 10-</w:t>
              </w:r>
            </w:hyperlink>
          </w:p>
        </w:tc>
        <w:tc>
          <w:tcPr>
            <w:tcW w:w="1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12">
              <w:r>
                <w:rPr>
                  <w:rFonts w:ascii="Arial" w:cs="Arial" w:eastAsia="Arial" w:hAnsi="Arial"/>
                  <w:sz w:val="18"/>
                  <w:szCs w:val="18"/>
                  <w:color w:val="0000FF"/>
                  <w:w w:val="90"/>
                </w:rPr>
                <w:t>Q filed on May 9, 2008, and incorporated by reference herein) (2)</w:t>
              </w:r>
            </w:hyperlink>
          </w:p>
        </w:tc>
        <w:tc>
          <w:tcPr>
            <w:tcW w:w="5140" w:type="dxa"/>
            <w:vAlign w:val="bottom"/>
            <w:gridSpan w:val="25"/>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9880" w:type="dxa"/>
            <w:vAlign w:val="bottom"/>
            <w:gridSpan w:val="30"/>
          </w:tcPr>
          <w:p>
            <w:pPr>
              <w:spacing w:after="0"/>
              <w:rPr>
                <w:rFonts w:ascii="Arial" w:cs="Arial" w:eastAsia="Arial" w:hAnsi="Arial"/>
                <w:sz w:val="18"/>
                <w:szCs w:val="18"/>
                <w:color w:val="0000FF"/>
                <w:w w:val="93"/>
              </w:rPr>
            </w:pPr>
            <w:hyperlink r:id="rId213">
              <w:r>
                <w:rPr>
                  <w:rFonts w:ascii="Arial" w:cs="Arial" w:eastAsia="Arial" w:hAnsi="Arial"/>
                  <w:sz w:val="18"/>
                  <w:szCs w:val="18"/>
                  <w:color w:val="0000FF"/>
                  <w:w w:val="93"/>
                </w:rPr>
                <w:t>Form of Indemnification Agreement, (filed as Exhibit 10.1 to the Company's Current Report on Form 8-K filed on December 22, 2008,</w:t>
              </w:r>
            </w:hyperlink>
          </w:p>
        </w:tc>
      </w:tr>
      <w:tr>
        <w:trPr>
          <w:trHeight w:val="196"/>
        </w:trPr>
        <w:tc>
          <w:tcPr>
            <w:tcW w:w="1360" w:type="dxa"/>
            <w:vAlign w:val="bottom"/>
          </w:tcPr>
          <w:p>
            <w:pPr>
              <w:spacing w:after="0"/>
              <w:rPr>
                <w:sz w:val="17"/>
                <w:szCs w:val="17"/>
                <w:color w:val="auto"/>
              </w:rPr>
            </w:pPr>
          </w:p>
        </w:tc>
        <w:tc>
          <w:tcPr>
            <w:tcW w:w="97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and incorporated by reference herein)</w:t>
              </w:r>
            </w:hyperlink>
          </w:p>
        </w:tc>
        <w:tc>
          <w:tcPr>
            <w:tcW w:w="14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9660" w:type="dxa"/>
            <w:vAlign w:val="bottom"/>
            <w:tcBorders>
              <w:bottom w:val="single" w:sz="8" w:color="0000EE"/>
            </w:tcBorders>
            <w:gridSpan w:val="22"/>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Euronet Worldwide, Inc. 2006 Stock Incentive Plan, as amended and restated (filed as Appendix B to the Company's Definitive Proxy</w:t>
              </w:r>
            </w:hyperlink>
          </w:p>
        </w:tc>
        <w:tc>
          <w:tcPr>
            <w:tcW w:w="22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Statement filed on April 4, 2021, and incorporated by reference herein) (2)</w:t>
              </w:r>
            </w:hyperlink>
          </w:p>
        </w:tc>
        <w:tc>
          <w:tcPr>
            <w:tcW w:w="4500" w:type="dxa"/>
            <w:vAlign w:val="bottom"/>
            <w:gridSpan w:val="24"/>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FF"/>
            </w:tcBorders>
            <w:gridSpan w:val="29"/>
          </w:tcPr>
          <w:p>
            <w:pPr>
              <w:spacing w:after="0"/>
              <w:rPr>
                <w:rFonts w:ascii="Arial" w:cs="Arial" w:eastAsia="Arial" w:hAnsi="Arial"/>
                <w:sz w:val="18"/>
                <w:szCs w:val="18"/>
                <w:color w:val="0000FF"/>
                <w:w w:val="91"/>
              </w:rPr>
            </w:pPr>
            <w:hyperlink r:id="rId215">
              <w:r>
                <w:rPr>
                  <w:rFonts w:ascii="Arial" w:cs="Arial" w:eastAsia="Arial" w:hAnsi="Arial"/>
                  <w:sz w:val="18"/>
                  <w:szCs w:val="18"/>
                  <w:color w:val="0000FF"/>
                  <w:w w:val="91"/>
                </w:rPr>
                <w:t>Form of Employee Restricted Stock Unit Agreement, as amended, pursuant to Euronet Worldwide, Inc. 2006 Stock Incentive Plan (filed</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3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15">
              <w:r>
                <w:rPr>
                  <w:rFonts w:ascii="Arial" w:cs="Arial" w:eastAsia="Arial" w:hAnsi="Arial"/>
                  <w:sz w:val="18"/>
                  <w:szCs w:val="18"/>
                  <w:color w:val="0000FF"/>
                  <w:w w:val="91"/>
                </w:rPr>
                <w:t>as Exhibit 10.1 to the Company's Quarterly Report on Form 10-Q filed on May 7, 2010 and incorporated by reference herein) (2)</w:t>
              </w:r>
            </w:hyperlink>
          </w:p>
        </w:tc>
        <w:tc>
          <w:tcPr>
            <w:tcW w:w="580" w:type="dxa"/>
            <w:vAlign w:val="bottom"/>
            <w:gridSpan w:val="16"/>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640" w:type="dxa"/>
            <w:vAlign w:val="bottom"/>
            <w:tcBorders>
              <w:bottom w:val="single" w:sz="8" w:color="0000FF"/>
            </w:tcBorders>
            <w:gridSpan w:val="21"/>
          </w:tcPr>
          <w:p>
            <w:pPr>
              <w:spacing w:after="0"/>
              <w:rPr>
                <w:rFonts w:ascii="Arial" w:cs="Arial" w:eastAsia="Arial" w:hAnsi="Arial"/>
                <w:sz w:val="18"/>
                <w:szCs w:val="18"/>
                <w:color w:val="0000FF"/>
                <w:w w:val="91"/>
              </w:rPr>
            </w:pPr>
            <w:hyperlink r:id="rId216">
              <w:r>
                <w:rPr>
                  <w:rFonts w:ascii="Arial" w:cs="Arial" w:eastAsia="Arial" w:hAnsi="Arial"/>
                  <w:sz w:val="18"/>
                  <w:szCs w:val="18"/>
                  <w:color w:val="0000FF"/>
                  <w:w w:val="91"/>
                </w:rPr>
                <w:t>Form of Nonqualified Stock Option Agreement, as amended, pursuant to Euronet Worldwide, Inc. 2006 Stock Incentive Plan (filed as</w:t>
              </w:r>
            </w:hyperlink>
          </w:p>
        </w:tc>
        <w:tc>
          <w:tcPr>
            <w:tcW w:w="24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1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Exhibit 10.2 to the Company's Quarterly Report on Form 10-Q filed on May 7, 2010 and incorporated by reference herein) (2)</w:t>
              </w:r>
            </w:hyperlink>
          </w:p>
        </w:tc>
        <w:tc>
          <w:tcPr>
            <w:tcW w:w="780" w:type="dxa"/>
            <w:vAlign w:val="bottom"/>
            <w:gridSpan w:val="19"/>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10.11.1</w:t>
            </w:r>
          </w:p>
        </w:tc>
        <w:tc>
          <w:tcPr>
            <w:tcW w:w="9880" w:type="dxa"/>
            <w:vAlign w:val="bottom"/>
            <w:gridSpan w:val="30"/>
          </w:tcPr>
          <w:p>
            <w:pPr>
              <w:spacing w:after="0"/>
              <w:rPr>
                <w:rFonts w:ascii="Arial" w:cs="Arial" w:eastAsia="Arial" w:hAnsi="Arial"/>
                <w:sz w:val="18"/>
                <w:szCs w:val="18"/>
                <w:color w:val="0000FF"/>
                <w:w w:val="98"/>
              </w:rPr>
            </w:pPr>
            <w:hyperlink r:id="rId217">
              <w:r>
                <w:rPr>
                  <w:rFonts w:ascii="Arial" w:cs="Arial" w:eastAsia="Arial" w:hAnsi="Arial"/>
                  <w:sz w:val="18"/>
                  <w:szCs w:val="18"/>
                  <w:color w:val="0000FF"/>
                  <w:w w:val="98"/>
                </w:rPr>
                <w:t>Employment Agreement dated May 21, 2018 between Euronet Worldwide, Inc. and Nikos Fountas (filed as Exhibit 10.1 to the</w:t>
              </w:r>
            </w:hyperlink>
          </w:p>
        </w:tc>
      </w:tr>
      <w:tr>
        <w:trPr>
          <w:trHeight w:val="196"/>
        </w:trPr>
        <w:tc>
          <w:tcPr>
            <w:tcW w:w="136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Company's Current Report on Form 8-K filed on May 23, 2018 and incorporated by reference herein) (2)</w:t>
              </w:r>
            </w:hyperlink>
          </w:p>
        </w:tc>
        <w:tc>
          <w:tcPr>
            <w:tcW w:w="1580" w:type="dxa"/>
            <w:vAlign w:val="bottom"/>
            <w:tcBorders>
              <w:top w:val="single" w:sz="8" w:color="0000FF"/>
            </w:tcBorders>
            <w:gridSpan w:val="4"/>
          </w:tcPr>
          <w:p>
            <w:pPr>
              <w:spacing w:after="0"/>
              <w:rPr>
                <w:sz w:val="17"/>
                <w:szCs w:val="17"/>
                <w:color w:val="auto"/>
              </w:rPr>
            </w:pPr>
          </w:p>
        </w:tc>
        <w:tc>
          <w:tcPr>
            <w:tcW w:w="720" w:type="dxa"/>
            <w:vAlign w:val="bottom"/>
            <w:gridSpan w:val="18"/>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10.11.2</w:t>
            </w:r>
          </w:p>
        </w:tc>
        <w:tc>
          <w:tcPr>
            <w:tcW w:w="9360" w:type="dxa"/>
            <w:vAlign w:val="bottom"/>
            <w:tcBorders>
              <w:bottom w:val="single" w:sz="8" w:color="0000FF"/>
            </w:tcBorders>
            <w:gridSpan w:val="15"/>
          </w:tcPr>
          <w:p>
            <w:pPr>
              <w:spacing w:after="0"/>
              <w:rPr>
                <w:rFonts w:ascii="Arial" w:cs="Arial" w:eastAsia="Arial" w:hAnsi="Arial"/>
                <w:sz w:val="18"/>
                <w:szCs w:val="18"/>
                <w:color w:val="0000FF"/>
                <w:w w:val="90"/>
              </w:rPr>
            </w:pPr>
            <w:hyperlink r:id="rId218">
              <w:r>
                <w:rPr>
                  <w:rFonts w:ascii="Arial" w:cs="Arial" w:eastAsia="Arial" w:hAnsi="Arial"/>
                  <w:sz w:val="18"/>
                  <w:szCs w:val="18"/>
                  <w:color w:val="0000FF"/>
                  <w:w w:val="90"/>
                </w:rPr>
                <w:t>Deed of Amendment to the Service Agreement dated May 21, 2018 between Euronet Worldwide, Inc. and Nikos Fountas (filed as</w:t>
              </w:r>
            </w:hyperlink>
          </w:p>
        </w:tc>
        <w:tc>
          <w:tcPr>
            <w:tcW w:w="52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w w:val="97"/>
              </w:rPr>
            </w:pPr>
            <w:hyperlink r:id="rId218">
              <w:r>
                <w:rPr>
                  <w:rFonts w:ascii="Arial" w:cs="Arial" w:eastAsia="Arial" w:hAnsi="Arial"/>
                  <w:sz w:val="18"/>
                  <w:szCs w:val="18"/>
                  <w:color w:val="0000FF"/>
                  <w:w w:val="97"/>
                </w:rPr>
                <w:t>Exhibit 10.2 to the Company's Quarterly Report on Form 10-Q filed on August 3,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580" w:type="dxa"/>
            <w:vAlign w:val="bottom"/>
            <w:gridSpan w:val="10"/>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460" w:type="dxa"/>
            <w:vAlign w:val="bottom"/>
            <w:tcBorders>
              <w:bottom w:val="single" w:sz="8" w:color="0000FF"/>
            </w:tcBorders>
            <w:gridSpan w:val="17"/>
          </w:tcPr>
          <w:p>
            <w:pPr>
              <w:spacing w:after="0"/>
              <w:rPr>
                <w:rFonts w:ascii="Arial" w:cs="Arial" w:eastAsia="Arial" w:hAnsi="Arial"/>
                <w:sz w:val="18"/>
                <w:szCs w:val="18"/>
                <w:color w:val="0000FF"/>
                <w:w w:val="90"/>
              </w:rPr>
            </w:pPr>
            <w:hyperlink r:id="rId219">
              <w:r>
                <w:rPr>
                  <w:rFonts w:ascii="Arial" w:cs="Arial" w:eastAsia="Arial" w:hAnsi="Arial"/>
                  <w:sz w:val="18"/>
                  <w:szCs w:val="18"/>
                  <w:color w:val="0000FF"/>
                  <w:w w:val="90"/>
                </w:rPr>
                <w:t>Bonus Compensation Agreement between Euronet Worldwide, Inc. and Nikos Fountas, Senior Vice President - Managing Director,</w:t>
              </w:r>
            </w:hyperlink>
          </w:p>
        </w:tc>
        <w:tc>
          <w:tcPr>
            <w:tcW w:w="42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Europe EFT Processing Segment (filed as Exhibit 10.26 to the Company's Annual Report on Form 10-K filed on February 25, 2011 and</w:t>
              </w:r>
            </w:hyperlink>
          </w:p>
        </w:tc>
      </w:tr>
      <w:tr>
        <w:trPr>
          <w:trHeight w:val="196"/>
        </w:trPr>
        <w:tc>
          <w:tcPr>
            <w:tcW w:w="136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219">
              <w:r>
                <w:rPr>
                  <w:rFonts w:ascii="Arial" w:cs="Arial" w:eastAsia="Arial" w:hAnsi="Arial"/>
                  <w:sz w:val="18"/>
                  <w:szCs w:val="18"/>
                  <w:color w:val="0000FF"/>
                  <w:w w:val="90"/>
                </w:rPr>
                <w:t>incorporated by reference herein) (2)</w:t>
              </w:r>
            </w:hyperlink>
          </w:p>
        </w:tc>
        <w:tc>
          <w:tcPr>
            <w:tcW w:w="7080" w:type="dxa"/>
            <w:vAlign w:val="bottom"/>
            <w:tcBorders>
              <w:top w:val="single" w:sz="8" w:color="0000FF"/>
            </w:tcBorders>
            <w:gridSpan w:val="2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98"/>
        </w:trPr>
        <w:tc>
          <w:tcPr>
            <w:tcW w:w="1360" w:type="dxa"/>
            <w:vAlign w:val="bottom"/>
          </w:tcPr>
          <w:p>
            <w:pPr>
              <w:spacing w:after="0"/>
              <w:rPr>
                <w:sz w:val="24"/>
                <w:szCs w:val="24"/>
                <w:color w:val="auto"/>
              </w:rPr>
            </w:pPr>
          </w:p>
        </w:tc>
        <w:tc>
          <w:tcPr>
            <w:tcW w:w="4740" w:type="dxa"/>
            <w:vAlign w:val="bottom"/>
            <w:gridSpan w:val="5"/>
          </w:tcPr>
          <w:p>
            <w:pPr>
              <w:ind w:left="41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720" w:type="dxa"/>
            <w:vAlign w:val="bottom"/>
            <w:tcBorders>
              <w:bottom w:val="single" w:sz="8" w:color="0000FF"/>
            </w:tcBorders>
            <w:gridSpan w:val="16"/>
          </w:tcPr>
          <w:p>
            <w:pPr>
              <w:spacing w:after="0"/>
              <w:rPr>
                <w:rFonts w:ascii="Arial" w:cs="Arial" w:eastAsia="Arial" w:hAnsi="Arial"/>
                <w:sz w:val="18"/>
                <w:szCs w:val="18"/>
                <w:color w:val="0000FF"/>
                <w:w w:val="90"/>
              </w:rPr>
            </w:pPr>
            <w:hyperlink r:id="rId222">
              <w:r>
                <w:rPr>
                  <w:rFonts w:ascii="Arial" w:cs="Arial" w:eastAsia="Arial" w:hAnsi="Arial"/>
                  <w:sz w:val="18"/>
                  <w:szCs w:val="18"/>
                  <w:color w:val="0000FF"/>
                  <w:w w:val="90"/>
                </w:rPr>
                <w:t>Euronet Worldwide, Inc. Employee Stock Purchase Plan, as amended (filed as Exhibit 10.18 to the Company's Annual Report on Form</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10-K filed on February 26,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660" w:type="dxa"/>
            <w:vAlign w:val="bottom"/>
            <w:tcBorders>
              <w:bottom w:val="single" w:sz="8" w:color="0000FF"/>
            </w:tcBorders>
            <w:gridSpan w:val="15"/>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Euronet Worldwide, Inc. Executive Annual Incentive Plan, as amended and restated (filed as Appendix B to the Company's Definitive</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Proxy Statement on Form DEF 14A filed on April 8,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640" w:type="dxa"/>
            <w:vAlign w:val="bottom"/>
            <w:tcBorders>
              <w:bottom w:val="single" w:sz="8" w:color="0000FF"/>
            </w:tcBorders>
            <w:gridSpan w:val="14"/>
          </w:tcPr>
          <w:p>
            <w:pPr>
              <w:spacing w:after="0"/>
              <w:rPr>
                <w:rFonts w:ascii="Arial" w:cs="Arial" w:eastAsia="Arial" w:hAnsi="Arial"/>
                <w:sz w:val="18"/>
                <w:szCs w:val="18"/>
                <w:color w:val="0000FF"/>
                <w:w w:val="91"/>
              </w:rPr>
            </w:pPr>
            <w:hyperlink r:id="rId224">
              <w:r>
                <w:rPr>
                  <w:rFonts w:ascii="Arial" w:cs="Arial" w:eastAsia="Arial" w:hAnsi="Arial"/>
                  <w:sz w:val="18"/>
                  <w:szCs w:val="18"/>
                  <w:color w:val="0000FF"/>
                  <w:w w:val="91"/>
                </w:rPr>
                <w:t>Form of Nonqualified Stock Option Agreement, as amended, pursuant to Euronet Worldwide, Inc. 2006 Stock Incentive Plan (filed as</w:t>
              </w:r>
            </w:hyperlink>
          </w:p>
        </w:tc>
        <w:tc>
          <w:tcPr>
            <w:tcW w:w="24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Exhibit 10.19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820" w:type="dxa"/>
            <w:vAlign w:val="bottom"/>
            <w:tcBorders>
              <w:bottom w:val="single" w:sz="8" w:color="0000FF"/>
            </w:tcBorders>
            <w:gridSpan w:val="18"/>
          </w:tcPr>
          <w:p>
            <w:pPr>
              <w:spacing w:after="0"/>
              <w:rPr>
                <w:rFonts w:ascii="Arial" w:cs="Arial" w:eastAsia="Arial" w:hAnsi="Arial"/>
                <w:sz w:val="18"/>
                <w:szCs w:val="18"/>
                <w:color w:val="0000FF"/>
                <w:w w:val="91"/>
              </w:rPr>
            </w:pPr>
            <w:hyperlink r:id="rId225">
              <w:r>
                <w:rPr>
                  <w:rFonts w:ascii="Arial" w:cs="Arial" w:eastAsia="Arial" w:hAnsi="Arial"/>
                  <w:sz w:val="18"/>
                  <w:szCs w:val="18"/>
                  <w:color w:val="0000FF"/>
                  <w:w w:val="91"/>
                </w:rPr>
                <w:t>Form of Restricted Stock Unit Agreement, as amended, pursuant to Euronet Worldwide, Inc. 2006 Stock Incentive Plan (filed as Exhibit</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500" w:type="dxa"/>
            <w:vAlign w:val="bottom"/>
            <w:tcBorders>
              <w:bottom w:val="single" w:sz="8" w:color="0000EE"/>
            </w:tcBorders>
            <w:gridSpan w:val="12"/>
          </w:tcPr>
          <w:p>
            <w:pPr>
              <w:spacing w:after="0"/>
              <w:rPr>
                <w:rFonts w:ascii="Arial" w:cs="Arial" w:eastAsia="Arial" w:hAnsi="Arial"/>
                <w:sz w:val="18"/>
                <w:szCs w:val="18"/>
                <w:color w:val="0000EE"/>
                <w:w w:val="89"/>
              </w:rPr>
            </w:pPr>
            <w:hyperlink r:id="rId226">
              <w:r>
                <w:rPr>
                  <w:rFonts w:ascii="Arial" w:cs="Arial" w:eastAsia="Arial" w:hAnsi="Arial"/>
                  <w:sz w:val="18"/>
                  <w:szCs w:val="18"/>
                  <w:color w:val="0000EE"/>
                  <w:w w:val="89"/>
                </w:rPr>
                <w:t>Amended and Restated Credit Agreement dated as of October, 24, 2022 among Euronet Worldwide, Inc. and certain subsidiaries, as</w:t>
              </w:r>
            </w:hyperlink>
          </w:p>
        </w:tc>
        <w:tc>
          <w:tcPr>
            <w:tcW w:w="3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borrowers, certain subsidiaries, as guarantors, the lenders party thereto, Bank of America, N.A., as administrative agent, Wells Fargo</w:t>
              </w:r>
            </w:hyperlink>
          </w:p>
        </w:tc>
        <w:tc>
          <w:tcPr>
            <w:tcW w:w="3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Bank, National Association and U.S. Bank National Association, as co-syndication agents, et al. (filed as Exhibit 10.1 to the Company's</w:t>
              </w:r>
            </w:hyperlink>
          </w:p>
        </w:tc>
      </w:tr>
      <w:tr>
        <w:trPr>
          <w:trHeight w:val="196"/>
        </w:trPr>
        <w:tc>
          <w:tcPr>
            <w:tcW w:w="13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Current Report on Form 8-K filed on October 25, 2022 and incorporated by reference herein)</w:t>
              </w:r>
            </w:hyperlink>
          </w:p>
        </w:tc>
        <w:tc>
          <w:tcPr>
            <w:tcW w:w="306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2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Subsidiaries of the Registrant (1)</w:t>
            </w:r>
          </w:p>
        </w:tc>
        <w:tc>
          <w:tcPr>
            <w:tcW w:w="7500" w:type="dxa"/>
            <w:vAlign w:val="bottom"/>
            <w:gridSpan w:val="18"/>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45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Independent Registered Public Accounting Firm (1)</w:t>
            </w:r>
          </w:p>
        </w:tc>
        <w:tc>
          <w:tcPr>
            <w:tcW w:w="5300" w:type="dxa"/>
            <w:vAlign w:val="bottom"/>
            <w:gridSpan w:val="13"/>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42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3"/>
              </w:rPr>
              <w:t>Section 302 — Certification of Chief Executive Officer (1)</w:t>
            </w:r>
          </w:p>
        </w:tc>
        <w:tc>
          <w:tcPr>
            <w:tcW w:w="5620" w:type="dxa"/>
            <w:vAlign w:val="bottom"/>
            <w:gridSpan w:val="14"/>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19"/>
          </w:tcPr>
          <w:p>
            <w:pPr>
              <w:spacing w:after="0"/>
              <w:rPr>
                <w:sz w:val="20"/>
                <w:szCs w:val="20"/>
                <w:color w:val="auto"/>
              </w:rPr>
            </w:pPr>
            <w:r>
              <w:rPr>
                <w:rFonts w:ascii="Arial" w:cs="Arial" w:eastAsia="Arial" w:hAnsi="Arial"/>
                <w:sz w:val="18"/>
                <w:szCs w:val="18"/>
                <w:color w:val="0000EE"/>
              </w:rPr>
              <w:t>Section 302 — Certification of Chief Financial Officer (1)</w:t>
            </w: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42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97"/>
              </w:rPr>
              <w:t>Section 906 Certification of Chief Executive Officer (3)</w:t>
            </w:r>
          </w:p>
        </w:tc>
        <w:tc>
          <w:tcPr>
            <w:tcW w:w="5680" w:type="dxa"/>
            <w:vAlign w:val="bottom"/>
            <w:gridSpan w:val="15"/>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39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3"/>
              </w:rPr>
              <w:t>Section 906 Certification of Chief Financial Officer (3)</w:t>
            </w:r>
          </w:p>
        </w:tc>
        <w:tc>
          <w:tcPr>
            <w:tcW w:w="40" w:type="dxa"/>
            <w:vAlign w:val="bottom"/>
            <w:tcBorders>
              <w:top w:val="single" w:sz="8" w:color="0000EE"/>
            </w:tcBorders>
          </w:tcPr>
          <w:p>
            <w:pPr>
              <w:spacing w:after="0"/>
              <w:rPr>
                <w:sz w:val="24"/>
                <w:szCs w:val="24"/>
                <w:color w:val="auto"/>
              </w:rPr>
            </w:pPr>
          </w:p>
        </w:tc>
        <w:tc>
          <w:tcPr>
            <w:tcW w:w="5860" w:type="dxa"/>
            <w:vAlign w:val="bottom"/>
            <w:gridSpan w:val="16"/>
          </w:tcPr>
          <w:p>
            <w:pPr>
              <w:spacing w:after="0"/>
              <w:rPr>
                <w:sz w:val="24"/>
                <w:szCs w:val="24"/>
                <w:color w:val="auto"/>
              </w:rPr>
            </w:pPr>
          </w:p>
        </w:tc>
      </w:tr>
      <w:tr>
        <w:trPr>
          <w:trHeight w:val="438"/>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gridSpan w:val="19"/>
          </w:tcPr>
          <w:p>
            <w:pPr>
              <w:spacing w:after="0"/>
              <w:rPr>
                <w:sz w:val="20"/>
                <w:szCs w:val="20"/>
                <w:color w:val="auto"/>
              </w:rPr>
            </w:pPr>
            <w:r>
              <w:rPr>
                <w:rFonts w:ascii="Arial" w:cs="Arial" w:eastAsia="Arial" w:hAnsi="Arial"/>
                <w:sz w:val="18"/>
                <w:szCs w:val="18"/>
                <w:color w:val="auto"/>
                <w:w w:val="92"/>
              </w:rPr>
              <w:t>The following materials from Euronet Worldwide, Inc.’s Annual Report on Form 10-K for the year ended December 31, 2022, formatted</w:t>
            </w:r>
          </w:p>
        </w:tc>
      </w:tr>
      <w:tr>
        <w:trPr>
          <w:trHeight w:val="216"/>
        </w:trPr>
        <w:tc>
          <w:tcPr>
            <w:tcW w:w="1360" w:type="dxa"/>
            <w:vAlign w:val="bottom"/>
          </w:tcPr>
          <w:p>
            <w:pPr>
              <w:spacing w:after="0"/>
              <w:rPr>
                <w:sz w:val="18"/>
                <w:szCs w:val="18"/>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inline XBRL (eXtensible Business Reporting Language): (i) Consolidated Balance Sheets at December 31, 2022 and 2021,</w:t>
            </w:r>
          </w:p>
        </w:tc>
      </w:tr>
      <w:tr>
        <w:trPr>
          <w:trHeight w:val="216"/>
        </w:trPr>
        <w:tc>
          <w:tcPr>
            <w:tcW w:w="1360" w:type="dxa"/>
            <w:vAlign w:val="bottom"/>
          </w:tcPr>
          <w:p>
            <w:pPr>
              <w:spacing w:after="0"/>
              <w:rPr>
                <w:sz w:val="18"/>
                <w:szCs w:val="18"/>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w w:val="93"/>
              </w:rPr>
              <w:t>(ii) Consolidated Statements of Operations for the years ended December 31, 2022, 2021 and 2020, (iii) Consolidated Statements of</w:t>
            </w:r>
          </w:p>
        </w:tc>
      </w:tr>
      <w:tr>
        <w:trPr>
          <w:trHeight w:val="230"/>
        </w:trPr>
        <w:tc>
          <w:tcPr>
            <w:tcW w:w="1360" w:type="dxa"/>
            <w:vAlign w:val="bottom"/>
          </w:tcPr>
          <w:p>
            <w:pPr>
              <w:spacing w:after="0"/>
              <w:rPr>
                <w:sz w:val="20"/>
                <w:szCs w:val="20"/>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w w:val="93"/>
              </w:rPr>
              <w:t>Comprehensive (Loss) Income for the years ended December 31, 2022, 2021 and 2020, (iv) Consolidated Statements of Changes in</w:t>
            </w:r>
          </w:p>
        </w:tc>
      </w:tr>
    </w:tbl>
    <w:p>
      <w:pPr>
        <w:ind w:left="1360"/>
        <w:spacing w:after="0" w:line="260" w:lineRule="auto"/>
        <w:rPr>
          <w:sz w:val="20"/>
          <w:szCs w:val="20"/>
          <w:color w:val="auto"/>
        </w:rPr>
      </w:pPr>
      <w:r>
        <w:rPr>
          <w:rFonts w:ascii="Arial" w:cs="Arial" w:eastAsia="Arial" w:hAnsi="Arial"/>
          <w:sz w:val="18"/>
          <w:szCs w:val="18"/>
          <w:color w:val="auto"/>
        </w:rPr>
        <w:t>Equity for the years ended December 31, 2022, 2021 and 2020, (v) Consolidated Statements of Cash Flows for the years ended December 31, 2022, 2021 and 2020, and (vi) Notes to the Consolidated Financial Statements.</w:t>
      </w:r>
    </w:p>
    <w:p>
      <w:pPr>
        <w:spacing w:after="0" w:line="212" w:lineRule="exact"/>
        <w:rPr>
          <w:sz w:val="20"/>
          <w:szCs w:val="20"/>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(contained in Exhibit 101)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157" w:lineRule="exact"/>
        <w:rPr>
          <w:sz w:val="20"/>
          <w:szCs w:val="20"/>
          <w:color w:val="auto"/>
        </w:rPr>
      </w:pPr>
    </w:p>
    <w:p>
      <w:pPr>
        <w:ind w:left="460" w:hanging="425"/>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rFonts w:ascii="Arial" w:cs="Arial" w:eastAsia="Arial" w:hAnsi="Arial"/>
          <w:sz w:val="18"/>
          <w:szCs w:val="18"/>
          <w:color w:val="auto"/>
        </w:rPr>
      </w:pPr>
    </w:p>
    <w:p>
      <w:pPr>
        <w:ind w:left="460" w:hanging="412"/>
        <w:spacing w:after="0"/>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98" w:lineRule="exact"/>
        <w:rPr>
          <w:rFonts w:ascii="Arial" w:cs="Arial" w:eastAsia="Arial" w:hAnsi="Arial"/>
          <w:sz w:val="18"/>
          <w:szCs w:val="18"/>
          <w:color w:val="auto"/>
        </w:rPr>
      </w:pPr>
    </w:p>
    <w:p>
      <w:pPr>
        <w:ind w:left="460" w:hanging="412"/>
        <w:spacing w:after="0"/>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8" w:name="page109"/>
    <w:bookmarkEnd w:id="108"/>
    <w:p>
      <w:pPr>
        <w:jc w:val="both"/>
        <w:spacing w:after="0" w:line="287" w:lineRule="auto"/>
        <w:rPr>
          <w:sz w:val="20"/>
          <w:szCs w:val="20"/>
          <w:color w:val="auto"/>
        </w:rPr>
      </w:pPr>
      <w:r>
        <w:rPr>
          <w:rFonts w:ascii="Arial" w:cs="Arial" w:eastAsia="Arial" w:hAnsi="Arial"/>
          <w:sz w:val="16"/>
          <w:szCs w:val="16"/>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9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4201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00" w:type="dxa"/>
            <w:vAlign w:val="bottom"/>
            <w:gridSpan w:val="10"/>
          </w:tcPr>
          <w:p>
            <w:pPr>
              <w:spacing w:after="0"/>
              <w:rPr>
                <w:sz w:val="14"/>
                <w:szCs w:val="14"/>
                <w:color w:val="auto"/>
              </w:rPr>
            </w:pPr>
          </w:p>
        </w:tc>
        <w:tc>
          <w:tcPr>
            <w:tcW w:w="6620" w:type="dxa"/>
            <w:vAlign w:val="bottom"/>
            <w:gridSpan w:val="3"/>
          </w:tcPr>
          <w:p>
            <w:pPr>
              <w:ind w:left="3680"/>
              <w:spacing w:after="0"/>
              <w:rPr>
                <w:sz w:val="20"/>
                <w:szCs w:val="20"/>
                <w:color w:val="auto"/>
              </w:rPr>
            </w:pPr>
            <w:r>
              <w:rPr>
                <w:rFonts w:ascii="Arial" w:cs="Arial" w:eastAsia="Arial" w:hAnsi="Arial"/>
                <w:sz w:val="14"/>
                <w:szCs w:val="14"/>
                <w:b w:val="1"/>
                <w:bCs w:val="1"/>
                <w:color w:val="auto"/>
              </w:rPr>
              <w:t>Title</w:t>
            </w:r>
          </w:p>
        </w:tc>
      </w:tr>
      <w:tr>
        <w:trPr>
          <w:trHeight w:val="20"/>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85"/>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4"/>
          </w:tcPr>
          <w:p>
            <w:pPr>
              <w:jc w:val="center"/>
              <w:ind w:right="1060"/>
              <w:spacing w:after="0"/>
              <w:rPr>
                <w:sz w:val="20"/>
                <w:szCs w:val="20"/>
                <w:color w:val="auto"/>
              </w:rPr>
            </w:pPr>
            <w:r>
              <w:rPr>
                <w:rFonts w:ascii="Arial" w:cs="Arial" w:eastAsia="Arial" w:hAnsi="Arial"/>
                <w:sz w:val="18"/>
                <w:szCs w:val="18"/>
                <w:color w:val="auto"/>
                <w:w w:val="93"/>
              </w:rPr>
              <w:t>/s/ Michael J. Brown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92"/>
              </w:rPr>
              <w:t>Michael J. Brown</w:t>
            </w:r>
          </w:p>
        </w:tc>
        <w:tc>
          <w:tcPr>
            <w:tcW w:w="1060" w:type="dxa"/>
            <w:vAlign w:val="bottom"/>
            <w:gridSpan w:val="7"/>
          </w:tcPr>
          <w:p>
            <w:pPr>
              <w:spacing w:after="0"/>
              <w:rPr>
                <w:sz w:val="19"/>
                <w:szCs w:val="19"/>
                <w:color w:val="auto"/>
              </w:rPr>
            </w:pP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w w:val="93"/>
              </w:rPr>
              <w:t>Chairman of the Board of Directors, Chief Executive Officer, President and</w:t>
            </w: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 (principal executive officer)</w:t>
            </w:r>
          </w:p>
        </w:tc>
      </w:tr>
      <w:tr>
        <w:trPr>
          <w:trHeight w:val="311"/>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94"/>
              </w:rPr>
              <w:t>/s/ Rick L. Weller</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160" w:type="dxa"/>
            <w:vAlign w:val="bottom"/>
            <w:gridSpan w:val="9"/>
          </w:tcPr>
          <w:p>
            <w:pPr>
              <w:spacing w:after="0"/>
              <w:rPr>
                <w:sz w:val="19"/>
                <w:szCs w:val="19"/>
                <w:color w:val="auto"/>
              </w:rPr>
            </w:pP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w w:val="99"/>
              </w:rPr>
              <w:t>Chief Financial Officer and Chief Accounting Officer (principal financial</w:t>
            </w: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officer and principal accounting officer)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/s/ Paul S. Althasen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Paul S. Althasen</w:t>
            </w:r>
          </w:p>
        </w:tc>
        <w:tc>
          <w:tcPr>
            <w:tcW w:w="1100" w:type="dxa"/>
            <w:vAlign w:val="bottom"/>
            <w:gridSpan w:val="8"/>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14"/>
          </w:tcPr>
          <w:p>
            <w:pPr>
              <w:jc w:val="center"/>
              <w:ind w:right="20"/>
              <w:spacing w:after="0"/>
              <w:rPr>
                <w:sz w:val="20"/>
                <w:szCs w:val="20"/>
                <w:color w:val="auto"/>
              </w:rPr>
            </w:pPr>
            <w:r>
              <w:rPr>
                <w:rFonts w:ascii="Arial" w:cs="Arial" w:eastAsia="Arial" w:hAnsi="Arial"/>
                <w:sz w:val="18"/>
                <w:szCs w:val="18"/>
                <w:color w:val="auto"/>
                <w:w w:val="93"/>
              </w:rPr>
              <w:t>/s/ Andrzej Olechowski</w:t>
            </w:r>
          </w:p>
        </w:tc>
        <w:tc>
          <w:tcPr>
            <w:tcW w:w="940" w:type="dxa"/>
            <w:vAlign w:val="bottom"/>
            <w:gridSpan w:val="3"/>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gridSpan w:val="15"/>
          </w:tcPr>
          <w:p>
            <w:pPr>
              <w:jc w:val="center"/>
              <w:ind w:right="1000"/>
              <w:spacing w:after="0"/>
              <w:rPr>
                <w:sz w:val="20"/>
                <w:szCs w:val="20"/>
                <w:color w:val="auto"/>
              </w:rPr>
            </w:pPr>
            <w:r>
              <w:rPr>
                <w:rFonts w:ascii="Arial" w:cs="Arial" w:eastAsia="Arial" w:hAnsi="Arial"/>
                <w:sz w:val="18"/>
                <w:szCs w:val="18"/>
                <w:b w:val="1"/>
                <w:bCs w:val="1"/>
                <w:color w:val="auto"/>
                <w:w w:val="91"/>
              </w:rPr>
              <w:t>Andrzej Olechowski</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17"/>
          </w:tcPr>
          <w:p>
            <w:pPr>
              <w:jc w:val="center"/>
              <w:ind w:right="940"/>
              <w:spacing w:after="0"/>
              <w:rPr>
                <w:sz w:val="20"/>
                <w:szCs w:val="20"/>
                <w:color w:val="auto"/>
              </w:rPr>
            </w:pPr>
            <w:r>
              <w:rPr>
                <w:rFonts w:ascii="Arial" w:cs="Arial" w:eastAsia="Arial" w:hAnsi="Arial"/>
                <w:sz w:val="18"/>
                <w:szCs w:val="18"/>
                <w:color w:val="auto"/>
                <w:w w:val="93"/>
              </w:rPr>
              <w:t>/s/ Michael N. Frumkin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11"/>
          </w:tcPr>
          <w:p>
            <w:pPr>
              <w:jc w:val="center"/>
              <w:ind w:right="40"/>
              <w:spacing w:after="0"/>
              <w:rPr>
                <w:sz w:val="20"/>
                <w:szCs w:val="20"/>
                <w:color w:val="auto"/>
              </w:rPr>
            </w:pPr>
            <w:r>
              <w:rPr>
                <w:rFonts w:ascii="Arial" w:cs="Arial" w:eastAsia="Arial" w:hAnsi="Arial"/>
                <w:sz w:val="18"/>
                <w:szCs w:val="18"/>
                <w:b w:val="1"/>
                <w:bCs w:val="1"/>
                <w:color w:val="auto"/>
                <w:w w:val="94"/>
              </w:rPr>
              <w:t>Michael N. Frumkin</w:t>
            </w:r>
          </w:p>
        </w:tc>
        <w:tc>
          <w:tcPr>
            <w:tcW w:w="960" w:type="dxa"/>
            <w:vAlign w:val="bottom"/>
            <w:gridSpan w:val="4"/>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bottom w:val="single" w:sz="8" w:color="auto"/>
            </w:tcBorders>
            <w:gridSpan w:val="18"/>
          </w:tcPr>
          <w:p>
            <w:pPr>
              <w:jc w:val="center"/>
              <w:spacing w:after="0"/>
              <w:rPr>
                <w:sz w:val="20"/>
                <w:szCs w:val="20"/>
                <w:color w:val="auto"/>
              </w:rPr>
            </w:pPr>
            <w:r>
              <w:rPr>
                <w:rFonts w:ascii="Arial" w:cs="Arial" w:eastAsia="Arial" w:hAnsi="Arial"/>
                <w:sz w:val="18"/>
                <w:szCs w:val="18"/>
                <w:color w:val="auto"/>
                <w:w w:val="93"/>
              </w:rPr>
              <w:t>/s/ Thomas A. McDonnell</w:t>
            </w: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18"/>
          </w:tcPr>
          <w:p>
            <w:pPr>
              <w:jc w:val="center"/>
              <w:ind w:right="900"/>
              <w:spacing w:after="0"/>
              <w:rPr>
                <w:sz w:val="20"/>
                <w:szCs w:val="20"/>
                <w:color w:val="auto"/>
              </w:rPr>
            </w:pPr>
            <w:r>
              <w:rPr>
                <w:rFonts w:ascii="Arial" w:cs="Arial" w:eastAsia="Arial" w:hAnsi="Arial"/>
                <w:sz w:val="18"/>
                <w:szCs w:val="18"/>
                <w:b w:val="1"/>
                <w:bCs w:val="1"/>
                <w:color w:val="auto"/>
                <w:w w:val="91"/>
              </w:rPr>
              <w:t>Thomas A. McDonnell</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15"/>
          </w:tcPr>
          <w:p>
            <w:pPr>
              <w:jc w:val="center"/>
              <w:ind w:right="1000"/>
              <w:spacing w:after="0"/>
              <w:rPr>
                <w:sz w:val="20"/>
                <w:szCs w:val="20"/>
                <w:color w:val="auto"/>
              </w:rPr>
            </w:pPr>
            <w:r>
              <w:rPr>
                <w:rFonts w:ascii="Arial" w:cs="Arial" w:eastAsia="Arial" w:hAnsi="Arial"/>
                <w:sz w:val="18"/>
                <w:szCs w:val="18"/>
                <w:color w:val="auto"/>
                <w:w w:val="92"/>
              </w:rPr>
              <w:t>/s/ Andrew B. Schmitt</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9"/>
          </w:tcPr>
          <w:p>
            <w:pPr>
              <w:jc w:val="center"/>
              <w:ind w:right="40"/>
              <w:spacing w:after="0"/>
              <w:rPr>
                <w:sz w:val="20"/>
                <w:szCs w:val="20"/>
                <w:color w:val="auto"/>
              </w:rPr>
            </w:pPr>
            <w:r>
              <w:rPr>
                <w:rFonts w:ascii="Arial" w:cs="Arial" w:eastAsia="Arial" w:hAnsi="Arial"/>
                <w:sz w:val="18"/>
                <w:szCs w:val="18"/>
                <w:b w:val="1"/>
                <w:bCs w:val="1"/>
                <w:color w:val="auto"/>
                <w:w w:val="92"/>
              </w:rPr>
              <w:t>Andrew B. Schmitt</w:t>
            </w:r>
          </w:p>
        </w:tc>
        <w:tc>
          <w:tcPr>
            <w:tcW w:w="1000" w:type="dxa"/>
            <w:vAlign w:val="bottom"/>
            <w:gridSpan w:val="5"/>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760" w:type="dxa"/>
            <w:vAlign w:val="bottom"/>
            <w:gridSpan w:val="20"/>
          </w:tcPr>
          <w:p>
            <w:pPr>
              <w:jc w:val="center"/>
              <w:ind w:right="860"/>
              <w:spacing w:after="0"/>
              <w:rPr>
                <w:sz w:val="20"/>
                <w:szCs w:val="20"/>
                <w:color w:val="auto"/>
              </w:rPr>
            </w:pPr>
            <w:r>
              <w:rPr>
                <w:rFonts w:ascii="Arial" w:cs="Arial" w:eastAsia="Arial" w:hAnsi="Arial"/>
                <w:sz w:val="18"/>
                <w:szCs w:val="18"/>
                <w:color w:val="auto"/>
                <w:w w:val="90"/>
              </w:rPr>
              <w:t>/s/ M. Jeannine Strandjord</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18"/>
          </w:tcPr>
          <w:p>
            <w:pPr>
              <w:jc w:val="center"/>
              <w:spacing w:after="0"/>
              <w:rPr>
                <w:sz w:val="20"/>
                <w:szCs w:val="20"/>
                <w:color w:val="auto"/>
              </w:rPr>
            </w:pPr>
            <w:r>
              <w:rPr>
                <w:rFonts w:ascii="Arial" w:cs="Arial" w:eastAsia="Arial" w:hAnsi="Arial"/>
                <w:sz w:val="18"/>
                <w:szCs w:val="18"/>
                <w:b w:val="1"/>
                <w:bCs w:val="1"/>
                <w:color w:val="auto"/>
                <w:w w:val="92"/>
              </w:rPr>
              <w:t>M. Jeannine Strandjord</w:t>
            </w:r>
          </w:p>
        </w:tc>
        <w:tc>
          <w:tcPr>
            <w:tcW w:w="8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15"/>
          </w:tcPr>
          <w:p>
            <w:pPr>
              <w:jc w:val="center"/>
              <w:ind w:right="1000"/>
              <w:spacing w:after="0"/>
              <w:rPr>
                <w:sz w:val="20"/>
                <w:szCs w:val="20"/>
                <w:color w:val="auto"/>
              </w:rPr>
            </w:pPr>
            <w:r>
              <w:rPr>
                <w:rFonts w:ascii="Arial" w:cs="Arial" w:eastAsia="Arial" w:hAnsi="Arial"/>
                <w:sz w:val="18"/>
                <w:szCs w:val="18"/>
                <w:color w:val="auto"/>
                <w:w w:val="93"/>
              </w:rPr>
              <w:t>/s/ Mark R. Callegari</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5"/>
              </w:rPr>
              <w:t>Mark R. Callegari</w:t>
            </w:r>
          </w:p>
        </w:tc>
        <w:tc>
          <w:tcPr>
            <w:tcW w:w="1040" w:type="dxa"/>
            <w:vAlign w:val="bottom"/>
            <w:gridSpan w:val="6"/>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10"/>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18"/>
          </w:tcPr>
          <w:p>
            <w:pPr>
              <w:jc w:val="center"/>
              <w:ind w:right="920"/>
              <w:spacing w:after="0"/>
              <w:rPr>
                <w:sz w:val="20"/>
                <w:szCs w:val="20"/>
                <w:color w:val="auto"/>
              </w:rPr>
            </w:pPr>
            <w:r>
              <w:rPr>
                <w:rFonts w:ascii="Arial" w:cs="Arial" w:eastAsia="Arial" w:hAnsi="Arial"/>
                <w:sz w:val="18"/>
                <w:szCs w:val="18"/>
                <w:color w:val="auto"/>
                <w:w w:val="89"/>
              </w:rPr>
              <w:t>/s/ Ligia Torres Fentanes</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14"/>
          </w:tcPr>
          <w:p>
            <w:pPr>
              <w:jc w:val="center"/>
              <w:ind w:right="40"/>
              <w:spacing w:after="0"/>
              <w:rPr>
                <w:sz w:val="20"/>
                <w:szCs w:val="20"/>
                <w:color w:val="auto"/>
              </w:rPr>
            </w:pPr>
            <w:r>
              <w:rPr>
                <w:rFonts w:ascii="Arial" w:cs="Arial" w:eastAsia="Arial" w:hAnsi="Arial"/>
                <w:sz w:val="18"/>
                <w:szCs w:val="18"/>
                <w:b w:val="1"/>
                <w:bCs w:val="1"/>
                <w:color w:val="auto"/>
                <w:w w:val="89"/>
              </w:rPr>
              <w:t>Ligia Torres Fentanes</w:t>
            </w:r>
          </w:p>
        </w:tc>
        <w:tc>
          <w:tcPr>
            <w:tcW w:w="920" w:type="dxa"/>
            <w:vAlign w:val="bottom"/>
            <w:gridSpan w:val="2"/>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30"/>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gridSpan w:val="13"/>
          </w:tcPr>
          <w:p>
            <w:pPr>
              <w:jc w:val="center"/>
              <w:ind w:right="1100"/>
              <w:spacing w:after="0"/>
              <w:rPr>
                <w:sz w:val="20"/>
                <w:szCs w:val="20"/>
                <w:color w:val="auto"/>
              </w:rPr>
            </w:pPr>
            <w:r>
              <w:rPr>
                <w:rFonts w:ascii="Arial" w:cs="Arial" w:eastAsia="Arial" w:hAnsi="Arial"/>
                <w:sz w:val="18"/>
                <w:szCs w:val="18"/>
                <w:color w:val="auto"/>
                <w:w w:val="89"/>
              </w:rPr>
              <w:t>February 22, 2023</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378"/>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29"/>
        </w:trPr>
        <w:tc>
          <w:tcPr>
            <w:tcW w:w="1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Financial Services Austria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Taxfree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 Free France S.A.S.U.,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Taxfree Germany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Merchant Services Payment Institution Single Member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Easycash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Euronet 360 Payments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 Taxfree Ireland Limited, incorporated in Ireland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Italy S.R.L., incorporated in Italy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Japan KK, incorporated in Japan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Japan K.K., incorporated in Japan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Korea LLC, incorporated in Korea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Lithuania UAB, incorporated in Lithuania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Mexico Solutions, S. de R.L. de C.V., incorporated in Mexico</w:t>
      </w:r>
    </w:p>
    <w:p>
      <w:pPr>
        <w:spacing w:after="0" w:line="9" w:lineRule="exact"/>
        <w:rPr>
          <w:rFonts w:ascii="Arial" w:cs="Arial" w:eastAsia="Arial" w:hAnsi="Arial"/>
          <w:sz w:val="18"/>
          <w:szCs w:val="18"/>
          <w:color w:val="auto"/>
        </w:rPr>
      </w:pPr>
    </w:p>
    <w:p>
      <w:pPr>
        <w:ind w:left="348" w:hanging="348"/>
        <w:spacing w:after="0"/>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Mexico Payment Solutions, S. de R.L.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Transfers de Mexico, S. de R.L.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Hanco Automated Teller Machines Holdings B.V., incorporated in the Netherlands</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Hanco Automated Teller Machines Netherlands B.V., incorporated in the Netherlands</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XE Europe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Technology Services, Inc., incorporated in the Philippines</w:t>
      </w:r>
    </w:p>
    <w:p>
      <w:pPr>
        <w:spacing w:after="0" w:line="9" w:lineRule="exact"/>
        <w:rPr>
          <w:rFonts w:ascii="Arial" w:cs="Arial" w:eastAsia="Arial" w:hAnsi="Arial"/>
          <w:sz w:val="18"/>
          <w:szCs w:val="18"/>
          <w:color w:val="auto"/>
        </w:rPr>
      </w:pPr>
    </w:p>
    <w:p>
      <w:pPr>
        <w:ind w:left="348" w:hanging="348"/>
        <w:spacing w:after="0"/>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Money Transfer, Inc., incorporated in the Philippines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CT202 Spółka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MT101 Spółka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 Free Portugal Unipessoal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308" w:hanging="308"/>
        <w:spacing w:after="0"/>
        <w:tabs>
          <w:tab w:leader="none" w:pos="3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Singapore Pre. Ltd., incorporate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Singapore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Magazine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Group,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Spain,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9" w:lineRule="exact"/>
        <w:rPr>
          <w:rFonts w:ascii="Arial" w:cs="Arial" w:eastAsia="Arial" w:hAnsi="Arial"/>
          <w:sz w:val="18"/>
          <w:szCs w:val="18"/>
          <w:color w:val="auto"/>
        </w:rPr>
      </w:pPr>
    </w:p>
    <w:p>
      <w:pPr>
        <w:ind w:left="348" w:hanging="348"/>
        <w:spacing w:after="0"/>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Sikhona Forex (Pty) Limited, incorporated in South Africa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Turkey Ödeme Kuruluşu Anonim Sirketi, incorporated in Turkey</w:t>
      </w:r>
    </w:p>
    <w:p>
      <w:pPr>
        <w:spacing w:after="0" w:line="238" w:lineRule="exact"/>
        <w:rPr>
          <w:sz w:val="20"/>
          <w:szCs w:val="20"/>
          <w:color w:val="auto"/>
        </w:rPr>
      </w:pPr>
    </w:p>
    <w:p>
      <w:pPr>
        <w:ind w:left="524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79375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341" w:right="1440" w:bottom="1440" w:gutter="0" w:footer="0" w:header="0"/>
        </w:sectPr>
      </w:pPr>
    </w:p>
    <w:bookmarkStart w:id="112" w:name="page113"/>
    <w:bookmarkEnd w:id="112"/>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Universal Solution Providers FZ-LLC, incorporated in United Arab Emirates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HiFX Europe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 Free (UK)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Dolphin Debit Access, LLC, incorporated in Texas,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PaySpot,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Envia,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Vietnam Company Limited, incorporated in Vietnam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Euronet also had shareholdings in the following companies that are not wholly owned:</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85% is owned by Euronet Asia Holdings Limited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Infinitium Solutions Pvt. Ltd., incorporated in India, of which 65.09% is owned by Euronet Services India Pvt.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Euronet Pakistan (Pvt.) Limited, incorporated in Pakistan, incorporated in Pakistan, of which 70% is owned by Euronet Pakistan Holdings, Inc.</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95.05% is owned by Euronet Telerecarga S.L.U.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Card Services S.A. incorporated in Greece, of which 99.83%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PT Euronet Technologies Indonesia, incorporated in Indonesia of which 99.9%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 of which 99.5%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 of which 99.9% is owned by Telecomnet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Middle East WLL, incorporated in Bahrain of which 99.4%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Ukraine LLC incorporated in Ukraine, of which 99.92% is owned by EFT Services Holding B.V.</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epay Mexico, S. de R.L. de C.V., incorporated in Mexico, of which 99% is owned by EFT Services Holding B.V.</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MarkerTrax LLC incorporated in Nevada, incorporated in the U.S.A., of which 5% is owned by Euronet Worldwide, Inc.</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KOIN Mobile LLC incorporated in Nevada, incorporated in the U.S.A., of which 5% is owned by Euronet Worldwide, Inc.</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Latam ATM Solutions, S.L., incorporated in Spain, of which 51% is owned by EFT Services Holding B.V.</w:t>
      </w:r>
    </w:p>
    <w:p>
      <w:pPr>
        <w:sectPr>
          <w:pgSz w:w="11900" w:h="16838" w:orient="portrait"/>
          <w:cols w:equalWidth="0" w:num="1">
            <w:col w:w="10980"/>
          </w:cols>
          <w:pgMar w:left="320" w:top="341" w:right="5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(Nos. 333-84046, 333-105478, 333-111361, 333-117948, 333-128228,333-231252 and 333-264722) on Form S-3, (No. 333-116938) on Form S-4, and (Nos. 333-261016, 333-24539, 333-83555, 333-44890, 333-64634, 333-71766, 333-98013, 333-102875, 333-116920, 333-136485, 333-161245, 333-176238, and 333-190337) on Form S-8 of our report dated February 22, 2023, with respect to the consolidated financial statements of Euronet Worldwide, Inc. and the effectiveness of internal control over financial reporting.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121" w:right="339" w:bottom="1440" w:gutter="0" w:footer="0" w:header="0"/>
        </w:sectPr>
      </w:pPr>
    </w:p>
    <w:bookmarkStart w:id="114" w:name="page115"/>
    <w:bookmarkEnd w:id="114"/>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17" w:lineRule="exact"/>
        <w:rPr>
          <w:sz w:val="20"/>
          <w:szCs w:val="20"/>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225" w:lineRule="exact"/>
        <w:rPr>
          <w:rFonts w:ascii="Arial" w:cs="Arial" w:eastAsia="Arial" w:hAnsi="Arial"/>
          <w:sz w:val="18"/>
          <w:szCs w:val="18"/>
          <w:color w:val="auto"/>
        </w:rPr>
      </w:pPr>
    </w:p>
    <w:p>
      <w:pPr>
        <w:jc w:val="both"/>
        <w:ind w:left="340" w:hanging="331"/>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1"/>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hanging="323"/>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3"/>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3"/>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3"/>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20" w:hanging="211"/>
        <w:spacing w:after="0" w:line="308"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820" w:hanging="161"/>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820" w:right="1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279"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2" w:lineRule="exact"/>
        <w:rPr>
          <w:sz w:val="20"/>
          <w:szCs w:val="20"/>
          <w:color w:val="auto"/>
        </w:rPr>
      </w:pPr>
    </w:p>
    <w:p>
      <w:pPr>
        <w:ind w:left="340" w:hanging="29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333" w:lineRule="exact"/>
        <w:rPr>
          <w:rFonts w:ascii="Arial" w:cs="Arial" w:eastAsia="Arial" w:hAnsi="Arial"/>
          <w:sz w:val="18"/>
          <w:szCs w:val="18"/>
          <w:color w:val="auto"/>
        </w:rPr>
      </w:pPr>
    </w:p>
    <w:p>
      <w:pPr>
        <w:jc w:val="both"/>
        <w:ind w:left="340" w:right="40" w:hanging="290"/>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1" w:lineRule="exact"/>
        <w:rPr>
          <w:rFonts w:ascii="Arial" w:cs="Arial" w:eastAsia="Arial" w:hAnsi="Arial"/>
          <w:sz w:val="18"/>
          <w:szCs w:val="18"/>
          <w:color w:val="auto"/>
        </w:rPr>
      </w:pPr>
    </w:p>
    <w:p>
      <w:pPr>
        <w:ind w:left="340" w:right="40" w:hanging="290"/>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340" w:right="40" w:hanging="290"/>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Arial" w:cs="Arial" w:eastAsia="Arial" w:hAnsi="Arial"/>
          <w:sz w:val="18"/>
          <w:szCs w:val="18"/>
          <w:color w:val="auto"/>
        </w:rPr>
      </w:pPr>
    </w:p>
    <w:p>
      <w:pPr>
        <w:jc w:val="both"/>
        <w:ind w:left="800" w:right="40" w:hanging="273"/>
        <w:spacing w:after="0" w:line="263"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1" w:lineRule="exact"/>
        <w:rPr>
          <w:rFonts w:ascii="Arial" w:cs="Arial" w:eastAsia="Arial" w:hAnsi="Arial"/>
          <w:sz w:val="18"/>
          <w:szCs w:val="18"/>
          <w:color w:val="auto"/>
        </w:rPr>
      </w:pPr>
    </w:p>
    <w:p>
      <w:pPr>
        <w:jc w:val="both"/>
        <w:ind w:left="800" w:right="40" w:hanging="278"/>
        <w:spacing w:after="0" w:line="263"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1" w:lineRule="exact"/>
        <w:rPr>
          <w:rFonts w:ascii="Arial" w:cs="Arial" w:eastAsia="Arial" w:hAnsi="Arial"/>
          <w:sz w:val="18"/>
          <w:szCs w:val="18"/>
          <w:color w:val="auto"/>
        </w:rPr>
      </w:pPr>
    </w:p>
    <w:p>
      <w:pPr>
        <w:ind w:left="800" w:right="40" w:hanging="273"/>
        <w:spacing w:after="0" w:line="308" w:lineRule="auto"/>
        <w:tabs>
          <w:tab w:leader="none" w:pos="8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800" w:right="40" w:hanging="278"/>
        <w:spacing w:after="0" w:line="263"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1" w:lineRule="exact"/>
        <w:rPr>
          <w:rFonts w:ascii="Arial" w:cs="Arial" w:eastAsia="Arial" w:hAnsi="Arial"/>
          <w:sz w:val="18"/>
          <w:szCs w:val="18"/>
          <w:color w:val="auto"/>
        </w:rPr>
      </w:pPr>
    </w:p>
    <w:p>
      <w:pPr>
        <w:ind w:left="340" w:right="40" w:hanging="290"/>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800" w:right="40" w:hanging="273"/>
        <w:spacing w:after="0" w:line="277"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800" w:right="40" w:hanging="278"/>
        <w:spacing w:after="0" w:line="277" w:lineRule="auto"/>
        <w:tabs>
          <w:tab w:leader="none" w:pos="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387"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2022 as filed with the Securities and Exchange Commission on the date hereof (the “Report”), the undersigned hereby certifies, pursuant to 18 U.S.C. Section 1350, as adopted pursuant to Section 906 of the Sarbanes-Oxley Act of 2002, that:</w:t>
      </w:r>
    </w:p>
    <w:p>
      <w:pPr>
        <w:spacing w:after="0" w:line="76" w:lineRule="exact"/>
        <w:rPr>
          <w:sz w:val="20"/>
          <w:szCs w:val="20"/>
          <w:color w:val="auto"/>
        </w:rPr>
      </w:pPr>
    </w:p>
    <w:p>
      <w:pPr>
        <w:ind w:left="600" w:hanging="267"/>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46" w:lineRule="exact"/>
        <w:rPr>
          <w:rFonts w:ascii="Arial" w:cs="Arial" w:eastAsia="Arial" w:hAnsi="Arial"/>
          <w:sz w:val="18"/>
          <w:szCs w:val="18"/>
          <w:color w:val="auto"/>
        </w:rPr>
      </w:pPr>
    </w:p>
    <w:p>
      <w:pPr>
        <w:ind w:left="600" w:hanging="267"/>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2022 as filed with the Securities and Exchange Commission on the date hereof (the “Report”), the undersigned hereby certifies, pursuant to 18 U.S.C. Section 1350, as adopted pursuant to Section 906 of the Sarbanes-Oxley Act of 2002, that:</w:t>
      </w:r>
    </w:p>
    <w:p>
      <w:pPr>
        <w:spacing w:after="0" w:line="76" w:lineRule="exact"/>
        <w:rPr>
          <w:sz w:val="20"/>
          <w:szCs w:val="20"/>
          <w:color w:val="auto"/>
        </w:rPr>
      </w:pPr>
    </w:p>
    <w:p>
      <w:pPr>
        <w:ind w:left="660" w:hanging="32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69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emdash "/>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04"/>
    </w:lvl>
  </w:abstractNum>
  <w:abstractNum w:abstractNumId="14">
    <w:nsid w:val="7C83E458"/>
    <w:multiLevelType w:val="hybridMultilevel"/>
    <w:lvl w:ilvl="0">
      <w:lvlJc w:val="left"/>
      <w:lvlText w:val="(%1)"/>
      <w:numFmt w:val="decimal"/>
      <w:start w:val="1"/>
    </w:lvl>
    <w:lvl w:ilvl="1">
      <w:lvlJc w:val="left"/>
      <w:lvlText w:val="(%2)"/>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198" Type="http://schemas.openxmlformats.org/officeDocument/2006/relationships/hyperlink" Target="http://www.sec.gov/Archives/edgar/data/1029199/000101410809000126/ewi-ex32toform8k_8353998v3.htm" TargetMode="External"/><Relationship Id="rId199" Type="http://schemas.openxmlformats.org/officeDocument/2006/relationships/hyperlink" Target="http://www.sec.gov/Archives/edgar/data/1029199/000101410809000126/ewi-ex31toform8k_8353998v3.htm" TargetMode="External"/><Relationship Id="rId200" Type="http://schemas.openxmlformats.org/officeDocument/2006/relationships/hyperlink" Target="http://www.sec.gov/Archives/edgar/data/1029199/000101410813000094/ex31-certofrights.htm" TargetMode="External"/><Relationship Id="rId201" Type="http://schemas.openxmlformats.org/officeDocument/2006/relationships/hyperlink" Target="http://www.sec.gov/Archives/edgar/data/1029199/000102919917000004/exhibit32-amendedandrestat.htm" TargetMode="External"/><Relationship Id="rId202" Type="http://schemas.openxmlformats.org/officeDocument/2006/relationships/hyperlink" Target="http://www.sec.gov/Archives/edgar/data/1029199/000119312514398639/d817126dex41.htm" TargetMode="External"/><Relationship Id="rId203" Type="http://schemas.openxmlformats.org/officeDocument/2006/relationships/hyperlink" Target="http://www.sec.gov/Archives/edgar/data/1029199/000102919919000025/exhibit41indenture.htm" TargetMode="External"/><Relationship Id="rId206" Type="http://schemas.openxmlformats.org/officeDocument/2006/relationships/hyperlink" Target="http://www.sec.gov/Archives/edgar/data/1029199/000102919920000009/eeft12312019ex46.htm" TargetMode="External"/><Relationship Id="rId207" Type="http://schemas.openxmlformats.org/officeDocument/2006/relationships/hyperlink" Target="http://www.sec.gov/Archives/edgar/data/1029199/000095013706008670/c07036exv10w8.htm" TargetMode="External"/><Relationship Id="rId208" Type="http://schemas.openxmlformats.org/officeDocument/2006/relationships/hyperlink" Target="http://www.sec.gov/Archives/edgar/data/1029199/000095013707002990/c11971exv10w39.htm" TargetMode="External"/><Relationship Id="rId209" Type="http://schemas.openxmlformats.org/officeDocument/2006/relationships/hyperlink" Target="http://www.sec.gov/Archives/edgar/data/1029199/000101410807000144/ewi-ex101toform8k_7640045.htm" TargetMode="External"/><Relationship Id="rId210" Type="http://schemas.openxmlformats.org/officeDocument/2006/relationships/hyperlink" Target="http://www.sec.gov/Archives/edgar/data/1029199/000095013708007169/c26311exv10w3.htm" TargetMode="External"/><Relationship Id="rId211" Type="http://schemas.openxmlformats.org/officeDocument/2006/relationships/hyperlink" Target="http://www.sec.gov/Archives/edgar/data/1029199/000095013708007169/c26311exv10w4.htm" TargetMode="External"/><Relationship Id="rId212" Type="http://schemas.openxmlformats.org/officeDocument/2006/relationships/hyperlink" Target="http://www.sec.gov/Archives/edgar/data/1029199/000095013708007169/c26311exv10w6.htm" TargetMode="External"/><Relationship Id="rId213" Type="http://schemas.openxmlformats.org/officeDocument/2006/relationships/hyperlink" Target="http://www.sec.gov/Archives/edgar/data/1029199/000095015208010588/c48372exv10w1.htm" TargetMode="External"/><Relationship Id="rId214" Type="http://schemas.openxmlformats.org/officeDocument/2006/relationships/hyperlink" Target="http://www.sec.gov/Archives/edgar/data/1029199/000121390021020144/MainDocument.htm" TargetMode="External"/><Relationship Id="rId215" Type="http://schemas.openxmlformats.org/officeDocument/2006/relationships/hyperlink" Target="http://www.sec.gov/Archives/edgar/data/1029199/000095012310046071/c57991exv10w1.htm" TargetMode="External"/><Relationship Id="rId216" Type="http://schemas.openxmlformats.org/officeDocument/2006/relationships/hyperlink" Target="http://www.sec.gov/Archives/edgar/data/1029199/000095012310046071/c57991exv10w2.htm" TargetMode="External"/><Relationship Id="rId217" Type="http://schemas.openxmlformats.org/officeDocument/2006/relationships/hyperlink" Target="http://www.sec.gov/Archives/edgar/data/1029199/000095012311018840/c61623exv10w25.htm" TargetMode="External"/><Relationship Id="rId218" Type="http://schemas.openxmlformats.org/officeDocument/2006/relationships/hyperlink" Target="http://www.sec.gov/Archives/edgar/data/1029199/000102919917000080/exhibit101nikosfountasempl.htm" TargetMode="External"/><Relationship Id="rId219" Type="http://schemas.openxmlformats.org/officeDocument/2006/relationships/hyperlink" Target="http://www.sec.gov/Archives/edgar/data/1029199/000095012311018840/c61623exv10w26.htm" TargetMode="External"/><Relationship Id="rId222" Type="http://schemas.openxmlformats.org/officeDocument/2006/relationships/hyperlink" Target="http://www.sec.gov/Archives/edgar/data/1029199/000102919916000143/eeft12312015ex1018.htm" TargetMode="External"/><Relationship Id="rId223" Type="http://schemas.openxmlformats.org/officeDocument/2006/relationships/hyperlink" Target="http://www.sec.gov/Archives/edgar/data/1029199/000102919916000159/def14aproxystatement-2016.htm" TargetMode="External"/><Relationship Id="rId224" Type="http://schemas.openxmlformats.org/officeDocument/2006/relationships/hyperlink" Target="http://www.sec.gov/Archives/edgar/data/1029199/000102919918000015/eeft12312017ex1019.htm" TargetMode="External"/><Relationship Id="rId225" Type="http://schemas.openxmlformats.org/officeDocument/2006/relationships/hyperlink" Target="http://www.sec.gov/Archives/edgar/data/1029199/000102919918000015/eeft12312017ex1020.htm" TargetMode="External"/><Relationship Id="rId226" Type="http://schemas.openxmlformats.org/officeDocument/2006/relationships/hyperlink" Target="http://www.sec.gov/Archives/edgar/data/1029199/000121390022065935/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2023-02-22T17:51:40Z</dcterms:created>
  <dcterms:modified xsi:type="dcterms:W3CDTF">2023-02-22T17:51:40Z</dcterms:modified>
</cp:coreProperties>
</file>