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00"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1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001-31648</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EURONET WORLDWIDE,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1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5"/>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Leawood, Kansas</w:t>
            </w:r>
          </w:p>
        </w:tc>
        <w:tc>
          <w:tcPr>
            <w:tcW w:w="3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9" w:lineRule="exact"/>
        <w:rPr>
          <w:sz w:val="24"/>
          <w:szCs w:val="24"/>
          <w:color w:val="auto"/>
        </w:rPr>
      </w:pPr>
    </w:p>
    <w:p>
      <w:pPr>
        <w:ind w:right="420"/>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6"/>
          <w:szCs w:val="16"/>
          <w:color w:val="auto"/>
        </w:rPr>
        <w:t>o</w:t>
      </w:r>
    </w:p>
    <w:p>
      <w:pPr>
        <w:spacing w:after="0" w:line="96"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0" w:lineRule="exact"/>
        <w:rPr>
          <w:sz w:val="24"/>
          <w:szCs w:val="24"/>
          <w:color w:val="auto"/>
        </w:rPr>
      </w:pPr>
    </w:p>
    <w:p>
      <w:pPr>
        <w:spacing w:after="0" w:line="27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April 27, 2015, Euronet Worldwide, Inc. had 51,878,731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189230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2"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237"/>
        </w:trPr>
        <w:tc>
          <w:tcPr>
            <w:tcW w:w="2920" w:type="dxa"/>
            <w:vAlign w:val="bottom"/>
            <w:tcBorders>
              <w:bottom w:val="single" w:sz="8" w:color="0000EE"/>
            </w:tcBorders>
            <w:gridSpan w:val="10"/>
          </w:tcPr>
          <w:p>
            <w:pPr>
              <w:spacing w:after="0"/>
              <w:rPr>
                <w:rFonts w:ascii="Times New Roman" w:cs="Times New Roman" w:eastAsia="Times New Roman" w:hAnsi="Times New Roman"/>
                <w:sz w:val="17"/>
                <w:szCs w:val="17"/>
                <w:b w:val="1"/>
                <w:bCs w:val="1"/>
                <w:color w:val="0000EE"/>
                <w:w w:val="96"/>
              </w:rPr>
            </w:pPr>
            <w:hyperlink w:anchor="page2">
              <w:r>
                <w:rPr>
                  <w:rFonts w:ascii="Times New Roman" w:cs="Times New Roman" w:eastAsia="Times New Roman" w:hAnsi="Times New Roman"/>
                  <w:sz w:val="17"/>
                  <w:szCs w:val="17"/>
                  <w:b w:val="1"/>
                  <w:bCs w:val="1"/>
                  <w:color w:val="0000EE"/>
                  <w:w w:val="96"/>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w:t>
            </w: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 (unaudited)</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Balance Sheets as of March 31, 2015 and December 31, 2014</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Consolidated Statements of Income for the Three Months Ended March 31, 2015 and 2014</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200" w:type="dxa"/>
            <w:vAlign w:val="bottom"/>
            <w:tcBorders>
              <w:bottom w:val="single" w:sz="8" w:color="0000EE"/>
            </w:tcBorders>
            <w:gridSpan w:val="3"/>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0" w:type="dxa"/>
            <w:vAlign w:val="bottom"/>
            <w:gridSpan w:val="1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Statements of Comprehensive Income (Loss) for the Three Months Ended March 31, 2015 and 2014</w:t>
              </w:r>
            </w:hyperlink>
          </w:p>
        </w:tc>
        <w:tc>
          <w:tcPr>
            <w:tcW w:w="2220" w:type="dxa"/>
            <w:vAlign w:val="bottom"/>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0" w:type="dxa"/>
            <w:vAlign w:val="bottom"/>
            <w:gridSpan w:val="14"/>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Cash Flows for the Three Months Ended March 31, 2015 and 2014</w:t>
              </w:r>
            </w:hyperlink>
          </w:p>
        </w:tc>
        <w:tc>
          <w:tcPr>
            <w:tcW w:w="2220" w:type="dxa"/>
            <w:vAlign w:val="bottom"/>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3"/>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Notes to the Unaudited Consolidated Financial Statements</w:t>
              </w:r>
            </w:hyperlink>
          </w:p>
        </w:tc>
        <w:tc>
          <w:tcPr>
            <w:tcW w:w="3460" w:type="dxa"/>
            <w:vAlign w:val="bottom"/>
            <w:gridSpan w:val="2"/>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Times New Roman" w:cs="Times New Roman" w:eastAsia="Times New Roman" w:hAnsi="Times New Roman"/>
                <w:sz w:val="16"/>
                <w:szCs w:val="16"/>
                <w:color w:val="0000EE"/>
              </w:rPr>
            </w:pPr>
            <w:hyperlink w:anchor="page16">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17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w w:val="99"/>
              </w:rPr>
            </w:pPr>
            <w:hyperlink w:anchor="page32">
              <w:r>
                <w:rPr>
                  <w:rFonts w:ascii="Times New Roman" w:cs="Times New Roman" w:eastAsia="Times New Roman" w:hAnsi="Times New Roman"/>
                  <w:sz w:val="16"/>
                  <w:szCs w:val="16"/>
                  <w:color w:val="0000EE"/>
                  <w:w w:val="99"/>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33</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34</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Times New Roman" w:cs="Times New Roman" w:eastAsia="Times New Roman" w:hAnsi="Times New Roman"/>
                <w:sz w:val="17"/>
                <w:szCs w:val="17"/>
                <w:b w:val="1"/>
                <w:bCs w:val="1"/>
                <w:color w:val="0000EE"/>
                <w:w w:val="95"/>
              </w:rPr>
            </w:pPr>
            <w:hyperlink w:anchor="page34">
              <w:r>
                <w:rPr>
                  <w:rFonts w:ascii="Times New Roman" w:cs="Times New Roman" w:eastAsia="Times New Roman" w:hAnsi="Times New Roman"/>
                  <w:sz w:val="17"/>
                  <w:szCs w:val="17"/>
                  <w:b w:val="1"/>
                  <w:bCs w:val="1"/>
                  <w:color w:val="0000EE"/>
                  <w:w w:val="95"/>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Times New Roman" w:cs="Times New Roman" w:eastAsia="Times New Roman" w:hAnsi="Times New Roman"/>
                <w:sz w:val="16"/>
                <w:szCs w:val="16"/>
                <w:color w:val="0000EE"/>
                <w:w w:val="99"/>
              </w:rPr>
            </w:pPr>
            <w:hyperlink w:anchor="page34">
              <w:r>
                <w:rPr>
                  <w:rFonts w:ascii="Times New Roman" w:cs="Times New Roman" w:eastAsia="Times New Roman" w:hAnsi="Times New Roman"/>
                  <w:sz w:val="16"/>
                  <w:szCs w:val="16"/>
                  <w:color w:val="0000EE"/>
                  <w:w w:val="9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34</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1A.</w:t>
            </w: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Risk Factors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35</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Unregistered Sales of Equity Securities and Use of Proceeds</w:t>
              </w:r>
            </w:hyperlink>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35</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36</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Times New Roman" w:cs="Times New Roman" w:eastAsia="Times New Roman" w:hAnsi="Times New Roman"/>
                <w:sz w:val="16"/>
                <w:szCs w:val="16"/>
                <w:color w:val="0000EE"/>
                <w:w w:val="97"/>
              </w:rPr>
            </w:pPr>
            <w:hyperlink w:anchor="page36">
              <w:r>
                <w:rPr>
                  <w:rFonts w:ascii="Times New Roman" w:cs="Times New Roman" w:eastAsia="Times New Roman" w:hAnsi="Times New Roman"/>
                  <w:sz w:val="16"/>
                  <w:szCs w:val="16"/>
                  <w:color w:val="0000EE"/>
                  <w:w w:val="97"/>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Times New Roman" w:cs="Times New Roman" w:eastAsia="Times New Roman" w:hAnsi="Times New Roman"/>
                <w:sz w:val="17"/>
                <w:szCs w:val="17"/>
                <w:color w:val="0000EE"/>
              </w:rPr>
            </w:pPr>
            <w:hyperlink w:anchor="page36">
              <w:r>
                <w:rPr>
                  <w:rFonts w:ascii="Times New Roman" w:cs="Times New Roman" w:eastAsia="Times New Roman" w:hAnsi="Times New Roman"/>
                  <w:sz w:val="17"/>
                  <w:szCs w:val="17"/>
                  <w:color w:val="0000EE"/>
                </w:rPr>
                <w:t>37</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0" w:right="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468,010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85,675</w:t>
            </w:r>
          </w:p>
        </w:tc>
        <w:tc>
          <w:tcPr>
            <w:tcW w:w="0" w:type="dxa"/>
            <w:vAlign w:val="bottom"/>
          </w:tcPr>
          <w:p>
            <w:pPr>
              <w:spacing w:after="0"/>
              <w:rPr>
                <w:sz w:val="1"/>
                <w:szCs w:val="1"/>
                <w:color w:val="auto"/>
              </w:rPr>
            </w:pP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allowances for doubtful accounts of $19,503 at March 31, 2015 and $20,546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2014</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375,579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147,954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108,624</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1,036,098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1,105,916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$233,414 at March 31, 2015 and $239,607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121,775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125,307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560,747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599,863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$114,790 at March 31, 2015 and $113,153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144,270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158,267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$31,837 at March 31, 2015 and $30,276 at December 31, 2014</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1,923,037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318,535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445,984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336,361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33,916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768,069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848,881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1,237,574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1,318,747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56,804,302 issued at March 31, 2015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56,464,187 issued at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961,481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955,715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4,950,682 shares at March 31, 2015 and 4,867,420 shares at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683,621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730,753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685,463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732,812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1,923,037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20"/>
          </w:cols>
          <w:pgMar w:left="240" w:top="121" w:right="239" w:bottom="30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306"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6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353,315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226,338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53,574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32,871</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16,150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362,999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328,933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24,382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21,657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15,933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16,022</w:t>
            </w: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51,673,160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50,788,219</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53,625,641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52,763,650</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61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See accompanying notes to the unaudited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59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INCOME (LOSS) (Unaudited, in thousands)</w:t>
      </w:r>
    </w:p>
    <w:p>
      <w:pPr>
        <w:spacing w:after="0" w:line="33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15,933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19,132</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income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19,220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 PINs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75,110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r>
      <w:tr>
        <w:trPr>
          <w:trHeight w:val="237"/>
        </w:trPr>
        <w:tc>
          <w:tcPr>
            <w:tcW w:w="8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413,913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short-term debt obligations,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39,804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82,474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480,712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292,300</w:t>
            </w:r>
          </w:p>
        </w:tc>
      </w:tr>
      <w:tr>
        <w:trPr>
          <w:trHeight w:val="284"/>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8,207</w:t>
            </w: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March 31, 2015, the results of its operations for the three months ended March 31, 2015 and 2014 and cash flows for the three months ended March 31, 2015 and 2014. The unaudited consolidated financial statements should be read in conjunction with the audited consolidated financial statements of the Company for the year ended December 31, 2014, including the notes thereto, set forth in the Company’s 2014 Annual Report on Form 10-K. Certain amounts in prior years have been reclassified to conform to the current year's presentation.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Euronet’s EFT Processing Segment experiences its heaviest demand for dynamic currency conversion services during the third quarter of the fiscal year, coinciding with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Accounting Standards Update No.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("ASU 2015-03"), which requires that transaction costs related to the issuance of debt be deducted from the carrying value of the financial liability and not recorded as separate assets. ASU 2015-03 will become effective for the Company on January 1, 2016 and early adoption is permitted. The guidance is to be applied on a retrospective basis. Euronet has debt issuance costs which will be reclassified upon adoption of the guidance, but it is not expected to have a significant impact on the Company's financial position and it will have no impact upon the Company's results of operations or cash flows.</w:t>
      </w:r>
    </w:p>
    <w:p>
      <w:pPr>
        <w:spacing w:after="0" w:line="72"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In April 2015, the FASB voted for a one-year deferral of the effective of the new revenue recognition standard. If approved, the new standard will become effective for the Company on January 1, 2018 and early adoption is not permitted. The standard permits the use of either the retrospective or cumulative effect transition method. The Company is evaluating the effect that ASU 2014-09 will have on its consolidated financial statements and related disclosures.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selected a transition method nor has it determined the effect of the standard on its ongoing financial reporting.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40"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51,673,160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50,788,219</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1,952,481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1,975,431</w:t>
            </w:r>
          </w:p>
        </w:tc>
      </w:tr>
      <w:tr>
        <w:trPr>
          <w:trHeight w:val="25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53,625,641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52,763,650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table includes the impact of all stock options and restricted stock that are dilutive to the Company’s weighted average common shares outstanding during the three months ended March 31, 2015 and 2014. The calculation of diluted earnings per share excludes stock options or shares of restricted stock that are anti-dilutive to the Company’s weighted average common shares outstanding of approximately 991,000 and 763,000 for the three months ended March 31, 2015 and 2014, respectively.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March 31, 2015, the Company had convertible notes outstanding that, if converted, would have had a potentially dilutive effect on its common stock. At issuance, the Company stated its intent to settle any conversion of these notes by paying cash for the principal value and issuing common stock for any conversion value in excess of the principal value. As of March 31, 2015,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Accounting Standards Codification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these notes were not dilutive to earnings per share for the three months ended March 31, 2015. See Note 6, Debt Obligations, for more information about the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consists entirely of foreign currency translation adjustments. The Company recorded a foreign currency translation loss of $55.3 million and a gain of $3.2 million for the three months ended March 31, 2015 and 2014, respectively. There were no reclassifications of foreign currency translation into the consolidated statements of income for the three months ended March 31, 2015 and 2014.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three months ended March 31, 2015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7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95"/>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158,267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599,863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758,130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144,270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560,747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705,017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Estimated amortization expense on intangible assets with finite lives, before income taxes, as of March 31, 2015, is expected to total $14.3 million for the remainder of 2015, $19.0 million for 2016, $17.1 million for 2017, $15.0 million for 2018, $14.3 million for 2019 and $13.9 million for 2020.</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annual goodwill impairment test is performed during the fourth quarter of its fiscal year. The annual impairment test for the year ended December 31, 2014 resulted in no impairment charge.</w:t>
      </w:r>
    </w:p>
    <w:p>
      <w:pPr>
        <w:spacing w:after="0" w:line="54"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2014 annual impairment test could change, which may result in the Company recording material non-cash impairment charges during the year in which these changes take place.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340" w:type="dxa"/>
            <w:vAlign w:val="bottom"/>
            <w:tcBorders>
              <w:bottom w:val="single" w:sz="8" w:color="auto"/>
            </w:tcBorders>
            <w:vMerge w:val="continue"/>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900" w:type="dxa"/>
            <w:vAlign w:val="bottom"/>
            <w:tcBorders>
              <w:bottom w:val="single" w:sz="8" w:color="CCEEFF"/>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137,543</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transfer settlement obligations</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96,795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amounts due to mobile operators and other content providers</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64,839</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36,439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7"/>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392,834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336,361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52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obligation activity for the three months ended March 31, 2015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80" w:type="dxa"/>
            <w:vAlign w:val="bottom"/>
          </w:tcPr>
          <w:p>
            <w:pPr>
              <w:spacing w:after="0"/>
              <w:rPr>
                <w:sz w:val="12"/>
                <w:szCs w:val="12"/>
                <w:color w:val="auto"/>
              </w:rPr>
            </w:pPr>
          </w:p>
        </w:tc>
        <w:tc>
          <w:tcPr>
            <w:tcW w:w="10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Term Loan A</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Due 2044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337,986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425,888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lease interest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(gain)</w:t>
            </w: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340,411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427,502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 current maturities</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obligations as of March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340,411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414,863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2015, the Company had a $675 million senior secured credit facility (the "Credit Facility") consisting of a $600 million revolving credit facility and a $75 million term loan ("Term Loan A"), which had been reduced to $71.2 million through principal amortization payments. The Credit Facility expires April 9, 2019.</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Interest on borrowings under the revolving credit facility and Term Loan A varies based upon the Company's consolidated total leverage ratio, as defined in the Company's credit agreement, and during the first quarter of 2015 was based on a margin over the London Inter-Bank Offered Rate (“LIBOR”) rate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10.75% and 1.80%, respectively, as of March 31, 2015, excluding amortization of deferred financing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("ASC") 470-20-30-27, proceeds from the issuance of convertible debt are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Contractual interest expense was $1.5 million and accretion expense was $2.4 million for the three months ended March 31, 2015. The effective interest rate was 4.7% for the three months ended March 31, 2015. As of March 31, 2015, the unamortized discount was $62.1 million, and will be amortized through October 1, 2020.</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 AND HEDGING ACTIVITIES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March 31, 2015, the Company had foreign currency forward contracts outstanding in the U.S. with a notional value of $119 million, primarily in Australian dollars, Canadian dollars, British pounds, euros and Mexican pesos.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HiFX Operations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$15.7 million for the three months ended March 31, 2015. All of the derivative contracts used in the Company' s HiFX operations are economic hedges and are not designated as hedges under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The duration of these derivative contracts is generally less than one year.</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amounts of foreign currency derivative customer contracts held by the Company in its HiFX operations as of March 31, 2015 was approximately $802 million. The majority of customer contracts are written in major currencies such as the euro, Canadian dollar, British pound, and Australian dollar.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1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 contracts</w:t>
            </w: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7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68,452</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41,151</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(36,439)</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March 31, 2015 and December 31, 2014 (in thousands):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2015</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0"/>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68,452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68,452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2015</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48,290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location and amount of gains and losses of derivatives in the Consolidated Statements of Income for the three months ended March 31, 2015 and 2014:</w:t>
      </w:r>
    </w:p>
    <w:p>
      <w:pPr>
        <w:spacing w:after="0" w:line="101"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Income on Derivative Contracts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9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March 31, 2015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68,452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68,452</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r>
      <w:tr>
        <w:trPr>
          <w:trHeight w:val="400"/>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41,151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41,151</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Other Fair Value Disclosures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March 31, 2015 and December 31, 2014, the fair values of the convertible notes were $432.3 million and $408.0 million, respectively, with carrying values of $340.4 million and $338.0 million,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20"/>
          </w:cols>
          <w:pgMar w:left="24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The Company’s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52" w:lineRule="exact"/>
        <w:rPr>
          <w:sz w:val="20"/>
          <w:szCs w:val="20"/>
          <w:color w:val="auto"/>
        </w:rPr>
      </w:pPr>
    </w:p>
    <w:p>
      <w:pPr>
        <w:ind w:left="980" w:right="20" w:hanging="648"/>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ind w:left="980" w:right="70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53" w:lineRule="exact"/>
        <w:rPr>
          <w:rFonts w:ascii="Times New Roman" w:cs="Times New Roman" w:eastAsia="Times New Roman" w:hAnsi="Times New Roman"/>
          <w:sz w:val="18"/>
          <w:szCs w:val="18"/>
          <w:color w:val="auto"/>
        </w:rPr>
      </w:pPr>
    </w:p>
    <w:p>
      <w:pPr>
        <w:ind w:left="980" w:right="80" w:hanging="648"/>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money transfer services under the brand names Ria and HiFX. Ria provides global consumer-to-consumer money transfer services through a network of sending agents, Company-owned stores and a Company-owned website, disbursing money transfers through a worldwide correspondent network. HiFX offers account-to-account international payment services to high-income individuals and small-to-medium sized businesses.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March 31, 2015 and 2014:</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74,680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175,925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144,806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395,162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160,352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362,999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32,163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74,605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185,064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353,315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226,338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53,574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61,831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170,168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90,060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328,933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14,896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24,382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property and equipment and total assets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Property and Equipment, net as of</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Total Assets as of</w:t>
            </w:r>
          </w:p>
        </w:tc>
      </w:tr>
      <w:tr>
        <w:trPr>
          <w:trHeight w:val="264"/>
        </w:trPr>
        <w:tc>
          <w:tcPr>
            <w:tcW w:w="6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396,003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390,398</w:t>
            </w:r>
          </w:p>
        </w:tc>
      </w:tr>
      <w:tr>
        <w:trPr>
          <w:trHeight w:val="243"/>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593,175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754,448</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863,072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837,360</w:t>
            </w:r>
          </w:p>
        </w:tc>
      </w:tr>
      <w:tr>
        <w:trPr>
          <w:trHeight w:val="243"/>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69,353</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121,775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1,923,037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2,051,559</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49.5% and 26.4% for the three months ended March 31, 2015 and 2014, respectively. The effective income tax rate for the three months ended March 31, 2015 was significantly influenced by foreign currency exchange losses. Excluding this item from pre-tax income, as well as the related tax effect, the effective income tax rate for the three months ended March 31, 2015 was comparable to the rate for the three months ended March 31, 2014.</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2015, as adjusted for foreign currency exchange losses, and 2014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March 31, 2015, the Company had $73.9 million of stand-by letters of credit/bank guarantees issued on its behalf, of which $41.5 million are outstanding under the revolving credit facility. The remaining stand-by letters of credit/bank guarantees are collateralized by $3.8 million of cash deposits held by the respective issuing banks.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certain circumstances, Euronet grants guarantees in support of obligations of subsidiaries. As of March 31, 2015, the Company had granted off balance sheet guarantees for cash in various ATM networks amounting to $14.4 million over the terms of the cash supply agreements and performance guarantees amounting to approximately $24.0 million over the terms of agreements with the customers.</w:t>
      </w:r>
    </w:p>
    <w:p>
      <w:pPr>
        <w:spacing w:after="0" w:line="14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Once each of Euronet's subsidiaries reaches a certain size, it is required under the Credit Agreement to provide a guarantee of all or a portion of the outstanding obligations under the Credit Agreement depending upon whether the subsidiary is a domestic or foreign entity.</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mitigated by relevant insurance coverage and may be subject to time and materiality limitations, monetary caps and other conditions and defenses. Such indemnification obligations include the following:</w:t>
      </w:r>
    </w:p>
    <w:p>
      <w:pPr>
        <w:spacing w:after="0" w:line="27" w:lineRule="exact"/>
        <w:rPr>
          <w:sz w:val="20"/>
          <w:szCs w:val="20"/>
          <w:color w:val="auto"/>
        </w:rPr>
      </w:pPr>
    </w:p>
    <w:p>
      <w:pPr>
        <w:jc w:val="both"/>
        <w:ind w:left="580" w:right="10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that is not recorded on the Company’s Consolidated Balance Sheets. As of March 31, 2015, the balance of ATM network cash for which the Company was responsible was approximately $390 million. The Company maintains insurance policies to mitigate this exposure;</w:t>
      </w:r>
    </w:p>
    <w:p>
      <w:pPr>
        <w:spacing w:after="0" w:line="68" w:lineRule="exact"/>
        <w:rPr>
          <w:rFonts w:ascii="Times New Roman" w:cs="Times New Roman" w:eastAsia="Times New Roman" w:hAnsi="Times New Roman"/>
          <w:sz w:val="18"/>
          <w:szCs w:val="18"/>
          <w:color w:val="auto"/>
        </w:rPr>
      </w:pPr>
    </w:p>
    <w:p>
      <w:pPr>
        <w:ind w:left="580" w:right="12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68" w:lineRule="exact"/>
        <w:rPr>
          <w:rFonts w:ascii="Times New Roman" w:cs="Times New Roman" w:eastAsia="Times New Roman" w:hAnsi="Times New Roman"/>
          <w:sz w:val="18"/>
          <w:szCs w:val="18"/>
          <w:color w:val="auto"/>
        </w:rPr>
      </w:pPr>
    </w:p>
    <w:p>
      <w:pPr>
        <w:ind w:left="580" w:right="18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68" w:lineRule="exact"/>
        <w:rPr>
          <w:rFonts w:ascii="Times New Roman" w:cs="Times New Roman" w:eastAsia="Times New Roman" w:hAnsi="Times New Roman"/>
          <w:sz w:val="18"/>
          <w:szCs w:val="18"/>
          <w:color w:val="auto"/>
        </w:rPr>
      </w:pPr>
    </w:p>
    <w:p>
      <w:pPr>
        <w:ind w:left="580" w:right="14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68" w:lineRule="exact"/>
        <w:rPr>
          <w:rFonts w:ascii="Times New Roman" w:cs="Times New Roman" w:eastAsia="Times New Roman" w:hAnsi="Times New Roman"/>
          <w:sz w:val="18"/>
          <w:szCs w:val="18"/>
          <w:color w:val="auto"/>
        </w:rPr>
      </w:pPr>
    </w:p>
    <w:p>
      <w:pPr>
        <w:ind w:left="580" w:right="60" w:hanging="329"/>
        <w:spacing w:after="0" w:line="25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79" w:lineRule="exact"/>
        <w:rPr>
          <w:rFonts w:ascii="Times New Roman" w:cs="Times New Roman" w:eastAsia="Times New Roman" w:hAnsi="Times New Roman"/>
          <w:sz w:val="18"/>
          <w:szCs w:val="18"/>
          <w:color w:val="auto"/>
        </w:rPr>
      </w:pPr>
    </w:p>
    <w:p>
      <w:pPr>
        <w:ind w:left="580" w:right="420" w:hanging="32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March 31, 2015 or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LITIGATION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u w:val="single" w:color="auto"/>
          <w:color w:val="auto"/>
        </w:rPr>
        <w:t>Unclaimed property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certain unmatched receipts from money transfer agents, payroll checks, accounts payable checks and accounts receivable credits for the period 1996 through 2007. The total amount of exposure of this contingency is dependent upon the manner in which the State of Delaware applies its unclaimed property laws. The Company does not currently expect the outcome of this matter to have a material adverse effect on the Company's consolidated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76"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and financing plans and requirements;</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our business;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underlying our business plans;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capital expenditures;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outcome of loss contingencies;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action;</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costs and revenues.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2014.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money transfer services. We operate in the following three segments:</w:t>
      </w:r>
    </w:p>
    <w:p>
      <w:pPr>
        <w:spacing w:after="0" w:line="72" w:lineRule="exact"/>
        <w:rPr>
          <w:sz w:val="20"/>
          <w:szCs w:val="20"/>
          <w:color w:val="auto"/>
        </w:rPr>
      </w:pPr>
    </w:p>
    <w:p>
      <w:pPr>
        <w:ind w:left="980" w:right="240" w:hanging="648"/>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which processes transactions for a network of 20,863 ATMs and approximately 76,000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75" w:lineRule="exact"/>
        <w:rPr>
          <w:rFonts w:ascii="Times New Roman" w:cs="Times New Roman" w:eastAsia="Times New Roman" w:hAnsi="Times New Roman"/>
          <w:sz w:val="18"/>
          <w:szCs w:val="18"/>
          <w:color w:val="auto"/>
        </w:rPr>
      </w:pPr>
    </w:p>
    <w:p>
      <w:pPr>
        <w:ind w:left="980" w:right="80" w:hanging="648"/>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which provides distribution, processing and collection services for prepaid mobile airtime and other electronic payment products. We operate a network of approximately 672,000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1" w:lineRule="exact"/>
        <w:rPr>
          <w:rFonts w:ascii="Times New Roman" w:cs="Times New Roman" w:eastAsia="Times New Roman" w:hAnsi="Times New Roman"/>
          <w:sz w:val="18"/>
          <w:szCs w:val="18"/>
          <w:color w:val="auto"/>
        </w:rPr>
      </w:pPr>
    </w:p>
    <w:p>
      <w:pPr>
        <w:ind w:left="980" w:right="80" w:hanging="648"/>
        <w:spacing w:after="0" w:line="25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which provides global consumer-to-consumer money transfer services, primarily under the brand name Ria and global account-to-account money transfer services under the brand name HiFX. We offer services under the brand name Ria, through a network of sending agents, Company-owned stores (primarily in North America and Europe) and our Ria website (riamoneytransfer.com), disbursing money transfers through a worldwide correspondent network that includes approximately 246,000 locations.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81" w:lineRule="exact"/>
        <w:rPr>
          <w:sz w:val="20"/>
          <w:szCs w:val="20"/>
          <w:color w:val="auto"/>
        </w:rPr>
      </w:pPr>
    </w:p>
    <w:p>
      <w:pPr>
        <w:ind w:left="60" w:right="80"/>
        <w:spacing w:after="0" w:line="261" w:lineRule="auto"/>
        <w:rPr>
          <w:sz w:val="20"/>
          <w:szCs w:val="20"/>
          <w:color w:val="auto"/>
        </w:rPr>
      </w:pPr>
      <w:r>
        <w:rPr>
          <w:rFonts w:ascii="Times New Roman" w:cs="Times New Roman" w:eastAsia="Times New Roman" w:hAnsi="Times New Roman"/>
          <w:sz w:val="18"/>
          <w:szCs w:val="18"/>
          <w:color w:val="auto"/>
        </w:rPr>
        <w:t>We have five processing centers in Europe, four in Asia Pacific and two in North America. We have 30 principal offices in Europe, 11 in Asia Pacific, seven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5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19% of our total consolidated revenues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2015,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fees received for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44% of our total consolidated revenues for the first quarter of 2015,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8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Money Transfer Segment </w:t>
      </w:r>
      <w:r>
        <w:rPr>
          <w:rFonts w:ascii="Times New Roman" w:cs="Times New Roman" w:eastAsia="Times New Roman" w:hAnsi="Times New Roman"/>
          <w:sz w:val="17"/>
          <w:szCs w:val="17"/>
          <w:color w:val="auto"/>
        </w:rPr>
        <w:t>— Revenues in the Money Transfer Segment, which represented approximately 37% of our total consolidated revenues for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of 2015,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primarily in North America and Europe, and our websites riamoneytransfer.com, www.hifx.co.uk and www.hifx.com.au,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6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expansion plans and opportunities are currently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ATMs in our independent ATM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transactions processed on our network of owned and operated ATMs and POS devices;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new outsourced ATM and POS terminal management contracts;</w:t>
      </w:r>
    </w:p>
    <w:p>
      <w:pPr>
        <w:spacing w:after="0" w:line="117" w:lineRule="exact"/>
        <w:rPr>
          <w:rFonts w:ascii="Times New Roman" w:cs="Times New Roman" w:eastAsia="Times New Roman" w:hAnsi="Times New Roman"/>
          <w:sz w:val="18"/>
          <w:szCs w:val="18"/>
          <w:color w:val="auto"/>
        </w:rPr>
      </w:pPr>
    </w:p>
    <w:p>
      <w:pPr>
        <w:ind w:left="980" w:right="50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value added services in our EFT Processing Segment, including the sale of dynamic currency conversion services to banks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epay processing network and portfolio of electronic payment products;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money transfer services, cross-currency payment products and bill payment network;</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cash management solutions and foreign currency risk management services;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credit and debit card outsourcing business.</w:t>
      </w:r>
    </w:p>
    <w:p>
      <w:pPr>
        <w:spacing w:after="0" w:line="11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The continued expansion and development of our EFT Processing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by banks and other ATM operators and service providers in our current target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ATM outsourcing services in our current target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or services, including value added services, to drive increases in transactions and revenues;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various business lines in markets where we operate and in new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additional card acceptance and ATM management agreements with banks;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licenses in markets we intend to enter or expand services;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renew ATM network cash supply agreements with financial institutions;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install ATMs contracted under newly awarded outsourcing agreements;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at profitable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pricing at current levels or mitigate price reductions in certain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reductions in ATM interchange fees;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sign additional customers for the cross-border merchant processing and acquiring business;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legal and regulatory considerations in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5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The continued expansion and development of our epay Segment business will depend on various factors, including, but not necessarily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the following:</w:t>
      </w:r>
    </w:p>
    <w:p>
      <w:pPr>
        <w:spacing w:after="0" w:line="52" w:lineRule="exact"/>
        <w:rPr>
          <w:sz w:val="20"/>
          <w:szCs w:val="20"/>
          <w:color w:val="auto"/>
        </w:rPr>
      </w:pPr>
    </w:p>
    <w:p>
      <w:pPr>
        <w:ind w:left="980" w:right="32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existing expertise and relationships with mobile operators, content providers and retailers to our advantage;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use of third-party providers such as ourselves to supply electronic processing solutions for existing and additional content;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mobile phone networks in the markets in which we do business and the increase in the number of mobile phone users;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pace of growth in the prepaid mobile phone market, including consumer shifts between prepaid and postpaid services;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of the retail distribution capacity;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POS distribution of prepaid mobile airtime and other products;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commission that is paid to the various intermediaries in the electronic payment distribution chain;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recover monies collected by retailers;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and differentiated products in addition to those offered by mobile operators;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effectively market additional value added services;</w:t>
      </w:r>
    </w:p>
    <w:p>
      <w:pPr>
        <w:spacing w:after="0" w:line="11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our EFT Processing and Money Transfer Segments, including providing money transfer services through our distribution network;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3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121" w:right="3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airtime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6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 </w:t>
      </w:r>
      <w:r>
        <w:rPr>
          <w:rFonts w:ascii="Times New Roman" w:cs="Times New Roman" w:eastAsia="Times New Roman" w:hAnsi="Times New Roman"/>
          <w:sz w:val="18"/>
          <w:szCs w:val="18"/>
          <w:color w:val="auto"/>
        </w:rPr>
        <w:t>The continued expansion and development of our Money Transfer Segment business will depend on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necessarily limited to, the following:</w:t>
      </w:r>
    </w:p>
    <w:p>
      <w:pPr>
        <w:spacing w:after="0" w:line="52"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in worker migration and employment opportunities;</w:t>
      </w:r>
    </w:p>
    <w:p>
      <w:pPr>
        <w:spacing w:after="0" w:line="117" w:lineRule="exact"/>
        <w:rPr>
          <w:rFonts w:ascii="Times New Roman" w:cs="Times New Roman" w:eastAsia="Times New Roman" w:hAnsi="Times New Roman"/>
          <w:sz w:val="18"/>
          <w:szCs w:val="18"/>
          <w:color w:val="auto"/>
        </w:rPr>
      </w:pPr>
    </w:p>
    <w:p>
      <w:pPr>
        <w:ind w:left="980" w:right="22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53"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trend of increased use of electronic money transfer and bill payment services among high-income individuals, immigrant workers and the unbanked population in our markets;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agent and correspondent networks;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and services or develop new products and services at competitive prices to drive increases in transactions;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that may compete with our money transfer network;</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services in markets where we operate and in new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brands;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working capital requirements;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from agents funds collected from customers and our ability to recover advances made to correspondents;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regulatory requirements of the jurisdictions in which we operate or plan to operate;</w:t>
      </w:r>
    </w:p>
    <w:p>
      <w:pPr>
        <w:spacing w:after="0" w:line="11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cross-selling opportunities with our epay Segment, including providing prepaid services through Ria’s stores and agents worldwide;</w:t>
      </w:r>
    </w:p>
    <w:p>
      <w:pPr>
        <w:spacing w:after="0" w:line="53"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for further expansion;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banking relationships necessary for us to service our customers; and</w:t>
      </w:r>
    </w:p>
    <w:p>
      <w:pPr>
        <w:spacing w:after="0" w:line="11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agent network in Europe using our payment institution licenses under the Payment Services Directive and in the United States.</w:t>
      </w:r>
    </w:p>
    <w:p>
      <w:pPr>
        <w:spacing w:after="0" w:line="2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months ended March 31, 2015 and 2014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 for the Three Months</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6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175,925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185,064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50,806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7"/>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395,411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353,669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41,742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7"/>
        </w:trPr>
        <w:tc>
          <w:tcPr>
            <w:tcW w:w="6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395,162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353,315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41,847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 Income (Expense) for</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11"/>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 Ended March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vMerge w:val="restart"/>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9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(Decrease)Amount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12,774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14,896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9,864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7"/>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31,610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9,137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7"/>
        </w:trPr>
        <w:tc>
          <w:tcPr>
            <w:tcW w:w="6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24,382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7,781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the stronger U.S. dollar and positively impacted by the weaker U.S. dollar. On average, the U.S. dollar was considerably stronger in the first quarter of 2015 than the same period of 2014 compared to currencies of most markets in which we operate. Considering the results by country and the associated functional currency, we estimate that our reported consolidated operating income for the first quarter of 2015 was 15% less due to the changes in foreign currency exchange rates when compared to the same period of 2014. This translation impact does not represent a realized reduction in our earnings since we typically do not repatriate our foreign earnings.</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3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0.8961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Brazilian real</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0.3506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0.4236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1.6551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0.3278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891"/>
        </w:trPr>
        <w:tc>
          <w:tcPr>
            <w:tcW w:w="3920" w:type="dxa"/>
            <w:vAlign w:val="bottom"/>
          </w:tcPr>
          <w:p>
            <w:pPr>
              <w:spacing w:after="0"/>
              <w:rPr>
                <w:sz w:val="24"/>
                <w:szCs w:val="24"/>
                <w:color w:val="auto"/>
              </w:rPr>
            </w:pP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2015 AND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2015 and 2014 for our EFT Processing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74,680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1,479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ATMs as of March 31,</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ATMs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revenues for the first quarter of 2015 were largely unchanged when compared to the same period of 2014, primarily due to an increase in the number of ATMs under management being largely offset by the impact of the U.S. dollar strengthening against key foreign currencies. The increase in ATMs and POS devices under management also contributed to an increase in dynamic currency conversion ("DCC") revenues which were partly offset by a decrease in rates charged for certain debit and credit card outsourcing services as a result of our actions to amend and extend a contract with a large European customer.</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Average monthly revenues per ATM were $1,208 for the first quarter of 2015 compared to $1,351 for the first quarter of 2014. The decrease was primarily due to the strengthening of the U.S. dollar against key foreign currencies, partly offset by revenue growth from an increase in ATMs under management and DCC. Revenues per transaction were $0.25 for both the first quarter of 2015 and 2014. Revenue growth from DCC, which earns higher revenues per transaction than other ATM or card based services, was offset by the impact of the U.S. dollar strengthening against key foreign currencies.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Direct operating costs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first quarter of 2015 compared to the same period of 2014, primarily due to an increase in the number of ATMs under management, partly offset by the impact of the U.S. dollar strengthening against key foreign currencies.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$35.6 million for the first quarter 2015 compared to $37.3 million for the first quarter of 2014. The decrease in gross profit was primarily due to the impact of the U.S dollar strengthening against key foreign currencies and decreases in rates charged for certain debit and credit card outsourcing services exceeding the growth in revenues from DCC and the increase in ATMs under management. Gross profit as a percentage of revenues (“gross margin”) was 47.6% for the first quarter of 2015 compared to 50.0% for the first quarter of 2014. The decrease in gross margin was primarily due to the decrease in rates charged for certain debit and credit card outsourcing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slight decrease in salaries and benefits for the first quarter of 2015 compared to the same period of 2014 was primarily due to the impact of the U.S. dollar strengthening against key foreign currencies being largely offset by additional headcount to support an increase in the number of ATMs and POS devices under management. As a percentage of revenues, these costs decreased to 14.7% for the first quarter of 2015 from 14.9% for first quarter of 2014. These decreases were primarily due to the growth in revenues earned from DCC and other value added service transactions on our ATMs under management, which require minimal incremental support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for the first quarter of 2015 compared to the same period of 2014 was primarily due to the impact of the U.S. dollar strengthening against key foreign currencies, partly offset by increased support costs as a result of the increase in the number of ATMs under management. As a percentage of revenues, these expenses decreased to 7.7% for the first quarter of 2015 from 8.2% for the first quarter of 2014. These decreases were primarily due to the growth in revenues earned from DCC and other value added service transactions on our ATMs and POS devices under management, which require minimal incremental support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first quarter of 2015 compared to the same period of 2014 was primarily due to an increase in depreciation on our ATMs under management and software assets, partly offset by the impact of the U.S. dollar strengthening against key foreign currencies. As a percentage of revenues, depreciation and amortization expense increased slightly to 9.9% for the first quarter of 2015 from 9.8% for the first quarter of 2014, primarily due to the growth in our ATMs under management and increased software capitalization.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decrease in operating income for the first quarter of 2015 compared to the same period of 2014 was primarily due to the impact of the U.S. dollar strengthening against key foreign currencies and the decrease in rates charged for certain debit and credit card management services, partly offset by the increase in the number of ATMs under management and growth in revenues earned from DCC and other value added service transactions.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income as a percentage of revenues (“operating margin”) decreased to 15.2% for the first quarter of 2015 from 17.1% for the first quarter of 2014 and operating income per transaction remained at $0.04 for the first quarter of 2015 and 2014. The decrease in operating margin was primarily due to the decrease in rates charged for certain debit and credit card management services.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2015 and 2014 for our epay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175,925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185,064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160,352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15,573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14,896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677</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decrease in revenues for the first quarter of 2015 compared to the same period of 2014 was primarily due to the impact of the U.S. dollar strengthening against key foreign currencies, a decrease in prepaid mobile transactions processed in Brazil and the U.K. and lower rates charged for certain transactions in the U.S. Partially offsetting the decrease in revenues for the first quarter of 2015 was an increase in the number of non-mobile transactions processed in Germany and an increase in voucher redemptions in our cadooz subsidiary following strong year-end holiday sales.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currently expect most of our future revenue growth in the epay segment to be derived from: (i) additional electronic payment products sold over the base of POS terminals, (ii) value added services, (iii) developing markets or markets in which there is organic growth in the electronic top-up sector overall, and (iv) acquisitions, if available and commercially appropriate.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per transaction decreased to $0.55 for the first quarter of 2015 from $0.66 for the first quarter of 2014, primarily due to the impact of the U.S. dollar weakening against key foreign currencies and growth in the number of prepaid mobile transactions processed in India, where revenues per transaction are considerably lower than average. The decrease in revenues per transaction was partly offset by the increase in the number of non-mobile transactions processed in Germany, for which we generally earn higher revenues per transaction than mobile transactions.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for the first quarter of 2015 compared to the same period of 2014 was primarily due to the net impact of the U.S. dollar strengthening against key foreign currencies and the decrease in prepaid mobile transactions processed in the U.K. and Brazil, partly offset by the increases in vouchers redeemed in our cadooz subsidiary and non-mobile transactions processed in Germany.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was $38.7 million for the first quarter of 2015 compared to $41.7 million for the first quarter of 2014. The decrease in gross profit was primarily due to the net impact of the U.S. dollar strengthening against key foreign currencies and the decreases in revenues in Brazil and the U.K., partly offset by growth in non-mobile transactions processed in Germany and the increase in vouchers redeemed in our cadooz subsidiary.</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Gross margin decreased to 22.0% for the first quarter of 2015 from 22.5% for the same period of 2014, primarily due to a decrease in revenues in the Brazil and lower gross margins realized on voucher redemptions.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salaries and benefits for the first quarter of 2015 compared to the same period of 2014 was primarily due the U.S. dollar strengthening against key foreign currencies, partly offset by an increase in bonus expense related to the improved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percentage of revenues, salaries and benefits decreased to 6.8% for the first quarter of 2015 compared to 7.3% for the same period of 2014, primarily due to transaction growth exceeding headcount growth.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for the first quarter of 2015 compared to the same period of 2014 was primarily due to the net impact of the U.S. dollar strengthening against key foreign currencies.</w:t>
      </w:r>
    </w:p>
    <w:p>
      <w:pPr>
        <w:spacing w:after="0" w:line="54"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As a percentage of revenues, selling, general and administrative expenses decreased to 4.6% for the first quarter of 2015 compared to 4.9% for the same period of 2014. The decrease for the first quarter of 2015 compared to same period of 2014 was due to transaction growth with little increase in support costs.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primarily represents depreciation of POS terminals we place in retail stores and the amortization of acquired intangible assets. Depreciation and amortization expense decreased for the first quarter of 2015 compared to the same period of 2014 primarily due to the net impact of the U.S. dollar strengthening against key foreign currencies and certain assets becoming fully depreciated without yet being replaced. As a percentage of revenues, depreciation and amortization expense decreased to 1.7% for the first quarter of 2015 from 2.2% for the first quarter of 2014 mainly as a result of the fully depreciated assets not being replaced.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for the first quarter of 2015 compared to the same period of 2014 was primarily due to the growth in transactions processed exceeding the growth in support costs, partly offset by the net impact of the U.S. dollar strengthening against key foreign currencies.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margin increased to 8.9% for the first quarter of 2015 from 8.0% for the same period of 2014, primarily due to the growth in transactions processed while keeping costs stable. Operating income per transaction remained at $0.05 for the first quarters of 2015 and 2014.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2015 and 2014 for the Money Transfer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9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144,806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50,806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29,248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31,093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131,002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90,060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97"/>
        </w:trPr>
        <w:tc>
          <w:tcPr>
            <w:tcW w:w="71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9,864</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revenues for the first quarter of 2015 compared to the same period of 2014 was primarily due to an increase in the number of money transfers processed, driven by growth in our U.S and foreign agent and correspondent payout networks,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7"/>
          <w:szCs w:val="17"/>
          <w:color w:val="auto"/>
        </w:rPr>
        <w:t>the April 2014 launch of the domestic Walmart money transfer product and the impact of our May 2014 acquisition of EIM (FX) Limited, which owns subsidiaries that operate under the brand name HiFX. The increase was partly offset by the U.S. dollar strengthening against key foreign currencies.</w:t>
      </w:r>
    </w:p>
    <w:p>
      <w:pPr>
        <w:spacing w:after="0" w:line="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Revenues per transaction decreased to $10.42 for the first quarter of 2015 from $10.68 for the first quarter of 2014, primarily due to the impact of the U.S. dollar strengthening against key foreign currencies and the launch of our Walmart money transfer product during the second quarter of 2014, which earns lower revenues per transaction than other money transfer services. Partly offsetting these decreases in revenues per transaction was the impact of the HiFX transactions which earn higher revenues per transaction than other money transfer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for the first quarter of 2015 compared to the same period of 2014 was primarily due to growth in the number of money transfer transactions processed in both the U.S. and non-U.S. locations. Partly offsetting the increase in direct operating costs was the impact of the U.S. dollar strengthening against key foreign currencies.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Gross profit was $69.6 million for the first quarter of 2015 compared to $48.0 million for the first quarter of 2014. The increase in gross profit was primarily due to growth in the number of money transfer transactions processed in both the U.S. and foreign markets and the impact of our acquisition of HiFX. Partly offsetting the increase in gross profit was the impact of the U.S. dollar strengthening against key foreign currencies.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margin decreased to 48.1% for the first quarter 2015 from 51.1% for first quarter of 2014,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for the first quarter of 2015 compared to the same period of 2014 was primarily due to the impact of our acquisition of HiFX and an increase in headcount as a result of the launch of our Walmart money transfer product, the development of our online money transfer service and expansion of our operations in foreign markets. As a percentage of revenues, salaries and benefits improved to 21.5% for the first quarter of 2015 from 24.8% for first quarter of 2014, primarily due to the increase in the number of money transfers processed in the U.S, which did not require a similar increase in support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first quarter of 2015 compared to the same period of 2014 was primarily due to the impact of our acquisition of HiFX and expenses incurred to support the expansion of our money transfer products in both the U.S. and foreign markets. Partly offsetting the increase in selling, general and administrative expenses was the impact of the U.S. dollar strengthening against key foreign currencies and the write-down of certain customer acquisition costs in the first quarter of 2014.</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decreased to 12.4% for the first quarter of 2015 from 17.2% for the same period of 2014, primarily due to an increase in the number of money transfers processed in the U.S., which did not require a similar increase in support costs and the first quarter 2014 write-down of certain customer acquisition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Depreciation and amortization primarily represents amortization of acquired intangible assets and depreciation of money transfer terminals, computers and software, leasehold improvements and office equipment. The increase in depreciation and amortization for the first quarter of 2015 compared to the same period of 2014 was primarily due to the amortization of intangible assets related to the acquisition of HiFX and investments made to support the growth in the business. As a percentage of revenues, depreciation and amortization decreased to 4.6% for the first quarter of 2015 from 4.9% for the same period of 2014. This decrease was primarily due to the revenues earned from our Walmart money transfer product, which required less capital investment than other money transfer products.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for the first quarter of 2015 compared to the same period of 2014 was primarily due to the increase in the number of money transfers processed, the impact of our acquisition of HiFX and the write-down of certain customer acquisition costs during the first quarter of 2014, partly offset by an increase in salaries and benefits and other costs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support the growth in the business. Also partly offsetting the increase in operating income was the impact of the U.S. dollar strengthening against key foreign currencies.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percentage of revenues, operating margin increased to 9.5% for the first quarter of 2015 from 4.2% for same period of 2014, primarily due to the increase in the number of money transfers processed in the U.S., the acquisition of HiFX and the write-down of certain customer acquisition costs in the first quarter of 2014.</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income per transaction increased to $0.99 for the first quarter of 2015 from $0.45 for the same period of 2014, primarily due to the increase in the number of money transfers processed, which did not require a similar increase in support costs, along with the impact of the higher margin HiFX transactions and the first quarter 2014 write-down of customer acquisition costs, partly offset by the impact of the U.S. dollar strengthening against key foreign currencies.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months ended March 31, 2015 and 2014 for Corporate Services: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609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1,356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1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Overall, operating expenses for Corporate Services increased for the first quarter of 2015 compared to the same period of 2014. The increase in salaries and benefits was primarily due to increased headcount, employee raises and an increase in bonus expense related to the timing of meeting higher bonus targets. The increase in selling, general and administrative expense was primarily due to a charge for a contingency related to a prior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2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102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(18,041)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(15,316)</w:t>
            </w:r>
          </w:p>
        </w:tc>
        <w:tc>
          <w:tcPr>
            <w:tcW w:w="12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first quarter of 2015 compared to the same period of 2014 was primarily due to an increase in interest earned on customer funds held on deposit related to money transfer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first quarter of 2015 compared to the same period of 2014 was the result of the issuance of the Convertible Notes in the fourth quarter of 2014, partly offset by lower average borrowings outstanding under our revolving credit facility during the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recorded a net foreign currency exchange loss of $13.0 million and $1.3 million for the first quarter of 2015 and 2014, respectively. These realized and unrealized net foreign currency exchange losses reflect the fluctuation in the value of the U.S. dollar against the currencies of the countries in which we operated during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rates were 49.5% and 26.4% for the first quarter of 2015 and 2014, respectively. The effective income tax rate for the three months ended March 31, 2015 was significantly influenced by foreign currency exchange losses. Excluding this item from pre-tax income, as well as the related tax effect, the effective income tax rate was 26.3% for the three months ended March 31, 2015.</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2015, as adjusted for foreign currency exchange losses, and 2014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Other than the impact of foreign currency exchange losses, there was no material change in the effective income tax rate for the three months ended March 31, 2015 compared to the same period of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represents the elimination of net income or loss attributable to the minority shareholders’ portion of the following consolidated subsidiaries that are not wholly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Universal Solutions Partners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UAE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$7.2 million for the first quarter of 2015 compared to $16.0 million for the first quarter of 2014. As more fully discussed above, the $8.8 million decrease in net income was primarily due to an increase in net foreign currency exchange loss of $11.7 million, an increase in interest expense of $3.7 million and an increase in income tax expense of $1.3 million. These decreases to net income were partly offset by an increase in operating income of $7.8 million and a decrease in other non-operating costs of $0.1 million.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March 31, 2015 and December 31, 2014, we had working capital, which is calculated as the difference between total current assets and total current liabilities, of $268.0 million and $257.0 million, respectively. Our ratio of current assets to current liabilities at March 31, 2015 and December 31, 2014 was 1.35 and 1.30, respectively.</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In the Money Transfer Segment, we fund the payout of the majority of Ria's consumer-to-consumer money transfers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March 31, 2015, we had approximately $75 million of our own cash in use or designated for use in our ATM network, which is recorded in cash and cash equivalents on Euronet's Consolidated Balance Sheet.</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$480.7 million at March 31, 2015, of which $345.5 million was held outside of the United States and is expected to be indefinitely reinvested for continued use in foreign operations. Repatriation of these assets to the U.S. could have negative tax consequences.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three-month periods ended March 31, 2015 and 2014 (in thousands):</w:t>
      </w:r>
    </w:p>
    <w:p>
      <w:pPr>
        <w:spacing w:after="0" w:line="11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54,501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53,059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39,804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1,856</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12,702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82,474</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11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$54.5 million for the first three months of 2015 compared to $53.1 million for the first three months of 2014. The increase is primarily due to improved operating results and fluctuations in working capital mainly associated with the timing of the settlement processes with mobile operators in the epay Segment and with correspondents in the Money Transfer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$14.8 million for the first three months of 2015 compared to $12.2 million for the first three months of 2014. During the first three months of 2015, we used $13.4 million for purchases of property and equipment compared to $11.0 million during the first three months of 2014; the increase was primarily related to ATM network expansion. Cash used for software development and other investing activities totaled $1.4 million for the first three months of 2015 compared to $1.2 million for the same period of 2014.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flows used in financing activities were $4.4 million for the first three months of 2015 compared to cash flows provided by financing activities of $39.8 million for the first three months of 2014. Our financing activities for the first three months of 2015 consisted of net debt payments of $1.3 million compared to net borrowings of $39.0 million for the first three months of 2014. The decrease in net borrowings during the first three months of 2015 compared to the same period of 2014 was the result of having adequate cash on hand from the fourth quarter 2014 issuance of the Convertible Notes compared to borrowings needed for working capital purposes in the first quarter of 2014. Additionally, we used $0.7 million and $0.6 million during the first three months of 2015 and 2014, respectively, for capital lease repayments. During the first three months of 2015, we paid $4.9 million for the amount of payroll taxes represented by the common stock withheld on restricted stock vestings and stock option exercises compared to $0.6 million for the same period of 2014; we also purchased $0.1 million of our stock in the open market during the first three months of 2015. We received proceeds from stock option exercises of $2.4 million and $2.0 million for the first three months of 2015 and 2014,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2015, we had a $675 million senior secured credit facility (the "Credit Facility") consisting of a $590 million revolving credit facility, a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India revolving credit facility and an $75 million term loan ("Term Loan A"), which had been reduced to $71.2 million through principal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The revolving credit facility allows for borrowings in U.S. dollars, euros, British pounds, Australian dollars and/or Indian rupees and contains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sublimit for the issuance of letters of credit and a $25 million sublimit for swingline loans. The Credit Facility expires April 9, 2019. We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primarily to fund working capital requirements which are expected to increase as we expand the Money Transfer business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ATM network. Based on our current projected working capital requirements, we anticipate that our revolving credit facility will be sufficient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our working capital needs.</w:t>
      </w:r>
    </w:p>
    <w:p>
      <w:pPr>
        <w:spacing w:after="0" w:line="9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March 31, 2015,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2015, we had borrowings of $71.2 million outstanding under Term Loan A. We had $5.6 million of borrowings and $41.5 million of stand-by letters of credit outstanding under the revolving credit facility as of March 31, 2015. The remaining $552.9 million under the revolving credit facility was available for borrowing. As of March 31, 2015, our weighted average interest rates under the revolving credit facility and Term Loan A were 10.75% and 1.80%, respectively, excluding amortization of deferred financing costs.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Short-term debt obligations</w:t>
      </w:r>
      <w:r>
        <w:rPr>
          <w:rFonts w:ascii="Times New Roman" w:cs="Times New Roman" w:eastAsia="Times New Roman" w:hAnsi="Times New Roman"/>
          <w:sz w:val="18"/>
          <w:szCs w:val="18"/>
          <w:color w:val="auto"/>
        </w:rPr>
        <w:t xml:space="preserve"> - Short-term debt obligations as of March 31, 2015 were primarily comprised of $5.6 million of payments due in the next twelve months under Term Loan A. Certain of our subsidiaries also have available credit lines and overdraft facilities to supplement short-term working capital requirements, when necessary, and there was $4.9 million outstanding under these facilities as of March 31,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u w:val="single" w:color="auto"/>
          <w:color w:val="auto"/>
        </w:rPr>
        <w:t>Capital expenditures and needs</w:t>
      </w:r>
      <w:r>
        <w:rPr>
          <w:rFonts w:ascii="Times New Roman" w:cs="Times New Roman" w:eastAsia="Times New Roman" w:hAnsi="Times New Roman"/>
          <w:sz w:val="17"/>
          <w:szCs w:val="17"/>
          <w:color w:val="auto"/>
        </w:rPr>
        <w:t xml:space="preserve"> - Total capital expenditures for the first three months of 2015 were $14.8 million. These capital expenditures were made primarily for the purchase of ATMs in Poland and India, as well as for office, data center and company store computer equipment and software, and POS terminals for the epay Segment. Total capital expenditures for 2015 are currently estimated to range from approximately $55.0 million to $65.0 million.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may take place in the open market or in privately negotiated transactions, including derivative transactions, and may be made under a Rule 10b5-1 plan. We purchased 1,600 shares for $85 thousand during the first quarter of 2015.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2015, there were no material changes from the disclosure in our Annual Report on Form 10-K for the year ended December 31, 2014. To date, we are not aware of any significant claims made by the indemnified parties or parties to whom we have provided guarantees on behalf of our subsidiaries and, accordingly, no liabilities have been recorded as of March 31, 2015.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2015, our future contractual obligations have not changed significantly from the amounts reported within our 2014 Form 10-K.</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2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i w:val="1"/>
          <w:iCs w:val="1"/>
          <w:color w:val="auto"/>
        </w:rPr>
        <w:t>Interest rate risk</w:t>
      </w:r>
    </w:p>
    <w:p>
      <w:pPr>
        <w:ind w:right="380"/>
        <w:spacing w:after="0" w:line="261" w:lineRule="auto"/>
        <w:rPr>
          <w:sz w:val="20"/>
          <w:szCs w:val="20"/>
          <w:color w:val="auto"/>
        </w:rPr>
      </w:pPr>
      <w:r>
        <w:rPr>
          <w:rFonts w:ascii="Times New Roman" w:cs="Times New Roman" w:eastAsia="Times New Roman" w:hAnsi="Times New Roman"/>
          <w:sz w:val="18"/>
          <w:szCs w:val="18"/>
          <w:color w:val="auto"/>
        </w:rPr>
        <w:t>As of March 31, 2015, our total debt outstanding was $427.5 million. Of this amount, $340.4 million, 80% of our total debt obligations, relates to our Convertible Notes having a fixed coupon rate. Our $402.5 million principal amount of Convertible Notes, issued in October 2014, accrue cash interest of</w:t>
      </w:r>
    </w:p>
    <w:p>
      <w:pPr>
        <w:ind w:right="20"/>
        <w:spacing w:after="0" w:line="252" w:lineRule="auto"/>
        <w:rPr>
          <w:sz w:val="20"/>
          <w:szCs w:val="20"/>
          <w:color w:val="auto"/>
        </w:rPr>
      </w:pPr>
      <w:r>
        <w:rPr>
          <w:rFonts w:ascii="Times New Roman" w:cs="Times New Roman" w:eastAsia="Times New Roman" w:hAnsi="Times New Roman"/>
          <w:sz w:val="18"/>
          <w:szCs w:val="18"/>
          <w:color w:val="auto"/>
        </w:rPr>
        <w:t>1.5% of the principal amount per annum. Based on quoted market prices, as of March 31, 2015, the fair value of our fixed rate Convertible Notes was $432.3 million, compared to a carrying value of $340.4 million. Interest expense for these notes, including accretion and amortization of deferred debt issuance costs, has a weighted average interest rate of 4.7% annually. Additionally, $81.7 million, or 19%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$6.3 million.</w:t>
      </w:r>
    </w:p>
    <w:p>
      <w:pPr>
        <w:spacing w:after="0" w:line="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remaining $5.4 million, or 1% of our total debt obligations, relates to capitalized leases with fixed payment and interest terms that expire between 2015 and 2019.</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the first quarter of 2015, approximately 70% of our revenues were generated in non-U.S. dollar countries and we expect to continue generating a significant portion of our revenues in countries with currencies other than the U.S. dollar.</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March 31, 2015, we estimate that a 10% fluctuation in these foreign currency exchange rates would have the combined annualized effect on reported net income and working capital of approximately $50 million to $55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$60 million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million as a result of the change in value of these items during translation to the U.S. dollar. For the fluctuations described above, a strengthening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produces a financial loss, while a weakening U.S. dollar produces a financial gain.</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customers at retail exchange rates. We enter into foreign currency forwards and cross-currency swaps, to minimize exposure related to fluctuations in foreign currency exchange rates. As of March 31, 2015, we had foreign currency derivative contracts outstanding with a notional value of $921 million, primarily in Australian dollars, British pounds, euros and Mexican pesos, that were not designated as hedges and mature within the next twelve months. See Note 7, Derivative Instruments and Hedging Activities to our Consolidated Financial Statements for additional information.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2015.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internal control over financial reporting during the three months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in Part I, Item 1A. Risk Factors in our Annual Report on Form 10-K for the fiscal year ended December 31, 2014,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8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There have been no material changes from the risk factors previously disclosed in the Company's Annual Report on Form 10-K for the year ended December 31, 2014, as filed with the SEC.</w:t>
      </w: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March 31,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60"/>
        </w:trPr>
        <w:tc>
          <w:tcPr>
            <w:tcW w:w="4120" w:type="dxa"/>
            <w:vAlign w:val="bottom"/>
            <w:gridSpan w:val="3"/>
            <w:vMerge w:val="continue"/>
          </w:tcPr>
          <w:p>
            <w:pPr>
              <w:spacing w:after="0"/>
              <w:rPr>
                <w:sz w:val="13"/>
                <w:szCs w:val="13"/>
                <w:color w:val="auto"/>
              </w:rPr>
            </w:pPr>
          </w:p>
        </w:tc>
        <w:tc>
          <w:tcPr>
            <w:tcW w:w="1740" w:type="dxa"/>
            <w:vAlign w:val="bottom"/>
          </w:tcPr>
          <w:p>
            <w:pPr>
              <w:jc w:val="right"/>
              <w:ind w:right="456"/>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January 31, 2015</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1 - February 28, 2015</w:t>
            </w:r>
          </w:p>
        </w:tc>
        <w:tc>
          <w:tcPr>
            <w:tcW w:w="1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2014 - March 31, 2015</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99,915,058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right="60" w:firstLine="8"/>
        <w:spacing w:after="0" w:line="26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2013, the Board of Directors authorized a stock repurchase program allowing Euronet to repurchase up to $100 million in value or 5 million shares of its common stock through September 19, 2015. Repurchases may take place in the open market or in privately negotiated transactions, including derivative transactions, and may be made under a Rule 10b5-1 plan. As of March 31, 2015, the maximum number of shares that could be purchased by Euronet under the program was $99.9 million in value or 4,998,400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w:t>
            </w:r>
          </w:p>
        </w:tc>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Certification of Chief Financial Officer</w:t>
            </w:r>
          </w:p>
        </w:tc>
      </w:tr>
      <w:tr>
        <w:trPr>
          <w:trHeight w:val="25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March 31, 2015,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(eXtensible Business Reporting Language): (i) Consolidated Balance Sheets at March 31, 2015 (unaudited) and December 31, 2014,</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 Consolidated Statements of Income (unaudited) for the three months ended March 31, 2015 and 2014, (iii) Consolidated Statements of</w:t>
            </w:r>
          </w:p>
        </w:tc>
      </w:tr>
    </w:tbl>
    <w:p>
      <w:pPr>
        <w:ind w:left="1180" w:right="140"/>
        <w:spacing w:after="0" w:line="255" w:lineRule="auto"/>
        <w:rPr>
          <w:sz w:val="20"/>
          <w:szCs w:val="20"/>
          <w:color w:val="auto"/>
        </w:rPr>
      </w:pPr>
      <w:r>
        <w:rPr>
          <w:rFonts w:ascii="Times New Roman" w:cs="Times New Roman" w:eastAsia="Times New Roman" w:hAnsi="Times New Roman"/>
          <w:sz w:val="18"/>
          <w:szCs w:val="18"/>
          <w:color w:val="auto"/>
        </w:rPr>
        <w:t>Comprehensive Income (Loss) (unaudited) for the three months ended March 31, 2015 and 2014, (iv) Consolidated Statements of Cash Flows (unaudited) for the three months ended March 31, 2015 and 2014, and (v) Notes to the Unaudited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8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240" w:top="121" w:right="3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264"/>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before adjustment for income from unconsolidated 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1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25,380</w:t>
            </w:r>
          </w:p>
        </w:tc>
      </w:tr>
      <w:tr>
        <w:trPr>
          <w:trHeight w:val="23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360"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2015</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2015</w:t>
      </w:r>
    </w:p>
    <w:p>
      <w:pPr>
        <w:spacing w:after="0" w:line="38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2015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2015</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2015 as filed with the Securities and Exchange Commission on the date hereof (the “Report”), the undersigned hereby certifies,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2019-12-29T17:34:55Z</dcterms:created>
  <dcterms:modified xsi:type="dcterms:W3CDTF">2019-12-29T17:34:55Z</dcterms:modified>
</cp:coreProperties>
</file>