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April 28, 2016, Euronet Worldwide, Inc. had 52,046,570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as of March 31, 2016 and December 31, 2015</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for the Three Months Ended March 31, 2016 and 2015</w:t>
              </w:r>
            </w:hyperlink>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0" w:type="dxa"/>
            <w:vAlign w:val="bottom"/>
            <w:gridSpan w:val="14"/>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Consolidated Statements of Comprehensive Income (Loss) for the Three Months Ended March 31, 2016 and 2015</w:t>
              </w:r>
            </w:hyperlink>
          </w:p>
        </w:tc>
        <w:tc>
          <w:tcPr>
            <w:tcW w:w="222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0" w:type="dxa"/>
            <w:vAlign w:val="bottom"/>
            <w:gridSpan w:val="14"/>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for the Three Months Ended March 31, 2016 and 2015</w:t>
              </w:r>
            </w:hyperlink>
          </w:p>
        </w:tc>
        <w:tc>
          <w:tcPr>
            <w:tcW w:w="222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gridSpan w:val="1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Unaudited Consolidated Financial Statements</w:t>
              </w:r>
            </w:hyperlink>
          </w:p>
        </w:tc>
        <w:tc>
          <w:tcPr>
            <w:tcW w:w="346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19">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19">
              <w:r>
                <w:rPr>
                  <w:rFonts w:ascii="Arial" w:cs="Arial" w:eastAsia="Arial" w:hAnsi="Arial"/>
                  <w:sz w:val="17"/>
                  <w:szCs w:val="17"/>
                  <w:color w:val="0000EE"/>
                </w:rPr>
                <w:t>19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7">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8">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1">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457,518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45,312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72,108</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3"/>
              </w:rPr>
              <w:t>Trade accounts receivable, net of allowances for doubtful accounts of $20,694 at March, 31 2016 and $19,140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2015</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354,978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423,299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132,773</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1,133,907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1,131,010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$253,662 at March, 31 2016 and $242,111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169,719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704,449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685,178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Acquired intangible assets, net of accumulated amortization of $139,303 at March 31, 2016 and $131,095 at December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31, 2015</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Other assets, net of accumulated amortization of $34,236 at March 31, 2016 and $32,434 at December 31, 2015</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51,186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2,232,219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355,443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456,159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382,873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12,060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14,962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871,971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903,932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33,924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19,311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1,412,465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1,366,786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Common Stock, $0.02 par value. 90,000,000 shares authorized; 58,127,649 issued at March 31, 2016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57,961,043 issued at December 31, 2015</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1,029,598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1,023,254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Treasury stock, at cost, 6,088,795 shares at March 31, 2016 and 4,929,241 shares at December 31, 2015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(138,750)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133,521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104,427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(165,528)</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818,331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824,562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819,754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825,928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2,232,219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6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395,162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251,357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60,328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34,034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17,280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396,005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362,999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41,889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32,163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(12,952)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14,122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29,084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7,125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9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29,094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7,178</w:t>
            </w:r>
          </w:p>
        </w:tc>
      </w:tr>
      <w:tr>
        <w:trPr>
          <w:trHeight w:val="257"/>
        </w:trPr>
        <w:tc>
          <w:tcPr>
            <w:tcW w:w="88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61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03"/>
        </w:trPr>
        <w:tc>
          <w:tcPr>
            <w:tcW w:w="286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w w:val="90"/>
              </w:rPr>
              <w:t>Weighted average shares outstanding:</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52,685,765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51,673,160</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9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54,529,588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53,625,641</w:t>
            </w:r>
          </w:p>
        </w:tc>
      </w:tr>
      <w:tr>
        <w:trPr>
          <w:trHeight w:val="20"/>
        </w:trPr>
        <w:tc>
          <w:tcPr>
            <w:tcW w:w="28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6160" w:type="dxa"/>
            <w:vAlign w:val="bottom"/>
            <w:gridSpan w:val="2"/>
          </w:tcPr>
          <w:p>
            <w:pPr>
              <w:jc w:val="center"/>
              <w:ind w:right="37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2860" w:type="dxa"/>
            <w:vAlign w:val="bottom"/>
          </w:tcPr>
          <w:p>
            <w:pPr>
              <w:spacing w:after="0"/>
              <w:rPr>
                <w:sz w:val="24"/>
                <w:szCs w:val="24"/>
                <w:color w:val="auto"/>
              </w:rPr>
            </w:pPr>
          </w:p>
        </w:tc>
        <w:tc>
          <w:tcPr>
            <w:tcW w:w="5940" w:type="dxa"/>
            <w:vAlign w:val="bottom"/>
          </w:tcPr>
          <w:p>
            <w:pPr>
              <w:jc w:val="right"/>
              <w:ind w:right="29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3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34,702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(55,340)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217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63,843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2,875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22,726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81,736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51,155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(100,741)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75,558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104,613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54,501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2,350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538,969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Repayments of short-term debt obligations,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(22,648)</w:t>
            </w:r>
          </w:p>
        </w:tc>
      </w:tr>
      <w:tr>
        <w:trPr>
          <w:trHeight w:val="243"/>
        </w:trPr>
        <w:tc>
          <w:tcPr>
            <w:tcW w:w="880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91,014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12,702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457,518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468,010</w:t>
            </w:r>
          </w:p>
        </w:tc>
      </w:tr>
      <w:tr>
        <w:trPr>
          <w:trHeight w:val="230"/>
        </w:trPr>
        <w:tc>
          <w:tcPr>
            <w:tcW w:w="8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548,532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480,712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11,944</w:t>
            </w:r>
          </w:p>
        </w:tc>
      </w:tr>
      <w:tr>
        <w:trPr>
          <w:trHeight w:val="230"/>
        </w:trPr>
        <w:tc>
          <w:tcPr>
            <w:tcW w:w="8800" w:type="dxa"/>
            <w:vAlign w:val="bottom"/>
          </w:tcPr>
          <w:p>
            <w:pPr>
              <w:ind w:left="298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2015, including the notes thereto, set forth in the Company’s 2015 Annual Report on Form 10-K. Certain amounts in prior years have been reclassified to conform to the current year's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tourism season. Additionally, the EFT Processing and epay Segments are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March 2016, the FASB issued Accounting Standards Update No.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w:t>
      </w:r>
      <w:r>
        <w:rPr>
          <w:rFonts w:ascii="Arial" w:cs="Arial" w:eastAsia="Arial" w:hAnsi="Arial"/>
          <w:sz w:val="16"/>
          <w:szCs w:val="16"/>
          <w:i w:val="1"/>
          <w:iCs w:val="1"/>
          <w:color w:val="auto"/>
        </w:rPr>
        <w:t>Improvements to 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Share-Based Payment Accounting </w:t>
      </w:r>
      <w:r>
        <w:rPr>
          <w:rFonts w:ascii="Arial" w:cs="Arial" w:eastAsia="Arial" w:hAnsi="Arial"/>
          <w:sz w:val="16"/>
          <w:szCs w:val="16"/>
          <w:color w:val="auto"/>
        </w:rPr>
        <w:t>(“ASU 2016-09”), which addresses how companies account for certain aspects of share-based payments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will be required to recognize the income tax effects of awards in the statement of income when the awards vest or are settled, and to present excess tax benefits as an operating activity on the statement of cash flows rather than as a financing activity. The ASU also addresses such areas as an accounting policy election for forfeitures and the amount an employer can withhold to cover income taxes and still qualify for equity classification. The amendments in this ASU will be effective for annual periods beginning after December 15, 2016 and interim periods within those annual periods. Early adoption is permitted. The Company is currently evaluating the impact of the adoption of this standard on its consolidated financial statements.</w:t>
      </w:r>
    </w:p>
    <w:p>
      <w:pPr>
        <w:spacing w:after="0" w:line="11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March 2016, the FASB issued Accounting Standards Update No. 2016-06, </w:t>
      </w:r>
      <w:r>
        <w:rPr>
          <w:rFonts w:ascii="Arial" w:cs="Arial" w:eastAsia="Arial" w:hAnsi="Arial"/>
          <w:sz w:val="17"/>
          <w:szCs w:val="17"/>
          <w:i w:val="1"/>
          <w:iCs w:val="1"/>
          <w:color w:val="auto"/>
        </w:rPr>
        <w:t>Derivatives and Hedging (Topic 815), Contingent Put and Call Options in Debt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2016-06”). The new standard clarifies that an entity is required to assess whether the economic characteristics and risks of embedded put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call options are clearly and closely related to those of their debt hosts only in accordance with the four-step decision sequence in ASU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For contingently exercisable put or call options, an entity does not have to assess whether the event that triggers the ability to exercise a put or call</w:t>
      </w:r>
      <w:r>
        <w:rPr>
          <w:rFonts w:ascii="Arial" w:cs="Arial" w:eastAsia="Arial" w:hAnsi="Arial"/>
          <w:sz w:val="17"/>
          <w:szCs w:val="17"/>
          <w:i w:val="1"/>
          <w:iCs w:val="1"/>
          <w:color w:val="auto"/>
        </w:rPr>
        <w:t xml:space="preserve"> </w:t>
      </w:r>
      <w:r>
        <w:rPr>
          <w:rFonts w:ascii="Arial" w:cs="Arial" w:eastAsia="Arial" w:hAnsi="Arial"/>
          <w:sz w:val="17"/>
          <w:szCs w:val="17"/>
          <w:color w:val="auto"/>
        </w:rPr>
        <w:t>option is related to interest rates or credit risk of the entity. The ASU does not change the existing criteria for determining when bifurcation of an embedded put or call option in a debt instrument is required. The amendments of this ASU are effective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annual periods beginning after December 15, 2016, with early adoption permitted. Entities are required to apply the guidance to existing debt instruments using a modified retrospective transition method as of the period of adoption. The Company does not expect the adoption of this ASU to have a significant impact on its consolidated financial statements and related disclosures.</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 xml:space="preserve">In March 2016, the FASB issued Accounting Standards Update No. 2016-04, </w:t>
      </w:r>
      <w:r>
        <w:rPr>
          <w:rFonts w:ascii="Arial" w:cs="Arial" w:eastAsia="Arial" w:hAnsi="Arial"/>
          <w:sz w:val="17"/>
          <w:szCs w:val="17"/>
          <w:i w:val="1"/>
          <w:iCs w:val="1"/>
          <w:color w:val="auto"/>
        </w:rPr>
        <w:t>Recognition of Breakage for Certain Prepaid Stored-Value Products</w:t>
      </w:r>
      <w:r>
        <w:rPr>
          <w:rFonts w:ascii="Arial" w:cs="Arial" w:eastAsia="Arial" w:hAnsi="Arial"/>
          <w:sz w:val="17"/>
          <w:szCs w:val="17"/>
          <w:color w:val="auto"/>
        </w:rPr>
        <w:t xml:space="preserve"> (“ASU 2016-04”). The new standard specifies that liabilities within its scope are considered to be financial liabilities, and amends the guidance in ASC 405-20, </w:t>
      </w:r>
      <w:r>
        <w:rPr>
          <w:rFonts w:ascii="Arial" w:cs="Arial" w:eastAsia="Arial" w:hAnsi="Arial"/>
          <w:sz w:val="17"/>
          <w:szCs w:val="17"/>
          <w:i w:val="1"/>
          <w:iCs w:val="1"/>
          <w:color w:val="auto"/>
        </w:rPr>
        <w:t>Extinguishments of Liabilities</w:t>
      </w:r>
      <w:r>
        <w:rPr>
          <w:rFonts w:ascii="Arial" w:cs="Arial" w:eastAsia="Arial" w:hAnsi="Arial"/>
          <w:sz w:val="17"/>
          <w:szCs w:val="17"/>
          <w:color w:val="auto"/>
        </w:rPr>
        <w:t>, by directing entities to derecognize prepaid stored-value product liabilities based on expected breakage in proportion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pattern of rights expected to be exercised by the consumer. Derecognition for breakage is permitted only to the extent that it is probable that a significant reversal of recognized breakage will not subsequently occur. The new standard is consistent with the breakage guidance in the new revenue standard. The ASU is effective for annual periods beginning after December 15, 2017, and is applied either using a modified retrospective transition method or retrospectively. Early adoption is permitted. The Company is currently evaluating the expected impact of the adoption of this standard on its consolidated financial statements and related disclosures.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(“ASU 2016-02”),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is currently evaluating the expected impact of the adoption of this standard on its consolidated financial statements and related disclosures.</w:t>
      </w:r>
    </w:p>
    <w:p>
      <w:pPr>
        <w:spacing w:after="0" w:line="12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January 2016, the FASB issued Accounting Standards Update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(“ASU 2016-01”), which addresses certain aspects of recognition, measurement, presentation, and disclosure of financial instruments. ASU 2016-01 is effective for financial statements issued for annual periods beginning after December 15, 2017, and interim periods within those annual periods. The Company does not expect that the adoption of this standard will have a significant impact on its consolidated financial statements and related disclosures.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requires an entity to recognize the amount of revenue to which it expects to be entitled for the transfer of 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 and the Company has the option to adopt it effective January 1, 2017. The standard permits the use of either the retrospective or cumulative effect transition method. In March 2016, the FASB issued Accounting Standards Update No. 2016-08, </w:t>
      </w:r>
      <w:r>
        <w:rPr>
          <w:rFonts w:ascii="Arial" w:cs="Arial" w:eastAsia="Arial" w:hAnsi="Arial"/>
          <w:sz w:val="16"/>
          <w:szCs w:val="16"/>
          <w:i w:val="1"/>
          <w:iCs w:val="1"/>
          <w:color w:val="auto"/>
        </w:rPr>
        <w:t>Revenue from Contracts with Customers (Topic 606), Principal versus Agent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Considerations (Reporting Revenue versus Net) </w:t>
      </w:r>
      <w:r>
        <w:rPr>
          <w:rFonts w:ascii="Arial" w:cs="Arial" w:eastAsia="Arial" w:hAnsi="Arial"/>
          <w:sz w:val="16"/>
          <w:szCs w:val="16"/>
          <w:color w:val="auto"/>
        </w:rPr>
        <w:t>(“ASU 2016-08”), which clarifies the implementation guidance on principal versus agent considerations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new revenue recognition standard. ASU 2016-08 clarifies how an entity should identify the unit of accounting (i.e., the specified good or service) for the principal versus agent evaluation and how it should apply the control principle to certain types of arrangements. In April 2016, the FASB issued Accounting Standards Update No. 2016-10, Revenue from Contracts with Customers (Topic 606),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(“ASU 2016-10”), which amends certain aspects of the guidance on identifying performance obligations and the implementation guidance on licensing. The Company is evaluating the effect the ASUs will have on its consolidated financial statements and related disclosures. The Company has not yet selected an adoption date, a transition method nor has it determined the effect of the standard on its ongoing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25"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52,685,765</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51,673,160</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 restricted stock</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1,698,945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1,952,481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144,878</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54,529,588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53,625,641</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includes the impact of all stock options and restricted stock that are dilutive to the Company’s weighted average common shares outstanding during the three months ended March 31, 2016 and 2015. The calculation of diluted earnings per share excludes stock options or shares of restricted stock that are anti-dilutive to the Company’s weighted average common shares outstanding of approximately 418,000 and 991,000 for the three months ended March 31, 2016 and 2015, respectively.</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During the three months ended March 31, 2016 and 2015, the Company had convertible notes outstanding that, if converted, could have had a potentially dilutive effect on its common stock. At issuance, the Company stated its intent to settle any conversion of these notes by paying cash for the principal value and issuing common stock for any conversion value in excess of the principal value. As of March 31, 2016, and currently, the Company maintains the intent and ability to settle any conversion as stated. Accordingly, the convertible notes would only have a dilutive effect if the market price per share of common stock exceeds the conversion price per share of common stock, which it did as of March 31, 2016. Therefore, according to Accounting Standards Codification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these notes were dilutive to earnings per share for the three months ended March 31, 2016. See Note 7, Debt Obligations, for more information about the convertible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Accumulated other comprehensive loss consists entirely of foreign currency translation adjustments. The Company recorded foreign currency translation gain of $34.7 million and loss of $55.3 million for the three months ended March 31, 2016 and 2015, respectively. There were no reclassifications of foreign currency translation into the consolidated statements of income for the three months ended March 31, 2016 and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January 2016, the Company announced that its Board of Directors authorized a stock repurchase program ("2016 Program") allowing us to repurchase up to $100 million in value or 5.0 million shares of its common stock through December 10, 2017. During the three months ended March 31, 2016, the Company repurchased 1.1 million shares at a weighted average purchase price of $65.74 for a total value of $75.6 million during the first quarter of 2016.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 Corporation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first quarter of 2016, the Company completed its valuation of the acquired assets and liabilities of the 2015 acquisition of XE Corporation and subsidiaries (“XE”), which included an adjustment to goodwill of $3.9 million during the quarter. The following table summarizes the fair values of the assets acquired and liabilities assumed as of the acquisition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As of July 2, 2015</w:t>
            </w: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1,294</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19,269</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341</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r>
      <w:tr>
        <w:trPr>
          <w:trHeight w:val="237"/>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22,937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(11,824)</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9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r>
      <w:tr>
        <w:trPr>
          <w:trHeight w:val="297"/>
        </w:trPr>
        <w:tc>
          <w:tcPr>
            <w:tcW w:w="9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109,460</w:t>
            </w:r>
          </w:p>
        </w:tc>
      </w:tr>
      <w:tr>
        <w:trPr>
          <w:trHeight w:val="297"/>
        </w:trPr>
        <w:tc>
          <w:tcPr>
            <w:tcW w:w="9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57"/>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119,976</w:t>
            </w:r>
          </w:p>
        </w:tc>
      </w:tr>
      <w:tr>
        <w:trPr>
          <w:trHeight w:val="20"/>
        </w:trPr>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2016, the Company adjusted the purchase price allocation of the 2015 acquisition of IME(M) Sdn Bhd and certain affiliated companies (“IME”). The adjustments included a net adjustment to goodwill of $1.3 million, which resulted from a working capital adjustment and the finalization of the estimated fair value of the assets acquired and liabilities assumed as of the acquisition date. The following table summarizes the fair values of the assets acquired and liabilities assumed as of the acquisition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8"/>
              </w:rPr>
              <w:t>As of June 17, 2015</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33,279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36,250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96,422</w:t>
            </w:r>
          </w:p>
        </w:tc>
        <w:tc>
          <w:tcPr>
            <w:tcW w:w="0" w:type="dxa"/>
            <w:vAlign w:val="bottom"/>
          </w:tcPr>
          <w:p>
            <w:pPr>
              <w:spacing w:after="0"/>
              <w:rPr>
                <w:sz w:val="1"/>
                <w:szCs w:val="1"/>
                <w:color w:val="auto"/>
              </w:rPr>
            </w:pPr>
          </w:p>
        </w:tc>
      </w:tr>
      <w:tr>
        <w:trPr>
          <w:trHeight w:val="297"/>
        </w:trPr>
        <w:tc>
          <w:tcPr>
            <w:tcW w:w="44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4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(30,541)</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Total liabilities assumed</w:t>
            </w:r>
          </w:p>
        </w:tc>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(45,971)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31,443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80" w:type="dxa"/>
            <w:vAlign w:val="bottom"/>
            <w:shd w:val="clear" w:color="auto" w:fill="CCEEFF"/>
          </w:tcPr>
          <w:p>
            <w:pPr>
              <w:spacing w:after="0"/>
              <w:rPr>
                <w:sz w:val="24"/>
                <w:szCs w:val="24"/>
                <w:color w:val="auto"/>
              </w:rPr>
            </w:pPr>
          </w:p>
        </w:tc>
        <w:tc>
          <w:tcPr>
            <w:tcW w:w="4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5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81,894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980" w:type="dxa"/>
            <w:vAlign w:val="bottom"/>
            <w:vMerge w:val="restart"/>
          </w:tcPr>
          <w:p>
            <w:pPr>
              <w:jc w:val="right"/>
              <w:ind w:right="35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4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 months ended March 31, 2016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853,150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25,592</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March 31,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170,303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704,449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874,752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March 31, 2016, is expected to total $19.1 million for the remainder of 2016, $23.5 million for 2017, $21.2 million for 2018, $20.4 million for 2019, $19.8 million for 2020 and $18.9 million for 2021.</w:t>
      </w:r>
    </w:p>
    <w:p>
      <w:pPr>
        <w:spacing w:after="0" w:line="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2015 resulted in no impairment charge.</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2015 annual impairment test could change, which may result in the Company recording material non-cash impairment charges during the year in which these changes take place.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March 31, 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121,236</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125,366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Money transfer settlement obligations</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192,744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159,854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71,762</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441,771</w:t>
            </w:r>
          </w:p>
        </w:tc>
        <w:tc>
          <w:tcPr>
            <w:tcW w:w="5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382,873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2016</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Term loan, due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65,625</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67,031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79,544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7,701</w:t>
            </w:r>
          </w:p>
        </w:tc>
      </w:tr>
      <w:tr>
        <w:trPr>
          <w:trHeight w:val="237"/>
        </w:trPr>
        <w:tc>
          <w:tcPr>
            <w:tcW w:w="8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145,169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74,732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350,431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347,878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5,731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500,565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428,341</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490,319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417,532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(12,060)</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478,610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405,472</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March 31, 2016, the Company had a $675 million senior secured credit facility (the "Credit Facility") consisting of a $600 million revolving credit facility and a $75 million term loan ("Term Loan A"), which had been reduced to $65.6 million through principal amortization payments. The Credit Facility expires April 9, 2019.</w:t>
      </w:r>
    </w:p>
    <w:p>
      <w:pPr>
        <w:spacing w:after="0" w:line="12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on borrowings under the revolving credit facility and Term Loan A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2.59% and 1.81%, respectively, as of March 31,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Convertible Senior Notes due 2044 (“Convertible Notes”) had a principal amount outstanding of $402.5 million as of March 31, 2016. Contractual interest expense was $1.5 million for both of the three-month periods ended March 31, 2016 and 2015. Accretion expense was $2.6 million and $2.4 million for the three months ended March 31, 2016 and 2015, respectively. The effective interest rate was 4.7% for the three months ended March 31, 2016. As of March 31, 2016, the unamortized discount was $52.1 million, and will be amortized through October 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primarily due to either the relatively short duration of the contract term or the effects of fluctuations in currency exchange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being reflected concurrently in earnings for both the derivative instrument and the transaction and having an offsetting effect.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1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31, 2016, the Company had foreign currency forward contracts outstanding in the U.S. with a notional value of $207 million, primarily in Australian dollars, Canadian dollars, British pounds, euros and Mexican pesos.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$15.2 million and $15.7 million for the three months ended March 31, 2016, and 2015, respectively. All of the derivative contracts used in the Company's HiFX operations are economic hedges and are not designated as hedges under ASC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11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March 31, 2016 was approximately $952 million. The majority of customer contracts are written in major currencies such as the U.S. dollar, euro, Canadian dollar, British pound, and Australian dollar.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w w:val="89"/>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3"/>
                <w:szCs w:val="13"/>
                <w:color w:val="auto"/>
              </w:rPr>
            </w:pP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1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76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50,268</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March 31, 2016 and December 31, 2015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March 31, 2016</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50,268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50,268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17,483</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37,034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March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25,630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19,786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three months ended March 31, 2016 and 2015:</w:t>
      </w:r>
    </w:p>
    <w:p>
      <w:pPr>
        <w:spacing w:after="0" w:line="10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Amount of Gain (Loss) Recognized in</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Income on Derivative Contracts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Location of Gain (Loss) Recognized in</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5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gain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1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(1,080)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As of March 31, 2016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50,268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50,268</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(37,181)</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37,034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37,034</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(25,891)</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March 31, 2016 and December 31, 2015, the fair values of the Convertible Notes were $512.3 million and $509.7 million, respectively, with carrying values of $350.4 million and $347.9 million,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125"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20" w:hanging="648"/>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which are executed by a third party.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months ended March 31, 2016 and 2015:</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181,573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437,894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271,626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12,095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67,237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37,854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19,288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160,047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396,005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13,270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21,526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41,889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5"/>
              </w:rPr>
              <w:t>For the Three Months Ended March 31,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144,806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395,162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137,217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251,357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12,045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31,093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60,328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160,352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362,999</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11,370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15,573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32,163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Property and Equipment, net as of</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539,891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469,351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24,722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610,175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646,000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1,067,137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1,040,737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36,626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169,719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157,368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7"/>
              </w:rPr>
              <w:t>2,232,219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The Company's effective income tax rates were 23.9% and 49.5% for the three months ended </w:t>
      </w:r>
      <w:r>
        <w:rPr>
          <w:rFonts w:ascii="Arial" w:cs="Arial" w:eastAsia="Arial" w:hAnsi="Arial"/>
          <w:sz w:val="17"/>
          <w:szCs w:val="17"/>
          <w:color w:val="252525"/>
        </w:rPr>
        <w:t>March 31, 2016</w:t>
      </w:r>
      <w:r>
        <w:rPr>
          <w:rFonts w:ascii="Arial" w:cs="Arial" w:eastAsia="Arial" w:hAnsi="Arial"/>
          <w:sz w:val="17"/>
          <w:szCs w:val="17"/>
          <w:color w:val="auto"/>
        </w:rPr>
        <w:t xml:space="preserve"> and 2015, respectively. The effective income tax rate for the three months ended March 31, 2015 was significantly influenced by foreign currency exchange losses, most of which are not currently deductible for income tax purposes, resulting in a higher effective income tax rate when compared to the same period of 2016.</w:t>
      </w:r>
    </w:p>
    <w:p>
      <w:pPr>
        <w:spacing w:after="0" w:line="5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Company's effective income tax rates for the three months ended March 31, 2016 and 2015, as adjusted for foreign currency exchange gains and losses,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March 31, 2016, the Company had $72.4 million of stand-by letters of credit/bank guarantees issued on its behalf, of which $46.5 million are outstanding under the revolving credit facility. The remaining stand-by letters of credit/bank guarantees are collateralized by $3.3 million of cash deposits held by the respective issuing banks.</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March 31, 2016, the Company had granted off balance sheet guarantees for cash in various ATM networks amounting to $15.9 million over the terms of the cash supply agreements and performance guarantees amounting to approximately $24.6 million over the terms of agreements with the customers.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mitigated by relevant insurance coverage and may be subject to time and materiality limitations, monetary caps and other conditions and defenses. Such indemnification obligations include the following:</w:t>
      </w:r>
    </w:p>
    <w:p>
      <w:pPr>
        <w:spacing w:after="0" w:line="62" w:lineRule="exact"/>
        <w:rPr>
          <w:sz w:val="20"/>
          <w:szCs w:val="20"/>
          <w:color w:val="auto"/>
        </w:rPr>
      </w:pPr>
    </w:p>
    <w:p>
      <w:pPr>
        <w:ind w:left="580" w:right="60" w:hanging="329"/>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March 31, 2016, the balance of cash used in the Company's ATM networks for which the Company was responsible was approximately $405 million. The Company maintains insurance policies to mitigate this exposure;</w:t>
      </w:r>
    </w:p>
    <w:p>
      <w:pPr>
        <w:spacing w:after="0" w:line="78" w:lineRule="exact"/>
        <w:rPr>
          <w:rFonts w:ascii="Arial" w:cs="Arial" w:eastAsia="Arial" w:hAnsi="Arial"/>
          <w:sz w:val="18"/>
          <w:szCs w:val="18"/>
          <w:color w:val="auto"/>
        </w:rPr>
      </w:pPr>
    </w:p>
    <w:p>
      <w:pPr>
        <w:ind w:left="580" w:right="12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580" w:right="18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4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60" w:hanging="329"/>
        <w:spacing w:after="0" w:line="29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March 31, 2016 or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CONTINGENCIES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markets for our products and services; our ability to successfully introduce new products and services; foreign currency exchange rate fluctuations; the effects of any breach of our computer systems, including our financial processing networks;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and anti-bribery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2015. Our Annual Report on Form 10-K is available on the SEC's EDGAR website at www.sec.gov, and a copy may also be obtained by contacting the Company. All forward-looking statements made in this Form 10-Q speak only as of the date of this report.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60" w:hanging="648"/>
        <w:spacing w:after="0" w:line="27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24,761 ATMs and approximately 129,000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658,000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hanging="648"/>
        <w:spacing w:after="0" w:line="26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our websites (www.riamoneytransfer.com and www.imeremit.com), disbursing money transfers through a worldwide correspondent network that includes approximately 310,000 locations. XE is a provider of foreign currency exchange information and offers money transfer services on its currency data websites (www.xe.com and www.x-rates.com), which are executed by a third party.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w:t>
      </w:r>
    </w:p>
    <w:p>
      <w:pPr>
        <w:spacing w:after="0" w:line="75" w:lineRule="exact"/>
        <w:rPr>
          <w:sz w:val="20"/>
          <w:szCs w:val="20"/>
          <w:color w:val="auto"/>
        </w:rPr>
      </w:pPr>
    </w:p>
    <w:p>
      <w:pPr>
        <w:ind w:left="60" w:right="2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32 principal offices in Europe, 12 in Asia Pacific, eight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20%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39% of total consolidated revenues for the first quarter of 2016, are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derived from commissions or processing fees received from mobile phone operators for the processing and distribution of prepaid mobile airtime and commissions earned from the distribution of other electronic payment products, vouchers, and physical gifts. The proportion of our revenues earned from the distribution of prepaid mobile phone time as compared with other electronic products has decreased over time, and non-mobile content now produces approximately 45% of our revenues.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 Agreements with mobile operators and prepaid content providers are important to the success of our business and these agreements permit us to distribute prepaid mobile airtime and other electronic payment products to retailers.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Revenues in the Money Transfer Segment, which represented approximately 41%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our websites www.riamoneytransfer.com, www.hifx.co.uk, www.hifx.com.au, www.imeremit.com, www.xe.com and www.x-rates.com,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70"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has an initial term of three years from the launch date of April 2014, which will automatically renew for an additional two year term and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7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DCC services to banks and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0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use existing expertise and relationships with mobile operators, digital content providers and retailers to our advantage;</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right="34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all mobile operators' products) remain present.</w:t>
      </w:r>
    </w:p>
    <w:p>
      <w:pPr>
        <w:spacing w:after="0" w:line="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months ended March 31, 2016 and 2015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Revenues for the Three Months</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Ended March 31,</w:t>
            </w:r>
          </w:p>
        </w:tc>
        <w:tc>
          <w:tcPr>
            <w:tcW w:w="14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5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11,889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170,105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175,925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181,573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144,806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36,767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7"/>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438,247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395,411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42,836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57"/>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437,894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395,162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42,732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Operating Income (Expense) for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the Three Months Ended March</w:t>
            </w:r>
          </w:p>
        </w:tc>
        <w:tc>
          <w:tcPr>
            <w:tcW w:w="220" w:type="dxa"/>
            <w:vAlign w:val="bottom"/>
          </w:tcPr>
          <w:p>
            <w:pPr>
              <w:spacing w:after="0"/>
              <w:rPr>
                <w:sz w:val="12"/>
                <w:szCs w:val="12"/>
                <w:color w:val="auto"/>
              </w:rPr>
            </w:pPr>
          </w:p>
        </w:tc>
        <w:tc>
          <w:tcPr>
            <w:tcW w:w="206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w w:val="92"/>
              </w:rPr>
              <w:t>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3"/>
                <w:szCs w:val="13"/>
                <w:color w:val="auto"/>
              </w:rPr>
            </w:pPr>
          </w:p>
        </w:tc>
        <w:tc>
          <w:tcPr>
            <w:tcW w:w="98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78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1,900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epay</w:t>
            </w: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15,815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15,573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7,722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50,611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9,864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360" w:type="dxa"/>
            <w:vAlign w:val="bottom"/>
          </w:tcPr>
          <w:p>
            <w:pPr>
              <w:ind w:left="380"/>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spacing w:after="0"/>
              <w:rPr>
                <w:sz w:val="22"/>
                <w:szCs w:val="22"/>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41,889</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32,163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9,726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vMerge w:val="restart"/>
          </w:tcPr>
          <w:p>
            <w:pPr>
              <w:jc w:val="right"/>
              <w:ind w:right="8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3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translated into U.S. dollars for financial reporting purposes; therefore, amounts we earn outside the U.S. are negatively impacted by the stronger U.S. dollar and positively impacted by the weaker U.S. dollar. On average, the U.S. dollar was stronger in the first quarter of 2016 than the same period of 2015 compared to currencies of most markets in which we operate. Considering the results by country and the associated functional currency, we estimate that our reported consolidated operating income for the first quarter of 2016 was 3% less due to the changes in foreign currency exchange rates when compared to the same period of 2015.</w:t>
      </w:r>
    </w:p>
    <w:p>
      <w:pPr>
        <w:spacing w:after="0" w:line="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Average Translation Rate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0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71"/>
        </w:trPr>
        <w:tc>
          <w:tcPr>
            <w:tcW w:w="39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3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0.7862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3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0.2570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0.3506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1.5149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euro</w:t>
            </w:r>
          </w:p>
        </w:tc>
        <w:tc>
          <w:tcPr>
            <w:tcW w:w="3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1.1038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1.1265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0.0037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Indian rupee</w:t>
            </w:r>
          </w:p>
        </w:tc>
        <w:tc>
          <w:tcPr>
            <w:tcW w:w="3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0.0148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0.0161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0.6641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0.7516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36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0.2532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0.2690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94"/>
        </w:trPr>
        <w:tc>
          <w:tcPr>
            <w:tcW w:w="3920" w:type="dxa"/>
            <w:vAlign w:val="bottom"/>
          </w:tcPr>
          <w:p>
            <w:pPr>
              <w:spacing w:after="0"/>
              <w:rPr>
                <w:sz w:val="24"/>
                <w:szCs w:val="24"/>
                <w:color w:val="auto"/>
              </w:rPr>
            </w:pPr>
          </w:p>
        </w:tc>
        <w:tc>
          <w:tcPr>
            <w:tcW w:w="3200" w:type="dxa"/>
            <w:vAlign w:val="bottom"/>
          </w:tcPr>
          <w:p>
            <w:pPr>
              <w:jc w:val="right"/>
              <w:ind w:right="12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MONTHS ENDED MARCH 31,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2016 and 2015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11,406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1,443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71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13,270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11,370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1,900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ATMs as of March 31,</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24,761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3,898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24,475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EFT Processing Segment total revenues for the three months ended March 31, 2016 was $86.6 million, an increase of $11.9 million or 16% as compared to the same period in 2015. The increase in total revenues for the three months ended March 31, 2016 was primarily due to an increase in the number of ATMs under management, primarily in Europe and India, partially offset by the impact of the U.S. dollar strengthening against key foreign currencies. Foreign currency movements reduced total revenues by approximately $3.6 million for the three months ended March 31, 2016 as compared to the same period in 2015. The increase in ATMs and POS devices also contributed to an increase in dynamic currency conversion ("DCC") revenues, primarily in Europe.</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EFT Processing business has also been affected by the ongoing economic crisis in Greece and the related capital controls implemented by the Greek government. In mid-2015, the Greek government implemented restrictions on the transfer of funds and cash withdrawals, which shifted the consumer behavior towards POS card payments. As result, there was an increase in transactions processed on our network of POS devices in Greece, which contributed to an increase in POS revenues. For the three months ended March 31, 2016, revenues were also higher than prior year as a result of a higher volume of sales of POS devices in Greece.</w:t>
      </w:r>
    </w:p>
    <w:p>
      <w:pPr>
        <w:spacing w:after="0" w:line="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Average monthly revenues per ATM was $1,179 for the first quarter of 2016 compared to $1,208 for the first quarter of 2015. The decrease was primarily due to the addition of approximately 2,600 ATMs in India from one ATM driving contract which earns minimal revenue and the strengthening of the U.S. dollar against key foreign currencies, partly offset by revenue growth from an increase in ATMs under management in Europe and DCC transactions processed. Revenues per transaction was $0.24 for the first quarter of 2016 compared to $0.25 for the first quarter of 2015. The decrease is primarily due to the transaction growth in India from one ATM driving contract, which earns lower revenues per transaction than other ATM or card based services.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EFT Processing Segment direct operating costs were $46.7 million for the three months ended March 31, 2016, an increase of $7.6 million or 19% as compared to the same period in 2015.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 in direct operating costs for the first three months of 2016 was primarily due to an increase in the number of ATMs under management, partly offset by the impact of the U.S. dollar strengthening against key foreign currencies.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which is calculated as revenues less direct operating costs, was $39.8 million for the three months ended March 31, 2016 compared to $35.6 million for the three months ended March 31, 2015. The increase in gross profit was primarily due to the growth in revenues from the increases in ATMs under management and DCC transactions processed, partly offset by the impact of the U.S dollar strengthening against key foreign currencies. Gross profit as a percentage of revenues (“gross margin”) was 46.0% for the three months ended March 31, 2016 compared to 47.6% for the three months ended March 31, 2015. The decrease in gross margin for the first three months of 2016 was primarily due to the increase in operating costs exceeding the growth in total revenues due to the expansion of our Independent ATM Deployed (“IAD”) networks which incur fixed costs throughout the year but produce seasonally lower revenues in the first quarter.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Salaries and benefits increased $0.4 million or 4% for the three months ended March 31, 2016 compared to the same period in 2015. This increase in salaries and benefits was primarily attributable to additional headcount to support an increase in the number of ATMs and POS devices under management. As a percentage of revenues, these costs decreased to 13.2% for the first quarter of 2016 from 14.7% for first quarter of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general and administrative expenses for the three months ended March 31, 2016 was $6.3 million, an increase of $0.5 million or 9% as compared to the same period in 2015. The increase was primarily due to the additional support costs as a result of the increase in the number of ATMs under management, partly offset by the impact of the U.S. dollar strengthening against key foreign currencies. As a percentage of revenues, these expenses decreased to 7.3% for the first quarter of 2016 from 7.7% for the first quarter of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Depreciation and amortization expense increased $1.4 million for the three months ended March 31, 2016 compared to the same period in 2015. The increase during the three months ended March 31, 2016 was primarily attributable to the deployment of additional ATMs under management, including more expensive cash recycling ATMs, and software assets, partly offset by the impact of the U.S. dollar strengthening against key foreign currencies. As a percentage of revenues, depreciation and amortization expense increased to 10.2% for the first quarter of 2016 from 9.9% for the first quarter of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EFT Processing Segment operating income for the three months ended March 31, 2016 was $13.3 million, an increase of $1.9 million or 17% as compared to the same period of 2015. EFT Processing Segment operating income for the three months ended March 31, 2016 increased primarily from higher operating revenues due to the additional number of ATMs under management and growth in revenues earned from POS device sales, DCC and other value added service transactions, partly offset by the impact of the U.S. dollar strengthening against key foreign currencies.</w:t>
      </w:r>
    </w:p>
    <w:p>
      <w:pPr>
        <w:spacing w:after="0" w:line="6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Operating income as a percentage of revenues (“operating margin”) was 15.3% for the first quarter of 2016 compared to 15.2% for the first quarter of 2015. Operating income per transaction was $0.04 for both the first quarter of 2016 and 2015. Operating margin and operating income per transaction were essentially flat for the first quarter of 2016 when compared to the same period in 2015. This is primarily attributable to higher operating revenues being offset by higher costs from increased variable expenses incurred to support the increased revenues and additional ATMs under management.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2016 and 2015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170,105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175,925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137,217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12,095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154,290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160,352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080" w:type="dxa"/>
            <w:vAlign w:val="bottom"/>
            <w:tcBorders>
              <w:bottom w:val="single" w:sz="8" w:color="CCEEFF"/>
            </w:tcBorders>
            <w:gridSpan w:val="2"/>
          </w:tcPr>
          <w:p>
            <w:pPr>
              <w:ind w:left="5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15,815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242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Transactions processed (millions)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________________</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epay Segment total revenues for the three months ended March 31, 2016 was $170.1 million, a decrease of $5.8 million or 3% as compared to the same period in 2015. The decrease in total revenues for the three months ended March 31, 2016 was primarily due to the impact of the U.S. dollar strengthening against key foreign currencies and a decrease in prepaid mobile transactions processed in the U.S. and U.K. Foreign currency movements reduced total revenues by approximately $7.8 million as compared to the same period in 2015. This decrease was partially offset by the transaction growth of non-mobile products processed in Germany. For the three months ended March 31, 2016, decreased revenues were also offset by an unexpected high volume of non-mobile transactions in an emerging market which is uncertain to recur.</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Revenues per transaction decreased to $0.53 for the first quarter of 2016 from $0.55 for the first quarter of 2015, primarily due to the impact of the U.S. dollar strengthening against key foreign currencies and growth in the number of prepaid mobile transactions processed in India, where revenues per transaction are considerably lower than average. The decrease in revenues per transaction was partly offset by the increase in the number of non-mobile transactions processed, for which we generally earn higher revenues per transaction than mobile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epay Segment direct operating costs were $130.2 million for the three months ended March 31, 2016, a decrease of $7.1 million or 5% compared to the same period in 2015. 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 in direct operating costs for the three months ended March 31, 2016 was primarily due to the net impact of the U.S. dollar strengthening against key foreign currencies and the decrease in prepaid mobile transactions processed in the U.S. and U.K.. The decreases were partly offset by additional cost to support the transaction growth of our non-mobile products in Germany and certain emerging markets, along with a write-down of certain inventory recognized in the three months ended March 31,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was $39.9 million for the three months ended March 31, 2016 compared to $38.7 million for the three months ended March 31, 2015. The increase in gross profit was primarily due to the growth of non-mobile transactions processed, for which we generally earn higher revenues per transaction than mobile transactions. The increase was partly offset by the net impact of the U.S. dollar strengthening against key foreign currencies, the inventory write-downs and the decreases in revenues in the U.S. and U.K.</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Gross margin was 23.5% for the three months ended March 31, 2016 compared to 22.0% for the same period in 2015. The increase in the first quarter of 2016 was primarily due to the increase in non-mobile transactions processed.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Salaries and benefits expense was essentially flat for the three months ended March 31, 2016 compared to the same period in 2015. This was primarily due to the U.S. dollar strengthening against key foreign currencies, partly offset by an increase in bonus expense related to the improved results and headcount added to support growth in Germany and India.</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percentage of revenues, salaries and benefits increased to 7.1% for the first quarter of 2016 compared to 6.8% for the same period of 2015, primarily due to headcount growth exceeding transaction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expenses for the three months ended March 31, 2016 was $9.0 million, an increase of 12% compared to the same period in 2015. The increase in selling, general and administrative expenses was primarily due to an increase in bad debt expense, partly offset by the net impact of the U.S. dollar strengthening against key foreign currencies. As a percentage of revenues, selling, general and administrative expenses increased to 5.3% for the three months ended March 31, 2016 from 4.6% for the same period in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Depreciation and amortization expense primarily represents depreciation of POS terminals we place in retail stores and the amortization of acquired intangible assets. Depreciation and amortization expense was flat for the three months ended March 31, 2016 compared to the same period in 2015. As a percentage of revenues, depreciation and amortization expense increased to 1.8% for the first quarter of 2016 from 1.7% for the same period in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epay Segment operating income for the three months ended March 31, 2016 was $15.8 million, an increase of $0.2 million or 2%, as compared to the same period in 2015. epay Segment operating income for the three months ended March 31, 2016 increased primarily due to the growth in transactions processed and lower support cost when compared to 2015, partly offset by the net impact of the U.S. dollar strengthening against key foreign currencies.</w:t>
      </w:r>
    </w:p>
    <w:p>
      <w:pPr>
        <w:spacing w:after="0" w:line="3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Operating margin increased to 9.3% for the first quarter of 2016 from 8.9% for the same period in 2015. Operating income per transaction was $0.05 for both the first quarter of 2016 and 2015. This is primarily attributable to the growth in transactions processed while keeping costs lower when compared to 2015.</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2016 and 2015 for the Money Transfer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181,573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144,806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36,767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36,843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5,750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7,320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160,047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131,002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29,045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7"/>
        </w:trPr>
        <w:tc>
          <w:tcPr>
            <w:tcW w:w="71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21,526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13,804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7,722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Money Transfers Segment total revenues for the three months ended March 31, 2016 was $181.6 million, an increase of $36.8 million or 25% as compared to the same period in 2015. The increase in total revenues for the three months ended March 31, 2016 was primarily due to an increase in the number of money transfers processed, driven by growth in our U.S and foreign agent and correspondent payout networks. The IME (M) Sdn Bhd ("IME") acquisition completed during the second quarter of 2015 and its Malaysian money transfer operation accounted for a significant portion of the growth during the quarter, with our domestic Walmart-2-Walmart money transfer service accounting for the majority of the remaining growth. The impacts of the July 2015 acquisition of XE Corporation and organic growth of HiFX also contributed to the increase in total revenues for the three months ended March 31, 2016. The increases were partly offset by the U.S. dollar strengthening against key foreign currencies.</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Revenues per transaction decreased to $9.71 for the first quarter of 2016 from $10.42 for the first quarter of 2015, primarily due to the impact of the U.S. dollar strengthening against key foreign currencies and the increase in volume from our Walmart money transfer product, which earns lower revenues per transaction than other money transfer services. Partly offsetting the decrease in revenues per transaction was the impact of the HiFX transactions which earn higher revenues per transaction than other money transfer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Money Transfers Segment direct operating costs were $95.1 million for the three months ended March 31, 2016, an increase of $19.9 million or 26% as compared to the same period in 2015. 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The increase in direct operating costs for the first quarter of 2016 compared to the same period of 2015 was primarily due to growth in the number of money transfer transactions processed in both the U.S. and foreign markets. Partly offsetting the increases in direct operating costs was the impact of the U.S. dollar strengthening against key foreign currencies.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Gross profit was $86.5 million for the three months ended March 31, 2016 compared to $69.6 million for the three months ended March 31, 2015. The increase in gross profit was primarily due to growth in the number of money transfer transactions processed in both the U.S. and foreign markets and the impact of our acquisitions of IME and XE. Partly offsetting the increase in gross profit was the impact of the U.S. dollar strengthening against key foreign currencies.</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Gross margin decreased to 47.6% for the three months ended March 31, 2016 from 48.1% for the three months ended March 31, 2015, primarily due to the growth of our Walmart money transfer product in the U.S., which earns a lower gross profit per transaction than other money transfer services, partly offset by the impact of our money transfer products offered under HiFX, which have higher margin transactions.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Salaries and benefits increased $5.8 million or 18% for the three months ended March 31, 2016 compared to the same period in 2015. The increase in salaries and benefits was primarily due to the impact of our acquisitions of IME and XE, and expansion of our operations in foreign markets. As a percentage of revenues, salaries and benefits improved to 20.3% for the first quarter of 2016 from 21.5% for the first quarter of 2015, primarily due to the increase in the number of money transfers processed, which did not require a similar increase in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general and administrative expenses for the three months ended March 31, 2016 was $20.8 million, an increase of $2.9 million or 16% as compared to the same period in 2015. The increase was primarily due to the impact of our acquisitions of IME and XE and expenses incurred to support the expansion of our money transfer products in both the U.S. and foreign markets. Partly offsetting the increases in selling, general and administrative expenses was the impact of the U.S. dollar strengthening against key foreign currencies.</w:t>
      </w:r>
    </w:p>
    <w:p>
      <w:pPr>
        <w:spacing w:after="0" w:line="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a percentage of revenues, selling, general and administrative expenses decreased to 11.5% for the first quarter of 2016 from 12.4% for the same period of 2015, respectively, primarily due to an increase in the number of money transfers processed, which did not require a similar increase in support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Depreciation and amortization primarily represents amortization of acquired intangible assets and depreciation of money transfer terminals, computers and software, leasehold improvements and office equipment. Depreciation and amortization expense increased 9% for the three months ended March 31, 2016 compared to the same period in 2015. The increase was primarily due to the amortization of intangible assets related to the acquisitions of IME and XE and investments made to support the growth in the business. Partly offsetting these increases was the the impact of the U.S. dollar strengthening against key foreign currencies and the reduction in expenses associated with certain intangible assets that became fully amortized in the first quarter of 2015.</w:t>
      </w:r>
    </w:p>
    <w:p>
      <w:pPr>
        <w:spacing w:after="0" w:line="5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 a percentage of revenues, depreciation and amortization decreased to 4.0% for the first quarter of 2016 from 4.6% for the same period of 2015, respectively. This decrease was primarily due to certain intangible assets becoming fully amortized and the effect of revenues earned from our Walmart money transfer product, which requires less capital investment than other money transfer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Money Transfers Segment operating income for the three months ended March 31, 2016 was $21.5 million, an increase of $7.7 million or 56% as compared to the same period of 2015. Money Transfer Segment operating income for the three months ended March 31, 2016 increased primarily due to the growth in the number of money transfers processed and the impact of our acquisitions of IME and XE. The increase was partly offset by the additional salaries and benefits and other costs incurred to support the growth in the business and the impact of the U.S. dollar strengthening against key foreign currencies.</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percentage of revenues, operating margin increased to 11.9% for the first quarter of 2016 from 9.5% for same period of 2015. Operating income per transaction increased to $1.15 for the first quarter of 2016 from $0.99 for the same period in 2015. Operating margin and operating income per transaction improved primarily due to the increase in the number of money transfers processed, which did not require a similar increase in support costs, partly offset by the impact of the U.S. dollar strengthening against key foreign currencies.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months ended March 31, 2016 and 2015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71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8,722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8,584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Overall, operating expenses for Corporate Services was $8.7 million for the three months ended March 31, 2016, an increase of 2% as compared to the same period in 2015. The increase in salaries and benefits were primarily due to increased headcount, employee raises and an increase in bonus expense related to the Company's improved performance. The decrease in selling, general and administrative expense was primarily attributable to a charge for a contingency related to a prior year recorded during the first quarter of 2015 which did not recur in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right"/>
              <w:ind w:right="161"/>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(loss),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(12,952)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15,124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6980" w:type="dxa"/>
            <w:vAlign w:val="bottom"/>
            <w:gridSpan w:val="2"/>
          </w:tcPr>
          <w:p>
            <w:pPr>
              <w:ind w:left="340"/>
              <w:spacing w:after="0"/>
              <w:rPr>
                <w:sz w:val="20"/>
                <w:szCs w:val="20"/>
                <w:color w:val="auto"/>
              </w:rPr>
            </w:pPr>
            <w:r>
              <w:rPr>
                <w:rFonts w:ascii="Arial" w:cs="Arial" w:eastAsia="Arial" w:hAnsi="Arial"/>
                <w:sz w:val="18"/>
                <w:szCs w:val="18"/>
                <w:color w:val="auto"/>
              </w:rPr>
              <w:t>Other expense,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(18,041)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14,379</w:t>
            </w:r>
          </w:p>
        </w:tc>
        <w:tc>
          <w:tcPr>
            <w:tcW w:w="100" w:type="dxa"/>
            <w:vAlign w:val="bottom"/>
          </w:tcPr>
          <w:p>
            <w:pPr>
              <w:spacing w:after="0"/>
              <w:rPr>
                <w:sz w:val="22"/>
                <w:szCs w:val="22"/>
                <w:color w:val="auto"/>
              </w:rPr>
            </w:pPr>
          </w:p>
        </w:tc>
        <w:tc>
          <w:tcPr>
            <w:tcW w:w="10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decrease in interest income for the three months ended March 31, 2016 compared to the same period of 2015 was primarily due to a decrease in interest earned on funds held in Russia and the impact of the U.S. dollar strengthening against key foreign currencies.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increase in interest expense for the three months ended March 31, 2016 compared to the same period of 2015 was primarily related to the additional borrowings under the revolving credit facility to finance the repurchase of Euronet common stock and fund the operating cash for our IAD networks.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foreign currency exchange gain of $2.2 million and a loss $13.0 million for the three months ended March 31, 2016 and 2015, respectively. These realized and unrealized net foreign currency exchange gains and losses reflect the fluctuation in the value of the U.S. dollar against the currencies of the countries in which we operated during the respective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Company's effective income tax rates were 23.9% and 49.5% for the three months ended March 31, 2016 and 2015, respectively. The effective income tax rate for the three months ended March 31, 2015 was significantly influenced by foreign currency exchange losses. Excluding this item from pre-tax income, as well as the related tax effect, the effective income tax rate was 26.3% for the three months ended March 31, 2015.</w:t>
      </w:r>
    </w:p>
    <w:p>
      <w:pPr>
        <w:spacing w:after="0" w:line="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effective income tax rates for the three months ended March 31, 2016 and 2015, as adjusted for foreign currency exchange losses,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 Other than the impact of foreign currency exchange losses, there was no material change in the effective income tax rate for the three months ended March 31, 2016 compared to the same period of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Solutions Partners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attributable to Euronet was $29.1 million for the three months ended March 31, 2016, an increase of $21.9 million compared to the same period in 2015. The increase in net income was primarily due to an increase in operating income of $9.7 million, and an increase of $15.1 million in net foreign currency exchange gains. The increases were partly offset by an increase in income tax expense of $2.1 million, an increase in interest expense of $0.6 million and a decrease in interest income of $0.2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March 31, 2016 and December 31, 2015, we had working capital, which is calculated as the difference between total current assets and total current liabilities, of $261.9 million and $227.1 million, respectively. Our ratio of current assets to current liabilities at March 31, 2016 and December 31, 2015 was 1.30 and 1.25, respectively.</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facility and cash flows from operations. As of March 31, 2016, we had approximately $167 million of our own cash in use or designated for use in our ATM network, which is recorded in cash and cash equivalents on Euronet's Consolidated Balance Sheet.</w:t>
      </w:r>
    </w:p>
    <w:p>
      <w:pPr>
        <w:spacing w:after="0" w:line="7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had cash and cash equivalents of $548.5 million at March 31, 2016, of which $465.6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three-month periods ended March 31, 2016 and 2015 (in thousands):</w:t>
      </w:r>
    </w:p>
    <w:p>
      <w:pPr>
        <w:spacing w:after="0" w:line="117"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104,613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54,501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(22,648)</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91,014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12,702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Cash flows provided by operating activities were $104.6 million for the first quarter of 2016 compared to $54.5 million for the first quarter of 2015. The increase is primarily due to improved operating results partially offset by fluctuations in working capital mainly associated with the timing of the settlement processes with mobile content providers in the epay Segment and with correspondents in the Money Transfer Segment.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Cash flows used in investing activities were $18.9 million for the first quarter of 2016 compared to $14.8 million for the first quarter of 2015. During the first quarter of 2016, we used $17.4 million for purchases of property and equipment compared to $13.4 million during the first quarter of 2015; the increase was primarily related to ATM network expansion. Cash used for software development and other investing activities totaled $1.4 million for both the first quarter of 2016 and 2015.</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Cash flows used in financing activities were $5.3 million for the first quarter of 2016 compared to $4.4 million for the first quarter of 2015. Our financing activities for the first quarter of 2016 consisted of net borrowings of $69.5 million compared to net debt payments of $1.3 million the first quarter of 2015. The increase in net borrowings for the first three months of 2016 compared to the same period was the result of additional borrowings under the revolving credit facility to finance the repurchase of $75.6 million of our stock in the open market and fund the operating cash of our IAD networks. Additionally, we used $0.6 million and $0.7 million during the first quarter of 2016 and 2015, respectively, for capital lease repayments. During the first quarter of 2016, we paid $0.8 million for the amount of payroll taxes represented by the common stock withheld on restricted stock vestings and stock option exercises compared to $4.9 million for the same period of 2015. We received proceeds from stock option exercises of $2.0 million and $2.4 million for the first quarter of 2016 and 2015,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March 31, 2016, we had a $675 million senior secured credit facility that matures on April 9, 2019 (the "Credit Facility") consisting of a $590 million revolving credit facility, a $10 million India revolving credit facility and a $75 million term loan ("Term Loan A"), which had been reduced to $65.6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2016,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As of March 31, 2016, we had borrowings of $65.6 million outstanding under the term loan. We had $79.5 million of borrowings and $46.5 million of stand-by letters of credit outstanding under the revolving credit facility as of March 31, 2016. The remaining $474.0 million under the revolving credit facility was available for borrowing. As of March 31, 2016, the weighted average interest rates under the revolving credit facility and Term Loan A were 2.59% and</w:t>
      </w:r>
    </w:p>
    <w:p>
      <w:pPr>
        <w:ind w:right="60"/>
        <w:spacing w:after="0" w:line="261" w:lineRule="auto"/>
        <w:rPr>
          <w:sz w:val="20"/>
          <w:szCs w:val="20"/>
          <w:color w:val="auto"/>
        </w:rPr>
      </w:pPr>
      <w:r>
        <w:rPr>
          <w:rFonts w:ascii="Arial" w:cs="Arial" w:eastAsia="Arial" w:hAnsi="Arial"/>
          <w:sz w:val="18"/>
          <w:szCs w:val="18"/>
          <w:color w:val="auto"/>
        </w:rPr>
        <w:t>1.81%, respectively, excluding amortization of deferred financing costs. The weighted average interest rate under the revolving credit facility was higher than the Term Loan A due to the higher borrowing rate related to the India credit facility.</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Short-term debt obligations as of March 31, 2016 were primarily comprised of $4.2 million of payments due in the next twelve months under the Term Loan A. Certain of our subsidiaries also have available credit lines and overdraft facilities to generally supplement short-term working capital requirements. As of March 31, 2016, there was $5.0 million outstanding under these facilities.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quarter of 2016 was $18.1 million. These capital expenditures were made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2016 are currently estimated to range from approximately $85.0 million to $95.0 million.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January 2016, we announced that our Board of Directors authorized a stock repurchase program ("2016 Program") allowing us to repurchase up to $100 million in value or 5 million shares of our common stock through December 10, 2017. Repurchases under the 2016 Program may take place in the open market or in privately negotiated transactions, including derivative transactions, and could be made under a Rule 10b5-1 plan. We purchased 1.1 million shares at a weighted average purchase price of $65.74 for a total value of $75.6 million during the first quarter of 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2016, there were no material changes from the disclosure in our Annual Report on Form 10-K for the year ended December 31, 2015. To date, we are not aware of any significant claims made by the indemnified parties or parties to whom we have provided guarantees on behalf of our subsidiaries and, accordingly, no liabilities have been recorded as of March 31, 2016. See also Note 12, Commitments, to the unaudited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our future contractual obligations have not changed significantly from the amounts reported within our 2015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100"/>
        <w:spacing w:after="0" w:line="271" w:lineRule="auto"/>
        <w:rPr>
          <w:sz w:val="20"/>
          <w:szCs w:val="20"/>
          <w:color w:val="auto"/>
        </w:rPr>
      </w:pPr>
      <w:r>
        <w:rPr>
          <w:rFonts w:ascii="Arial" w:cs="Arial" w:eastAsia="Arial" w:hAnsi="Arial"/>
          <w:sz w:val="17"/>
          <w:szCs w:val="17"/>
          <w:color w:val="auto"/>
        </w:rPr>
        <w:t>As of March 31, 2016, our total debt outstanding was $500.6 million. Of this amount, $350.4 million, or 70% of our total debt obligations, relates to our Convertible Notes that have a fixed coupon rate. Our $402.5 million principal amount of Convertible Notes, issued in October 2014, accrue cash interest at a rate of 1.5% of the principal amount per annum. Based on quoted market prices, as of March 31, 2016, the fair value of our fixed rate Convertible Notes was $512.3 million, compared to a carrying value of $350.4 million. Interest expense for these notes, including accretion and amortization of deferred debt issuance costs, has a weighted average interest rate of 4.7% annually. Additionally, $145.2 million, or 29% of our total debt obligations, relates to debt borrowings under our Credit Facility.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$6.2 million.</w:t>
      </w:r>
    </w:p>
    <w:p>
      <w:pPr>
        <w:spacing w:after="0" w:line="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remaining $5.0 million, or 1%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as of March 31, 2016, we had approximately $7.6 million of capitalized leases with fixed payment and interest terms that expire between 2016 and 2020.</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the first quarter of 2016, approximately 70%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and Hungarian forint. As of March 31, 2016, we estimate that a 10% fluctuation in these foreign currency exchange rates would have the combined annualized effect on reported net income and working capital of approximately $60 million to $65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$90 million to</w:t>
      </w:r>
    </w:p>
    <w:p>
      <w:pPr>
        <w:spacing w:after="0"/>
        <w:rPr>
          <w:sz w:val="20"/>
          <w:szCs w:val="20"/>
          <w:color w:val="auto"/>
        </w:rPr>
      </w:pPr>
      <w:r>
        <w:rPr>
          <w:rFonts w:ascii="Arial" w:cs="Arial" w:eastAsia="Arial" w:hAnsi="Arial"/>
          <w:sz w:val="16"/>
          <w:szCs w:val="16"/>
          <w:color w:val="auto"/>
        </w:rPr>
        <w:t>$95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Consolidated Statements of Income. As of March 31, 2016, we had foreign currency derivative contracts outstanding with a notional value of $207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For derivative instruments our HiFX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2016, we held foreign currency derivative contracts outstanding with a notional value of $952 million, primarily in U.S. dollars, euros, British pounds, Australian dollars and Canadian dollars, that were not designated as hedges and for which the majority mature within the next twelve months.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Note 8,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2016.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March 31, 2016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2015, as may be updated in our subsequent filings with the SEC, before making an investment decision. Our operations are subject to a number of risks and uncertainties, including the risks and uncertainties described in our Annual Report on Form 10-K, as may be updated by any subsequent Quarterly Reports on Form 10-Q, including this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2015, as filed with the SEC.</w:t>
      </w:r>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March 31,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Average Price 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740" w:type="dxa"/>
            <w:vAlign w:val="bottom"/>
          </w:tcPr>
          <w:p>
            <w:pPr>
              <w:jc w:val="right"/>
              <w:ind w:right="456"/>
              <w:spacing w:after="0" w:line="158" w:lineRule="exact"/>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Share (1)</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3"/>
                <w:szCs w:val="13"/>
                <w:color w:val="auto"/>
              </w:rPr>
            </w:pPr>
          </w:p>
        </w:tc>
        <w:tc>
          <w:tcPr>
            <w:tcW w:w="18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Programs (in thousands)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January 1 - January 31, 2016</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February 1 - February 29, 2016</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688,549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688,549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56,348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1 - March 31, 2016</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461,022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461,022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24,431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1,149,571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1,149,571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2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amounts include fees and commissions associated with the shares repurchased and reflects the weighted average price paid per share of Euronet common stock.</w:t>
      </w:r>
    </w:p>
    <w:p>
      <w:pPr>
        <w:spacing w:after="0" w:line="116" w:lineRule="exact"/>
        <w:rPr>
          <w:rFonts w:ascii="Arial" w:cs="Arial" w:eastAsia="Arial" w:hAnsi="Arial"/>
          <w:sz w:val="18"/>
          <w:szCs w:val="18"/>
          <w:color w:val="auto"/>
        </w:rPr>
      </w:pPr>
    </w:p>
    <w:p>
      <w:pPr>
        <w:ind w:right="40" w:firstLine="8"/>
        <w:spacing w:after="0" w:line="279"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January 2016, the Company announced that its Board of Directors authorized a stock repurchase program allowing Euronet to repurchase up to $100 million in value or 5 million shares of its common stock through December 10, 2017. Repurchases may take place in the open market or in privately negotiated transactions, including derivative transactions, and may be made under a Rule 10b5-1 plan. As of March 31, 2016, the maximum number of shares that could be purchased by Euronet under the program was $24.4 million in value or 3,850,429 shares.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3"/>
              </w:rPr>
              <w:t>The following materials from Euronet Worldwide, Inc.’s Quarterly Report on Form 10-Q for the quarter ended March 31, 2016, formatted 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XBRL (eXtensible Business Reporting Language): (i) Consolidated Balance Sheets at March 31, 2016 (unaudited) and December 31, 2015,</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3"/>
              </w:rPr>
              <w:t>(ii) Consolidated Statements of Income (unaudited) for the three months ended March 31, 2016 and 2015, (iii) Consolidated Statements of</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Comprehensive Income (Loss) (unaudited) for the three months ended March 31, 2016 and 2015, (iv) Consolidated Statements of Cash</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1"/>
              </w:rPr>
              <w:t>Flows (unaudited) for the three months ended March 31, 2016 and 2015, and (v) Notes to the Unaudited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125" w:right="3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r>
      <w:tr>
        <w:trPr>
          <w:trHeight w:val="264"/>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14,122</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r>
      <w:tr>
        <w:trPr>
          <w:trHeight w:val="297"/>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46,469</w:t>
            </w:r>
          </w:p>
        </w:tc>
        <w:tc>
          <w:tcPr>
            <w:tcW w:w="1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21,379</w:t>
            </w:r>
          </w:p>
        </w:tc>
      </w:tr>
      <w:tr>
        <w:trPr>
          <w:trHeight w:val="237"/>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5,698</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97"/>
        </w:trPr>
        <w:tc>
          <w:tcPr>
            <w:tcW w:w="7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7,257</w:t>
            </w:r>
          </w:p>
        </w:tc>
      </w:tr>
      <w:tr>
        <w:trPr>
          <w:trHeight w:val="23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2016</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2016</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2016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2019-12-29T12:24:28Z</dcterms:created>
  <dcterms:modified xsi:type="dcterms:W3CDTF">2019-12-29T12:24:28Z</dcterms:modified>
</cp:coreProperties>
</file>