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22"/>
          <w:szCs w:val="22"/>
          <w:color w:val="auto"/>
        </w:rPr>
        <w:t>_______________________________</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4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Date of Report (Date of earliest event reported): October 20, 2022</w:t>
      </w:r>
    </w:p>
    <w:p>
      <w:pPr>
        <w:spacing w:after="0" w:line="6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EURONET WORLDWIDE INC</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100"/>
          </w:cols>
          <w:pgMar w:left="320" w:top="215" w:right="479" w:bottom="1440" w:gutter="0" w:footer="0" w:header="0"/>
        </w:sectPr>
      </w:pPr>
    </w:p>
    <w:p>
      <w:pPr>
        <w:spacing w:after="0" w:line="363"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left="220"/>
        <w:spacing w:after="0"/>
        <w:rPr>
          <w:sz w:val="20"/>
          <w:szCs w:val="20"/>
          <w:color w:val="auto"/>
        </w:rPr>
      </w:pPr>
      <w:r>
        <w:rPr>
          <w:rFonts w:ascii="Arial" w:cs="Arial" w:eastAsia="Arial" w:hAnsi="Arial"/>
          <w:sz w:val="16"/>
          <w:szCs w:val="16"/>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001-31648</w:t>
      </w:r>
    </w:p>
    <w:p>
      <w:pPr>
        <w:spacing w:after="0" w:line="63" w:lineRule="exact"/>
        <w:rPr>
          <w:sz w:val="24"/>
          <w:szCs w:val="24"/>
          <w:color w:val="auto"/>
        </w:rPr>
      </w:pPr>
    </w:p>
    <w:p>
      <w:pPr>
        <w:jc w:val="center"/>
        <w:ind w:right="4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74-2806888</w:t>
      </w:r>
    </w:p>
    <w:p>
      <w:pPr>
        <w:spacing w:after="0" w:line="63"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50" w:lineRule="exact"/>
        <w:rPr>
          <w:sz w:val="24"/>
          <w:szCs w:val="24"/>
          <w:color w:val="auto"/>
        </w:rPr>
      </w:pPr>
    </w:p>
    <w:p>
      <w:pPr>
        <w:sectPr>
          <w:pgSz w:w="11900" w:h="16838" w:orient="portrait"/>
          <w:cols w:equalWidth="0" w:num="3">
            <w:col w:w="3900" w:space="720"/>
            <w:col w:w="2460" w:space="720"/>
            <w:col w:w="3300"/>
          </w:cols>
          <w:pgMar w:left="320" w:top="215" w:right="479" w:bottom="1440" w:gutter="0" w:footer="0" w:header="0"/>
          <w:type w:val="continuous"/>
        </w:sectPr>
      </w:pPr>
    </w:p>
    <w:p>
      <w:pPr>
        <w:ind w:left="1540"/>
        <w:spacing w:after="0"/>
        <w:rPr>
          <w:sz w:val="20"/>
          <w:szCs w:val="20"/>
          <w:color w:val="auto"/>
        </w:rPr>
      </w:pPr>
      <w:r>
        <w:rPr>
          <w:rFonts w:ascii="Arial" w:cs="Arial" w:eastAsia="Arial" w:hAnsi="Arial"/>
          <w:sz w:val="18"/>
          <w:szCs w:val="18"/>
          <w:b w:val="1"/>
          <w:bCs w:val="1"/>
          <w:color w:val="auto"/>
        </w:rPr>
        <w:t>organization)</w:t>
      </w:r>
    </w:p>
    <w:p>
      <w:pPr>
        <w:spacing w:after="0" w:line="261"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11400 Tomahawk Creek Parkway, Suite 300</w:t>
      </w:r>
    </w:p>
    <w:p>
      <w:pPr>
        <w:sectPr>
          <w:pgSz w:w="11900" w:h="16838" w:orient="portrait"/>
          <w:cols w:equalWidth="0" w:num="1">
            <w:col w:w="11100"/>
          </w:cols>
          <w:pgMar w:left="320" w:top="215" w:right="479" w:bottom="1440" w:gutter="0" w:footer="0" w:header="0"/>
          <w:type w:val="continuous"/>
        </w:sectPr>
      </w:pPr>
    </w:p>
    <w:p>
      <w:pPr>
        <w:spacing w:after="0" w:line="86"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Leawood, Kansas</w:t>
      </w:r>
    </w:p>
    <w:p>
      <w:pPr>
        <w:spacing w:after="0" w:line="63" w:lineRule="exact"/>
        <w:rPr>
          <w:sz w:val="24"/>
          <w:szCs w:val="24"/>
          <w:color w:val="auto"/>
        </w:rPr>
      </w:pPr>
    </w:p>
    <w:p>
      <w:pPr>
        <w:ind w:left="20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66211</w:t>
      </w:r>
    </w:p>
    <w:p>
      <w:pPr>
        <w:spacing w:after="0" w:line="63" w:lineRule="exact"/>
        <w:rPr>
          <w:sz w:val="24"/>
          <w:szCs w:val="24"/>
          <w:color w:val="auto"/>
        </w:rPr>
      </w:pPr>
    </w:p>
    <w:p>
      <w:pPr>
        <w:jc w:val="center"/>
        <w:ind w:right="1500"/>
        <w:spacing w:after="0"/>
        <w:rPr>
          <w:sz w:val="20"/>
          <w:szCs w:val="20"/>
          <w:color w:val="auto"/>
        </w:rPr>
      </w:pPr>
      <w:r>
        <w:rPr>
          <w:rFonts w:ascii="Arial" w:cs="Arial" w:eastAsia="Arial" w:hAnsi="Arial"/>
          <w:sz w:val="16"/>
          <w:szCs w:val="16"/>
          <w:b w:val="1"/>
          <w:bCs w:val="1"/>
          <w:color w:val="auto"/>
        </w:rPr>
        <w:t>(Zip Code)</w:t>
      </w:r>
    </w:p>
    <w:p>
      <w:pPr>
        <w:spacing w:after="0" w:line="73" w:lineRule="exact"/>
        <w:rPr>
          <w:sz w:val="24"/>
          <w:szCs w:val="24"/>
          <w:color w:val="auto"/>
        </w:rPr>
      </w:pPr>
    </w:p>
    <w:p>
      <w:pPr>
        <w:sectPr>
          <w:pgSz w:w="11900" w:h="16838" w:orient="portrait"/>
          <w:cols w:equalWidth="0" w:num="2">
            <w:col w:w="8040" w:space="720"/>
            <w:col w:w="2340"/>
          </w:cols>
          <w:pgMar w:left="320" w:top="215" w:right="47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100"/>
          </w:cols>
          <w:pgMar w:left="320" w:top="215" w:right="479" w:bottom="1440" w:gutter="0" w:footer="0" w:header="0"/>
          <w:type w:val="continuous"/>
        </w:sectPr>
      </w:pP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Not Applicable</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20" w:hanging="28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28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20" w:hanging="28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20" w:hanging="28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Title of each class</w:t>
            </w:r>
          </w:p>
        </w:tc>
        <w:tc>
          <w:tcPr>
            <w:tcW w:w="2600" w:type="dxa"/>
            <w:vAlign w:val="bottom"/>
          </w:tcPr>
          <w:p>
            <w:pPr>
              <w:ind w:left="800"/>
              <w:spacing w:after="0"/>
              <w:rPr>
                <w:sz w:val="20"/>
                <w:szCs w:val="20"/>
                <w:color w:val="auto"/>
              </w:rPr>
            </w:pPr>
            <w:r>
              <w:rPr>
                <w:rFonts w:ascii="Arial" w:cs="Arial" w:eastAsia="Arial" w:hAnsi="Arial"/>
                <w:sz w:val="18"/>
                <w:szCs w:val="18"/>
                <w:color w:val="auto"/>
              </w:rPr>
              <w:t>Trading Symbol(s)</w:t>
            </w:r>
          </w:p>
        </w:tc>
        <w:tc>
          <w:tcPr>
            <w:tcW w:w="3660" w:type="dxa"/>
            <w:vAlign w:val="bottom"/>
          </w:tcPr>
          <w:p>
            <w:pPr>
              <w:ind w:left="460"/>
              <w:spacing w:after="0"/>
              <w:rPr>
                <w:sz w:val="20"/>
                <w:szCs w:val="20"/>
                <w:color w:val="auto"/>
              </w:rPr>
            </w:pPr>
            <w:r>
              <w:rPr>
                <w:rFonts w:ascii="Arial" w:cs="Arial" w:eastAsia="Arial" w:hAnsi="Arial"/>
                <w:sz w:val="18"/>
                <w:szCs w:val="18"/>
                <w:color w:val="auto"/>
                <w:w w:val="89"/>
              </w:rPr>
              <w:t>Name of each exchange on which registered</w:t>
            </w: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Common Stock</w:t>
            </w:r>
          </w:p>
        </w:tc>
        <w:tc>
          <w:tcPr>
            <w:tcW w:w="2600" w:type="dxa"/>
            <w:vAlign w:val="bottom"/>
          </w:tcPr>
          <w:p>
            <w:pPr>
              <w:ind w:left="800"/>
              <w:spacing w:after="0"/>
              <w:rPr>
                <w:sz w:val="20"/>
                <w:szCs w:val="20"/>
                <w:color w:val="auto"/>
              </w:rPr>
            </w:pPr>
            <w:r>
              <w:rPr>
                <w:rFonts w:ascii="Arial" w:cs="Arial" w:eastAsia="Arial" w:hAnsi="Arial"/>
                <w:sz w:val="18"/>
                <w:szCs w:val="18"/>
                <w:color w:val="auto"/>
              </w:rPr>
              <w:t>EEFT</w:t>
            </w:r>
          </w:p>
        </w:tc>
        <w:tc>
          <w:tcPr>
            <w:tcW w:w="3660" w:type="dxa"/>
            <w:vAlign w:val="bottom"/>
          </w:tcPr>
          <w:p>
            <w:pPr>
              <w:ind w:left="460"/>
              <w:spacing w:after="0"/>
              <w:rPr>
                <w:sz w:val="20"/>
                <w:szCs w:val="20"/>
                <w:color w:val="auto"/>
              </w:rPr>
            </w:pPr>
            <w:r>
              <w:rPr>
                <w:rFonts w:ascii="Arial" w:cs="Arial" w:eastAsia="Arial" w:hAnsi="Arial"/>
                <w:sz w:val="18"/>
                <w:szCs w:val="18"/>
                <w:color w:val="auto"/>
              </w:rPr>
              <w:t>Nasdaq Global Select Market</w:t>
            </w: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1.375% Senior Notes due 2026</w:t>
            </w:r>
          </w:p>
        </w:tc>
        <w:tc>
          <w:tcPr>
            <w:tcW w:w="2600" w:type="dxa"/>
            <w:vAlign w:val="bottom"/>
          </w:tcPr>
          <w:p>
            <w:pPr>
              <w:ind w:left="800"/>
              <w:spacing w:after="0"/>
              <w:rPr>
                <w:sz w:val="20"/>
                <w:szCs w:val="20"/>
                <w:color w:val="auto"/>
              </w:rPr>
            </w:pPr>
            <w:r>
              <w:rPr>
                <w:rFonts w:ascii="Arial" w:cs="Arial" w:eastAsia="Arial" w:hAnsi="Arial"/>
                <w:sz w:val="18"/>
                <w:szCs w:val="18"/>
                <w:color w:val="auto"/>
              </w:rPr>
              <w:t>EEFT26</w:t>
            </w:r>
          </w:p>
        </w:tc>
        <w:tc>
          <w:tcPr>
            <w:tcW w:w="3660" w:type="dxa"/>
            <w:vAlign w:val="bottom"/>
          </w:tcPr>
          <w:p>
            <w:pPr>
              <w:ind w:left="460"/>
              <w:spacing w:after="0"/>
              <w:rPr>
                <w:sz w:val="20"/>
                <w:szCs w:val="20"/>
                <w:color w:val="auto"/>
              </w:rPr>
            </w:pPr>
            <w:r>
              <w:rPr>
                <w:rFonts w:ascii="Arial" w:cs="Arial" w:eastAsia="Arial" w:hAnsi="Arial"/>
                <w:sz w:val="18"/>
                <w:szCs w:val="18"/>
                <w:color w:val="auto"/>
              </w:rPr>
              <w:t>Nasdaq Global Select Market</w:t>
            </w:r>
          </w:p>
        </w:tc>
      </w:tr>
    </w:tbl>
    <w:p>
      <w:pPr>
        <w:spacing w:after="0" w:line="14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7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77"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15"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On October 20, 2022, Euronet Worldwide, Inc. issued a press release to report its financial results for the quarter ended September 30, 2022. The press release is attached hereto as Exhibit 99.1.</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information in Item 2.02 to this Current Report, including without limitation Exhibit 99.1, is being furnished and shall not be deemed to be filed for purposes of Section 18 of the Securities Exchange Act of 1934 or incorporated by reference into any document filed under the Securities Act of 1933 or the Securities Exchange Act of 1934 except as shall be expressly set forth by specific reference in such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 Exhibits</w:t>
      </w:r>
    </w:p>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Exhibit</w:t>
      </w:r>
    </w:p>
    <w:p>
      <w:pPr>
        <w:spacing w:after="0" w:line="23"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6"/>
          <w:szCs w:val="16"/>
          <w:u w:val="single" w:color="auto"/>
          <w:color w:val="auto"/>
        </w:rPr>
        <w:t>Description</w:t>
      </w:r>
    </w:p>
    <w:p>
      <w:pPr>
        <w:spacing w:after="0" w:line="49"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Exhibit 99.1 - Press Release dated October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Euronet Worldwide, Inc.</w:t>
      </w:r>
    </w:p>
    <w:p>
      <w:pPr>
        <w:spacing w:after="0" w:line="252" w:lineRule="exact"/>
        <w:rPr>
          <w:sz w:val="20"/>
          <w:szCs w:val="20"/>
          <w:color w:val="auto"/>
        </w:rPr>
      </w:pPr>
    </w:p>
    <w:p>
      <w:pPr>
        <w:ind w:left="53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Rick L. Weller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Rick L. Weller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553" w:right="819" w:bottom="1440" w:gutter="0" w:footer="0" w:header="0"/>
        </w:sectPr>
      </w:pPr>
    </w:p>
    <w:bookmarkStart w:id="3" w:name="page4"/>
    <w:bookmarkEnd w:id="3"/>
    <w:p>
      <w:pPr>
        <w:spacing w:after="0" w:line="3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114935</wp:posOffset>
            </wp:positionV>
            <wp:extent cx="1379855" cy="840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79855" cy="8401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i w:val="1"/>
          <w:i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Euronet Worldwide, Inc.</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Stephanie Taylor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+1-913-327-4200</w:t>
      </w:r>
    </w:p>
    <w:p>
      <w:pPr>
        <w:spacing w:after="0" w:line="200" w:lineRule="exact"/>
        <w:rPr>
          <w:sz w:val="20"/>
          <w:szCs w:val="20"/>
          <w:color w:val="auto"/>
        </w:rPr>
      </w:pPr>
    </w:p>
    <w:p>
      <w:pPr>
        <w:jc w:val="center"/>
        <w:spacing w:after="0" w:line="349" w:lineRule="auto"/>
        <w:rPr>
          <w:sz w:val="20"/>
          <w:szCs w:val="20"/>
          <w:color w:val="auto"/>
        </w:rPr>
      </w:pPr>
      <w:r>
        <w:rPr>
          <w:rFonts w:ascii="Arial" w:cs="Arial" w:eastAsia="Arial" w:hAnsi="Arial"/>
          <w:sz w:val="27"/>
          <w:szCs w:val="27"/>
          <w:b w:val="1"/>
          <w:bCs w:val="1"/>
          <w:color w:val="auto"/>
        </w:rPr>
        <w:t>Euronet Worldwide Reports Year-over-Year Double Digit Revenue and Operating Income Growth Supported by Strong Results From All Three Segments</w:t>
      </w:r>
    </w:p>
    <w:p>
      <w:pPr>
        <w:spacing w:after="0" w:line="69" w:lineRule="exact"/>
        <w:rPr>
          <w:sz w:val="20"/>
          <w:szCs w:val="20"/>
          <w:color w:val="auto"/>
        </w:rPr>
      </w:pPr>
    </w:p>
    <w:p>
      <w:pPr>
        <w:spacing w:after="0" w:line="281" w:lineRule="auto"/>
        <w:rPr>
          <w:sz w:val="20"/>
          <w:szCs w:val="20"/>
          <w:color w:val="auto"/>
        </w:rPr>
      </w:pPr>
      <w:r>
        <w:rPr>
          <w:rFonts w:ascii="Arial" w:cs="Arial" w:eastAsia="Arial" w:hAnsi="Arial"/>
          <w:sz w:val="20"/>
          <w:szCs w:val="20"/>
          <w:b w:val="1"/>
          <w:bCs w:val="1"/>
          <w:color w:val="auto"/>
        </w:rPr>
        <w:t xml:space="preserve">LEAWOOD, KANSAS, USA - October 20, 2022 - </w:t>
      </w:r>
      <w:r>
        <w:rPr>
          <w:rFonts w:ascii="Arial" w:cs="Arial" w:eastAsia="Arial" w:hAnsi="Arial"/>
          <w:sz w:val="20"/>
          <w:szCs w:val="20"/>
          <w:color w:val="auto"/>
        </w:rPr>
        <w:t>Euronet Worldwide, Inc. (“Euronet” or the “Company”) (NASDAQ: EEFT),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 payments provider, reports third quarter 2022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Euronet reports the following consolidated results for the third quarter 2022 compared with the same period of 2021:</w:t>
      </w:r>
    </w:p>
    <w:p>
      <w:pPr>
        <w:spacing w:after="0" w:line="235" w:lineRule="exact"/>
        <w:rPr>
          <w:sz w:val="20"/>
          <w:szCs w:val="20"/>
          <w:color w:val="auto"/>
        </w:rPr>
      </w:pPr>
    </w:p>
    <w:p>
      <w:pPr>
        <w:ind w:left="460" w:hanging="257"/>
        <w:spacing w:after="0"/>
        <w:tabs>
          <w:tab w:leader="none" w:pos="4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$931.3 million, a 14% increase from $816.6 million (27% increase on a constant currency</w:t>
      </w:r>
      <w:r>
        <w:rPr>
          <w:rFonts w:ascii="Arial" w:cs="Arial" w:eastAsia="Arial" w:hAnsi="Arial"/>
          <w:sz w:val="11"/>
          <w:szCs w:val="11"/>
          <w:color w:val="auto"/>
        </w:rPr>
        <w:t>1</w:t>
      </w:r>
      <w:r>
        <w:rPr>
          <w:rFonts w:ascii="Arial" w:cs="Arial" w:eastAsia="Arial" w:hAnsi="Arial"/>
          <w:sz w:val="20"/>
          <w:szCs w:val="20"/>
          <w:color w:val="auto"/>
        </w:rPr>
        <w:t xml:space="preserve"> basis).</w:t>
      </w:r>
    </w:p>
    <w:p>
      <w:pPr>
        <w:spacing w:after="0" w:line="26" w:lineRule="exact"/>
        <w:rPr>
          <w:rFonts w:ascii="Arial" w:cs="Arial" w:eastAsia="Arial" w:hAnsi="Arial"/>
          <w:sz w:val="20"/>
          <w:szCs w:val="20"/>
          <w:color w:val="auto"/>
        </w:rPr>
      </w:pPr>
    </w:p>
    <w:p>
      <w:pPr>
        <w:ind w:left="460" w:hanging="257"/>
        <w:spacing w:after="0"/>
        <w:tabs>
          <w:tab w:leader="none" w:pos="4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income of $168.5 million, a 47% increase from $114.5 million (71% increase on a constant currency basis).</w:t>
      </w:r>
    </w:p>
    <w:p>
      <w:pPr>
        <w:spacing w:after="0" w:line="15" w:lineRule="exact"/>
        <w:rPr>
          <w:rFonts w:ascii="Arial" w:cs="Arial" w:eastAsia="Arial" w:hAnsi="Arial"/>
          <w:sz w:val="20"/>
          <w:szCs w:val="20"/>
          <w:color w:val="auto"/>
        </w:rPr>
      </w:pPr>
    </w:p>
    <w:p>
      <w:pPr>
        <w:ind w:left="460" w:hanging="257"/>
        <w:spacing w:after="0"/>
        <w:tabs>
          <w:tab w:leader="none" w:pos="4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11"/>
          <w:szCs w:val="11"/>
          <w:color w:val="auto"/>
        </w:rPr>
        <w:t>2</w:t>
      </w:r>
      <w:r>
        <w:rPr>
          <w:rFonts w:ascii="Arial" w:cs="Arial" w:eastAsia="Arial" w:hAnsi="Arial"/>
          <w:sz w:val="20"/>
          <w:szCs w:val="20"/>
          <w:color w:val="auto"/>
        </w:rPr>
        <w:t xml:space="preserve"> of $211.6 million, a 36% increase from $155.2 million (57% increase on a constant currency basis).</w:t>
      </w:r>
    </w:p>
    <w:p>
      <w:pPr>
        <w:ind w:left="460" w:hanging="257"/>
        <w:spacing w:after="0" w:line="242" w:lineRule="auto"/>
        <w:tabs>
          <w:tab w:leader="none" w:pos="4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attributable to Euronet of $97.7 million, or $1.87 diluted earnings per share, compared with $73.9 million, or $1.37 diluted earnings per share.</w:t>
      </w:r>
    </w:p>
    <w:p>
      <w:pPr>
        <w:ind w:left="460" w:hanging="257"/>
        <w:spacing w:after="0" w:line="181" w:lineRule="auto"/>
        <w:tabs>
          <w:tab w:leader="none" w:pos="460" w:val="left"/>
        </w:tabs>
        <w:numPr>
          <w:ilvl w:val="0"/>
          <w:numId w:val="2"/>
        </w:numPr>
        <w:rPr>
          <w:rFonts w:ascii="Arial" w:cs="Arial" w:eastAsia="Arial" w:hAnsi="Arial"/>
          <w:sz w:val="32"/>
          <w:szCs w:val="32"/>
          <w:color w:val="auto"/>
          <w:vertAlign w:val="superscript"/>
        </w:rPr>
      </w:pPr>
      <w:r>
        <w:rPr>
          <w:rFonts w:ascii="Arial" w:cs="Arial" w:eastAsia="Arial" w:hAnsi="Arial"/>
          <w:sz w:val="17"/>
          <w:szCs w:val="17"/>
          <w:color w:val="auto"/>
        </w:rPr>
        <w:t>Adjusted earnings per share</w:t>
      </w:r>
      <w:r>
        <w:rPr>
          <w:rFonts w:ascii="Arial" w:cs="Arial" w:eastAsia="Arial" w:hAnsi="Arial"/>
          <w:sz w:val="26"/>
          <w:szCs w:val="26"/>
          <w:color w:val="auto"/>
          <w:vertAlign w:val="superscript"/>
        </w:rPr>
        <w:t>3</w:t>
      </w:r>
      <w:r>
        <w:rPr>
          <w:rFonts w:ascii="Arial" w:cs="Arial" w:eastAsia="Arial" w:hAnsi="Arial"/>
          <w:sz w:val="17"/>
          <w:szCs w:val="17"/>
          <w:color w:val="auto"/>
        </w:rPr>
        <w:t xml:space="preserve"> of $2.74, a 55% increase from $1.77.</w:t>
      </w:r>
    </w:p>
    <w:p>
      <w:pPr>
        <w:spacing w:after="0" w:line="1" w:lineRule="exact"/>
        <w:rPr>
          <w:rFonts w:ascii="Arial" w:cs="Arial" w:eastAsia="Arial" w:hAnsi="Arial"/>
          <w:sz w:val="32"/>
          <w:szCs w:val="32"/>
          <w:color w:val="auto"/>
          <w:vertAlign w:val="superscript"/>
        </w:rPr>
      </w:pPr>
    </w:p>
    <w:p>
      <w:pPr>
        <w:ind w:left="460" w:right="140" w:hanging="257"/>
        <w:spacing w:after="0" w:line="244" w:lineRule="auto"/>
        <w:tabs>
          <w:tab w:leader="none" w:pos="460" w:val="left"/>
        </w:tabs>
        <w:numPr>
          <w:ilvl w:val="0"/>
          <w:numId w:val="2"/>
        </w:numPr>
        <w:rPr>
          <w:rFonts w:ascii="Arial" w:cs="Arial" w:eastAsia="Arial" w:hAnsi="Arial"/>
          <w:sz w:val="20"/>
          <w:szCs w:val="20"/>
          <w:color w:val="auto"/>
        </w:rPr>
      </w:pPr>
      <w:r>
        <w:rPr>
          <w:rFonts w:ascii="Arial" w:cs="Arial" w:eastAsia="Arial" w:hAnsi="Arial"/>
          <w:sz w:val="20"/>
          <w:szCs w:val="20"/>
          <w:color w:val="auto"/>
        </w:rPr>
        <w:t>Euronet's cash and cash equivalents were $967.1 million and ATM cash was $646.1 million, totaling $1,613.2 million as of September 30, 2022, and availability under its revolving credit facilities was approximately $650 million.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See the reconciliation of non-GAAP items in the attached financial schedules.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"I am very pleased that we delivered year-over-year double-digit constant currency revenue, operating income and adjusted EBITDA growth in all three segments, resulting in our fifth consecutive quarter of double-digit constant currency consolidated revenue and adjusted EBITDA growth rates," stated Michael J. Brown, Euronet's Chairman and CEO. "All of our segments have demonstrated their resilience. In the EFT Segment, we saw our most profitable transactions recovering consistent with the recovery of international travel. In Money Transfer, we saw continued growth in both our physical and digital distribution networks, which included particular strength in Asia Pacific as the region continues to recover following the easing of COVID-19 restrictions. Finally, in epay, we saw continued demand for our content sold through both physical and digital channels."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"Despite challenging macroeconomic trends throughout the year, we have continued to see the resiliency of all three of our business segments. We have a strategy and a strong balance sheet, as well as a geographic and product diverse business, that has historically allowed us to produce strong growth rates, even through weaker economic cycles. Moreover, we did not see any significant adverse signs of inflation on the third quarter results with virtually no impact to revenue and gross profit, and modest impacts to certain SG&amp;A costs - primarily salary expense."</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have demonstrated through the post-COVID-19 lockdown periods that residents and travelers are still withdrawing cash from the ATMs in EFT; customers are still purchasing digital branded payments and mobile airtime content in epay; global consumers still have strong demand for cross-border payments in Money Transfer; and, we anticipate tremendous growth opportunities with our Dandelion and REN payments solutions. While we cannot control macroeconomic trends, such as the strengthening U.S. dollar, rising interest rates and inflation, as well as travel capacity constraints, we expect that our business will continue to grow at double-digit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2" w:lineRule="auto"/>
        <w:rPr>
          <w:sz w:val="20"/>
          <w:szCs w:val="20"/>
          <w:color w:val="auto"/>
        </w:rPr>
      </w:pPr>
      <w:r>
        <w:rPr>
          <w:rFonts w:ascii="Arial" w:cs="Arial" w:eastAsia="Arial" w:hAnsi="Arial"/>
          <w:sz w:val="20"/>
          <w:szCs w:val="20"/>
          <w:color w:val="auto"/>
        </w:rPr>
        <w:t>Taking into consideration current trends in the business and the global economy, the latest global COVID-19 landscape and historical seasonal patterns, the Company anticipates that its fourth quarter 2022 adjusted EBITDA will be in the range of approximately $125 million to $135 million. Despite the challenges of these same macro conditions, including, but not limited to, disruption in the travel industry, COVID-19 variants, inflation and related inflation control measures, the Company remains confident that it will complete the full year 2022 with Adjusted EPS in the anticipated range of $6.30 to $6.40. This outlook does not include any change in foreign exchange rates, interest rates, changes in COVID-19 containment, changes in travel patterns stemming from the war in Ukraine, or other unforeseen factors that may develop throughout the fourth quarter.</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and Other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EFT Processing Segment </w:t>
      </w:r>
      <w:r>
        <w:rPr>
          <w:rFonts w:ascii="Arial" w:cs="Arial" w:eastAsia="Arial" w:hAnsi="Arial"/>
          <w:sz w:val="18"/>
          <w:szCs w:val="18"/>
          <w:color w:val="auto"/>
        </w:rPr>
        <w:t>reports the following results for the third quarter 2022 compared with the same period or date in 2021:</w:t>
      </w:r>
    </w:p>
    <w:p>
      <w:pPr>
        <w:spacing w:after="0" w:line="258" w:lineRule="exact"/>
        <w:rPr>
          <w:sz w:val="20"/>
          <w:szCs w:val="20"/>
          <w:color w:val="auto"/>
        </w:rPr>
      </w:pPr>
    </w:p>
    <w:p>
      <w:pPr>
        <w:ind w:left="460" w:hanging="257"/>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$319.5 million, a 41% increase from $227.1 million (62% increase on a constant currency basis).</w:t>
      </w:r>
    </w:p>
    <w:p>
      <w:pPr>
        <w:spacing w:after="0" w:line="26" w:lineRule="exact"/>
        <w:rPr>
          <w:rFonts w:ascii="Arial" w:cs="Arial" w:eastAsia="Arial" w:hAnsi="Arial"/>
          <w:sz w:val="20"/>
          <w:szCs w:val="20"/>
          <w:color w:val="auto"/>
        </w:rPr>
      </w:pPr>
    </w:p>
    <w:p>
      <w:pPr>
        <w:ind w:left="460" w:hanging="257"/>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of $116.4 million, an 84% increase from $63.2 million (112% increase on a constant currency basis).</w:t>
      </w:r>
    </w:p>
    <w:p>
      <w:pPr>
        <w:spacing w:after="0" w:line="26" w:lineRule="exact"/>
        <w:rPr>
          <w:rFonts w:ascii="Arial" w:cs="Arial" w:eastAsia="Arial" w:hAnsi="Arial"/>
          <w:sz w:val="20"/>
          <w:szCs w:val="20"/>
          <w:color w:val="auto"/>
        </w:rPr>
      </w:pPr>
    </w:p>
    <w:p>
      <w:pPr>
        <w:ind w:left="460" w:hanging="257"/>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$139.5 million, a 63% increase from $85.8 million (87% increase on a constant currency basis).</w:t>
      </w:r>
    </w:p>
    <w:p>
      <w:pPr>
        <w:spacing w:after="0" w:line="26" w:lineRule="exact"/>
        <w:rPr>
          <w:rFonts w:ascii="Arial" w:cs="Arial" w:eastAsia="Arial" w:hAnsi="Arial"/>
          <w:sz w:val="20"/>
          <w:szCs w:val="20"/>
          <w:color w:val="auto"/>
        </w:rPr>
      </w:pPr>
    </w:p>
    <w:p>
      <w:pPr>
        <w:ind w:left="460" w:hanging="257"/>
        <w:spacing w:after="0"/>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Transactions of 1,733 million, a 48% increase from 1,173 million.</w:t>
      </w:r>
    </w:p>
    <w:p>
      <w:pPr>
        <w:spacing w:after="0" w:line="26" w:lineRule="exact"/>
        <w:rPr>
          <w:rFonts w:ascii="Arial" w:cs="Arial" w:eastAsia="Arial" w:hAnsi="Arial"/>
          <w:sz w:val="20"/>
          <w:szCs w:val="20"/>
          <w:color w:val="auto"/>
        </w:rPr>
      </w:pPr>
    </w:p>
    <w:p>
      <w:pPr>
        <w:ind w:left="460" w:hanging="257"/>
        <w:spacing w:after="0" w:line="260" w:lineRule="auto"/>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of 51,437 installed ATMs as of September 30, 2022, an 8% increase from 47,474. Operated 49,617 active ATMs as of September 30, 2022, a 9% increase from 45,520 as of September 30, 2021.</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Revenue, operating income and adjusted EBITDA growth in the third quarter 2022 was driven by increased domestic and international withdrawal transactions resulting from a strong recovery in travel and more POS processing revenue from the acquisition of Piraeus Bank's merchant acquiring business in March 2022, together with a continued benefit from a significant volume increase in low-priced payment processing transactions in Asia Pacific.</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The EFT Segment's total installed ATMs </w:t>
      </w:r>
      <w:r>
        <w:rPr>
          <w:rFonts w:ascii="Arial" w:cs="Arial" w:eastAsia="Arial" w:hAnsi="Arial"/>
          <w:sz w:val="20"/>
          <w:szCs w:val="20"/>
          <w:color w:val="auto"/>
        </w:rPr>
        <w:t>grew 8%, largely from the addition of more than 2,230 Euronet-owned ATMs,</w:t>
      </w:r>
      <w:r>
        <w:rPr>
          <w:rFonts w:ascii="Arial" w:cs="Arial" w:eastAsia="Arial" w:hAnsi="Arial"/>
          <w:sz w:val="19"/>
          <w:szCs w:val="19"/>
          <w:color w:val="auto"/>
        </w:rPr>
        <w:t xml:space="preserve"> </w:t>
      </w:r>
      <w:r>
        <w:rPr>
          <w:rFonts w:ascii="Arial" w:cs="Arial" w:eastAsia="Arial" w:hAnsi="Arial"/>
          <w:sz w:val="20"/>
          <w:szCs w:val="20"/>
          <w:color w:val="auto"/>
        </w:rPr>
        <w:t xml:space="preserve">approximately 1,425 new outsourcing ATMs and the addition of approximately 300 low-margin ATMs in India. </w:t>
      </w:r>
      <w:r>
        <w:rPr>
          <w:rFonts w:ascii="Arial" w:cs="Arial" w:eastAsia="Arial" w:hAnsi="Arial"/>
          <w:sz w:val="18"/>
          <w:szCs w:val="18"/>
          <w:color w:val="auto"/>
        </w:rPr>
        <w:t>The difference</w:t>
      </w:r>
    </w:p>
    <w:p>
      <w:pPr>
        <w:jc w:val="both"/>
        <w:spacing w:after="0" w:line="250" w:lineRule="auto"/>
        <w:rPr>
          <w:sz w:val="20"/>
          <w:szCs w:val="20"/>
          <w:color w:val="auto"/>
        </w:rPr>
      </w:pPr>
      <w:r>
        <w:rPr>
          <w:rFonts w:ascii="Arial" w:cs="Arial" w:eastAsia="Arial" w:hAnsi="Arial"/>
          <w:sz w:val="20"/>
          <w:szCs w:val="20"/>
          <w:color w:val="auto"/>
        </w:rPr>
        <w:t>between installed and active ATMs relates to ATMs that have been seasonally deactivated. At the end of the third quarter of 2022, 1,820 ATMs have been temporarily deactivated due to seasonal closures -- approximately 7% fewer than the 1,950 ATMs that were seasonally deactivated at the end of the third quarter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 xml:space="preserve">The epay Segment </w:t>
      </w:r>
      <w:r>
        <w:rPr>
          <w:rFonts w:ascii="Arial" w:cs="Arial" w:eastAsia="Arial" w:hAnsi="Arial"/>
          <w:sz w:val="20"/>
          <w:szCs w:val="20"/>
          <w:color w:val="auto"/>
        </w:rPr>
        <w:t>reports the following results for the third quarter 2022 compared with the same period or date in 2021:</w:t>
      </w:r>
    </w:p>
    <w:p>
      <w:pPr>
        <w:spacing w:after="0" w:line="249" w:lineRule="exact"/>
        <w:rPr>
          <w:sz w:val="20"/>
          <w:szCs w:val="20"/>
          <w:color w:val="auto"/>
        </w:rPr>
      </w:pPr>
    </w:p>
    <w:p>
      <w:pPr>
        <w:ind w:left="460" w:hanging="256"/>
        <w:spacing w:after="0"/>
        <w:tabs>
          <w:tab w:leader="none" w:pos="4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Revenues of $248.9 million, a 4% increase from $238.3 million (18% increase on a constant currency basis).</w:t>
      </w:r>
    </w:p>
    <w:p>
      <w:pPr>
        <w:spacing w:after="0" w:line="26" w:lineRule="exact"/>
        <w:rPr>
          <w:rFonts w:ascii="Arial" w:cs="Arial" w:eastAsia="Arial" w:hAnsi="Arial"/>
          <w:sz w:val="20"/>
          <w:szCs w:val="20"/>
          <w:color w:val="auto"/>
        </w:rPr>
      </w:pPr>
    </w:p>
    <w:p>
      <w:pPr>
        <w:ind w:left="460" w:hanging="256"/>
        <w:spacing w:after="0"/>
        <w:tabs>
          <w:tab w:leader="none" w:pos="4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Operating income of $29.1 million, a 12% increase from $25.9 million (29% increase on a constant currency basis).</w:t>
      </w:r>
    </w:p>
    <w:p>
      <w:pPr>
        <w:spacing w:after="0" w:line="15" w:lineRule="exact"/>
        <w:rPr>
          <w:rFonts w:ascii="Arial" w:cs="Arial" w:eastAsia="Arial" w:hAnsi="Arial"/>
          <w:sz w:val="20"/>
          <w:szCs w:val="20"/>
          <w:color w:val="auto"/>
        </w:rPr>
      </w:pPr>
    </w:p>
    <w:p>
      <w:pPr>
        <w:ind w:left="460" w:hanging="256"/>
        <w:spacing w:after="0"/>
        <w:tabs>
          <w:tab w:leader="none" w:pos="4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of $30.5 million, an 8% increase from $28.2 million (24% increase on a constant currency basis).</w:t>
      </w:r>
    </w:p>
    <w:p>
      <w:pPr>
        <w:spacing w:after="0" w:line="10" w:lineRule="exact"/>
        <w:rPr>
          <w:rFonts w:ascii="Arial" w:cs="Arial" w:eastAsia="Arial" w:hAnsi="Arial"/>
          <w:sz w:val="20"/>
          <w:szCs w:val="20"/>
          <w:color w:val="auto"/>
        </w:rPr>
      </w:pPr>
    </w:p>
    <w:p>
      <w:pPr>
        <w:ind w:left="460" w:hanging="256"/>
        <w:spacing w:after="0"/>
        <w:tabs>
          <w:tab w:leader="none" w:pos="4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Transactions of 915 million, a 13% increase from 811 million.</w:t>
      </w:r>
    </w:p>
    <w:p>
      <w:pPr>
        <w:spacing w:after="0" w:line="15" w:lineRule="exact"/>
        <w:rPr>
          <w:rFonts w:ascii="Arial" w:cs="Arial" w:eastAsia="Arial" w:hAnsi="Arial"/>
          <w:sz w:val="20"/>
          <w:szCs w:val="20"/>
          <w:color w:val="auto"/>
        </w:rPr>
      </w:pPr>
    </w:p>
    <w:p>
      <w:pPr>
        <w:ind w:left="460" w:hanging="25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Point-of-sale ("POS") terminals of approximately 777,000 as of September 30, 2022, a 5% increase from approximately 739,000.</w:t>
      </w:r>
    </w:p>
    <w:p>
      <w:pPr>
        <w:spacing w:after="0" w:line="22" w:lineRule="exact"/>
        <w:rPr>
          <w:rFonts w:ascii="Arial" w:cs="Arial" w:eastAsia="Arial" w:hAnsi="Arial"/>
          <w:sz w:val="18"/>
          <w:szCs w:val="18"/>
          <w:color w:val="auto"/>
        </w:rPr>
      </w:pPr>
    </w:p>
    <w:p>
      <w:pPr>
        <w:ind w:left="460" w:hanging="256"/>
        <w:spacing w:after="0"/>
        <w:tabs>
          <w:tab w:leader="none" w:pos="4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Retailer locations of approximately 352,000 as of September 30, 2022, an 8% increase from approximately 325,000.</w:t>
      </w: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Revenue and transaction growth was driven by continued expansion of digital branded payments and mobile growth, together with the continued expansion of the digital distribution channel. These results also benefitted from loyalty reward programs delivered by epay on behalf of several large retailers, which were recognized in the third quarter this year, while similar programs in the prior year were executed and largely recognized in earlier quarters in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Money Transfer Segment </w:t>
      </w:r>
      <w:r>
        <w:rPr>
          <w:rFonts w:ascii="Arial" w:cs="Arial" w:eastAsia="Arial" w:hAnsi="Arial"/>
          <w:sz w:val="18"/>
          <w:szCs w:val="18"/>
          <w:color w:val="auto"/>
        </w:rPr>
        <w:t>reports the following results for the third quarter 2022 compared with the same period or date in 2021:</w:t>
      </w:r>
    </w:p>
    <w:p>
      <w:pPr>
        <w:spacing w:after="0" w:line="258" w:lineRule="exact"/>
        <w:rPr>
          <w:sz w:val="20"/>
          <w:szCs w:val="20"/>
          <w:color w:val="auto"/>
        </w:rPr>
      </w:pPr>
    </w:p>
    <w:p>
      <w:pPr>
        <w:ind w:left="460" w:hanging="256"/>
        <w:spacing w:after="0"/>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Revenues of $364.9 million, a 3% increase from $353.5 million (11% increase on a constant currency basis).</w:t>
      </w:r>
    </w:p>
    <w:p>
      <w:pPr>
        <w:spacing w:after="0" w:line="26" w:lineRule="exact"/>
        <w:rPr>
          <w:rFonts w:ascii="Arial" w:cs="Arial" w:eastAsia="Arial" w:hAnsi="Arial"/>
          <w:sz w:val="20"/>
          <w:szCs w:val="20"/>
          <w:color w:val="auto"/>
        </w:rPr>
      </w:pPr>
    </w:p>
    <w:p>
      <w:pPr>
        <w:ind w:left="460" w:hanging="256"/>
        <w:spacing w:after="0"/>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Operating income of $40.7 million, an 8% increase from $37.6 million (23% increase on a constant currency basis).</w:t>
      </w:r>
    </w:p>
    <w:p>
      <w:pPr>
        <w:spacing w:after="0" w:line="26" w:lineRule="exact"/>
        <w:rPr>
          <w:rFonts w:ascii="Arial" w:cs="Arial" w:eastAsia="Arial" w:hAnsi="Arial"/>
          <w:sz w:val="20"/>
          <w:szCs w:val="20"/>
          <w:color w:val="auto"/>
        </w:rPr>
      </w:pPr>
    </w:p>
    <w:p>
      <w:pPr>
        <w:ind w:left="460" w:hanging="263"/>
        <w:spacing w:after="0"/>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of $48.9 million, a 5% increase from $46.5 million (19% increase on a constant currency basis).</w:t>
      </w:r>
    </w:p>
    <w:p>
      <w:pPr>
        <w:spacing w:after="0" w:line="15" w:lineRule="exact"/>
        <w:rPr>
          <w:rFonts w:ascii="Arial" w:cs="Arial" w:eastAsia="Arial" w:hAnsi="Arial"/>
          <w:sz w:val="20"/>
          <w:szCs w:val="20"/>
          <w:color w:val="auto"/>
        </w:rPr>
      </w:pPr>
    </w:p>
    <w:p>
      <w:pPr>
        <w:ind w:left="460" w:hanging="256"/>
        <w:spacing w:after="0"/>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Total transactions of 37.7 million, an 11% increase from 34.1 million.</w:t>
      </w:r>
    </w:p>
    <w:p>
      <w:pPr>
        <w:ind w:left="460" w:hanging="256"/>
        <w:spacing w:after="0"/>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Network locations of approximately 509,000 as of September 30, 2022, compared with approximately 507,000.</w:t>
      </w: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Third quarter </w:t>
      </w:r>
      <w:r>
        <w:rPr>
          <w:rFonts w:ascii="Arial" w:cs="Arial" w:eastAsia="Arial" w:hAnsi="Arial"/>
          <w:sz w:val="21"/>
          <w:szCs w:val="21"/>
          <w:color w:val="auto"/>
        </w:rPr>
        <w:t>revenue, operating income and adjusted EBITDA growth was the result of 14% growth in U.S.-outbound</w:t>
      </w:r>
      <w:r>
        <w:rPr>
          <w:rFonts w:ascii="Arial" w:cs="Arial" w:eastAsia="Arial" w:hAnsi="Arial"/>
          <w:sz w:val="20"/>
          <w:szCs w:val="20"/>
          <w:color w:val="auto"/>
        </w:rPr>
        <w:t xml:space="preserve"> </w:t>
      </w:r>
      <w:r>
        <w:rPr>
          <w:rFonts w:ascii="Arial" w:cs="Arial" w:eastAsia="Arial" w:hAnsi="Arial"/>
          <w:sz w:val="21"/>
          <w:szCs w:val="21"/>
          <w:color w:val="auto"/>
        </w:rPr>
        <w:t>transactions, 12% growth in international-originated money transfers - which included 10% growth in transfers initiated largely in Europe and 23% growth in transfers initiated in the Middle East and Asia - and 21% growth in xe transactions, partially offset by a 13% decline in the U.S. domestic business. These transaction growth rates include 40% growth in direct-to-consumer digital transactions.</w:t>
      </w:r>
    </w:p>
    <w:p>
      <w:pPr>
        <w:spacing w:after="0" w:line="193" w:lineRule="exact"/>
        <w:rPr>
          <w:sz w:val="20"/>
          <w:szCs w:val="20"/>
          <w:color w:val="auto"/>
        </w:rPr>
      </w:pPr>
    </w:p>
    <w:p>
      <w:pPr>
        <w:ind w:right="460"/>
        <w:spacing w:after="0" w:line="276" w:lineRule="auto"/>
        <w:rPr>
          <w:sz w:val="20"/>
          <w:szCs w:val="20"/>
          <w:color w:val="auto"/>
        </w:rPr>
      </w:pPr>
      <w:r>
        <w:rPr>
          <w:rFonts w:ascii="Arial" w:cs="Arial" w:eastAsia="Arial" w:hAnsi="Arial"/>
          <w:sz w:val="19"/>
          <w:szCs w:val="19"/>
          <w:color w:val="auto"/>
        </w:rPr>
        <w:t xml:space="preserve">The Money Transfer Segment increased its network locations by more than 22,000 locations; however, it also closed approximately 20,000 locations in Russia, Belarus and Tajikistan during the first quarter 2022 when </w:t>
      </w:r>
      <w:r>
        <w:rPr>
          <w:rFonts w:ascii="Arial" w:cs="Arial" w:eastAsia="Arial" w:hAnsi="Arial"/>
          <w:sz w:val="17"/>
          <w:szCs w:val="17"/>
          <w:color w:val="auto"/>
        </w:rPr>
        <w:t>the Segment suspended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service to Russia - resulting in a net year-over-year expansion of 2,000 locations. </w:t>
      </w:r>
      <w:r>
        <w:rPr>
          <w:rFonts w:ascii="Arial" w:cs="Arial" w:eastAsia="Arial" w:hAnsi="Arial"/>
          <w:sz w:val="19"/>
          <w:szCs w:val="19"/>
          <w:color w:val="auto"/>
        </w:rPr>
        <w:t>The closure of these locations had a nominal impact 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revenue and operating profits.</w:t>
      </w:r>
    </w:p>
    <w:p>
      <w:pPr>
        <w:spacing w:after="0" w:line="200"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b w:val="1"/>
          <w:bCs w:val="1"/>
          <w:color w:val="auto"/>
        </w:rPr>
        <w:t xml:space="preserve">Corporate and Other </w:t>
      </w:r>
      <w:r>
        <w:rPr>
          <w:rFonts w:ascii="Arial" w:cs="Arial" w:eastAsia="Arial" w:hAnsi="Arial"/>
          <w:sz w:val="20"/>
          <w:szCs w:val="20"/>
          <w:color w:val="auto"/>
        </w:rPr>
        <w:t>reports $17.7 million of expense for the third quarter 2022 compared with $12.2 million for the third quarter 2021.</w:t>
      </w:r>
      <w:r>
        <w:rPr>
          <w:rFonts w:ascii="Arial" w:cs="Arial" w:eastAsia="Arial" w:hAnsi="Arial"/>
          <w:sz w:val="20"/>
          <w:szCs w:val="20"/>
          <w:b w:val="1"/>
          <w:bCs w:val="1"/>
          <w:color w:val="auto"/>
        </w:rPr>
        <w:t xml:space="preserve"> </w:t>
      </w:r>
      <w:r>
        <w:rPr>
          <w:rFonts w:ascii="Arial" w:cs="Arial" w:eastAsia="Arial" w:hAnsi="Arial"/>
          <w:sz w:val="20"/>
          <w:szCs w:val="20"/>
          <w:color w:val="auto"/>
        </w:rPr>
        <w:t>The increase in corporate expense for the third quarter 2022 is largely due to higher short- and long-term compensation expense due to improved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Balance Sheet and Financial Position</w:t>
      </w:r>
    </w:p>
    <w:p>
      <w:pPr>
        <w:spacing w:after="0" w:line="2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Unrestricted cash and cash equivalents on hand was $967.1 million as of September 30, 2022, compared to $1,014.9 million as of June 30, 2022. The decrease in unrestricted cash and cash equivalents is largely due to the repayment of debt and changes in foreign currency, partially offset by cash generated from operations of approximately $157.1 million in the third quarter of 2022.</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Total indebtedness was $1.74 billion as of September 30, 2022, compared to $2.09 billion as of June 30, 2022. The decrease in debt is largely due to debt repayments as ATM cash was removed from the ATMs following the peak travel season. As of September 30. 2022, availability under the Company's revolving credit facilities was approximately $650 million.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addition to the results presented in accordance with U.S. GAAP, the Company presents non-GAAP financial measures, such as constant currency financial measures, adjusted EBITDA and adjusted earnings per share. These measures should be used in addition to, and not a substitute for, revenues, net income, operating income and earnings per share computed in accordance with U.S. GAAP. We believe that these non-GAAP measures provide useful information to investors regarding the Company's performance and overall results of operations. These non-GAAP measures are also an integral part of the Company's internal reporting and performance assessment for executives and senior management. The non-GAAP measures used by the Company may not be comparable to similarly titled non-GAAP measures used by other companies. The attached schedules provide a full reconciliation of these non-GAAP financial measures to their most directly comparable U.S. GAAP financial measure.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does not provide a reconciliation of its forward-looking non-GAAP measures to GAAP due to the inherent difficulty in forecasting and quantifying certain amounts that are necessary for GAAP and the related GAAP and non-GAAP reconciliation, including adjustments that would be necessary for foreign currency exchange rate fluctuations and other charges reflected in the Company's reconciliation of historic numbers, the amount of which, based on historical experience, could be significant.</w:t>
      </w:r>
    </w:p>
    <w:p>
      <w:pPr>
        <w:spacing w:after="0" w:line="248" w:lineRule="exact"/>
        <w:rPr>
          <w:sz w:val="20"/>
          <w:szCs w:val="20"/>
          <w:color w:val="auto"/>
        </w:rPr>
      </w:pPr>
    </w:p>
    <w:p>
      <w:pPr>
        <w:jc w:val="both"/>
        <w:ind w:firstLine="8"/>
        <w:spacing w:after="0" w:line="229" w:lineRule="auto"/>
        <w:tabs>
          <w:tab w:leader="none" w:pos="236" w:val="left"/>
        </w:tabs>
        <w:numPr>
          <w:ilvl w:val="0"/>
          <w:numId w:val="6"/>
        </w:numPr>
        <w:rPr>
          <w:rFonts w:ascii="Arial" w:cs="Arial" w:eastAsia="Arial" w:hAnsi="Arial"/>
          <w:sz w:val="27"/>
          <w:szCs w:val="27"/>
          <w:color w:val="auto"/>
          <w:vertAlign w:val="superscript"/>
        </w:rPr>
      </w:pPr>
      <w:r>
        <w:rPr>
          <w:rFonts w:ascii="Arial" w:cs="Arial" w:eastAsia="Arial" w:hAnsi="Arial"/>
          <w:sz w:val="20"/>
          <w:szCs w:val="20"/>
          <w:color w:val="auto"/>
        </w:rPr>
        <w:t>Constant currency financial measures are computed as if foreign currency exchange rates did not change from the prior period. This information is provided to illustrate the impact of changes in foreign currency exchange rates on the Company's results when compared to the prior period.</w:t>
      </w:r>
    </w:p>
    <w:p>
      <w:pPr>
        <w:spacing w:after="0" w:line="277" w:lineRule="exact"/>
        <w:rPr>
          <w:rFonts w:ascii="Arial" w:cs="Arial" w:eastAsia="Arial" w:hAnsi="Arial"/>
          <w:sz w:val="27"/>
          <w:szCs w:val="27"/>
          <w:color w:val="auto"/>
          <w:vertAlign w:val="superscript"/>
        </w:rPr>
      </w:pPr>
    </w:p>
    <w:p>
      <w:pPr>
        <w:jc w:val="both"/>
        <w:ind w:firstLine="8"/>
        <w:spacing w:after="0" w:line="250" w:lineRule="auto"/>
        <w:tabs>
          <w:tab w:leader="none" w:pos="248"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Adjusted EBITDA is defined as net income excluding, to the extent incurred in the period, interest expense, income tax expense, depreciation, amortization, share-based compensation and other non-operating or non-recurring items that are considered expenses or income under U.S. GAAP. Adjusted EBITDA represents a performance measure and is not intended to represent a liquidity measure.</w:t>
      </w:r>
    </w:p>
    <w:p>
      <w:pPr>
        <w:spacing w:after="0" w:line="268" w:lineRule="exact"/>
        <w:rPr>
          <w:rFonts w:ascii="Arial" w:cs="Arial" w:eastAsia="Arial" w:hAnsi="Arial"/>
          <w:sz w:val="25"/>
          <w:szCs w:val="25"/>
          <w:color w:val="auto"/>
          <w:vertAlign w:val="superscript"/>
        </w:rPr>
      </w:pPr>
    </w:p>
    <w:p>
      <w:pPr>
        <w:jc w:val="both"/>
        <w:ind w:firstLine="8"/>
        <w:spacing w:after="0" w:line="249" w:lineRule="auto"/>
        <w:tabs>
          <w:tab w:leader="none" w:pos="221" w:val="left"/>
        </w:tabs>
        <w:numPr>
          <w:ilvl w:val="0"/>
          <w:numId w:val="6"/>
        </w:numPr>
        <w:rPr>
          <w:rFonts w:ascii="Arial" w:cs="Arial" w:eastAsia="Arial" w:hAnsi="Arial"/>
          <w:sz w:val="26"/>
          <w:szCs w:val="26"/>
          <w:color w:val="auto"/>
          <w:vertAlign w:val="superscript"/>
        </w:rPr>
      </w:pPr>
      <w:r>
        <w:rPr>
          <w:rFonts w:ascii="Arial" w:cs="Arial" w:eastAsia="Arial" w:hAnsi="Arial"/>
          <w:sz w:val="19"/>
          <w:szCs w:val="19"/>
          <w:color w:val="auto"/>
        </w:rPr>
        <w:t>Adjusted earnings per share is defined as diluted U.S. GAAP earnings per share excluding, to the extent incurred in the period, the tax-effected impacts of: a) foreign currency exchange gains or losses, b) share-based compensation, c) acquired intangible asset amortization, d) non-cash interest expense, e) non-cash income tax expense, f) other non-operating or non-recurring items and g) dilutive shares relate to the Company's convertible bonds. Adjusted earnings per share represents a performance measure and is not intended to represent a liquidity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 and Slide Presentation</w:t>
      </w:r>
    </w:p>
    <w:p>
      <w:pPr>
        <w:spacing w:after="0" w:line="2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Euronet Worldwide will host an analyst conference call on October 21, 2022, at 9:00 a.m. Eastern Time to discuss these results. The call may also include discussion of Company developments and the impacts of the COVID-19 pandemic on the Company's operations, forward-looking information and other material information about business and financial matters. To listen to the call via telephone please register at Euronet Worldwide Third Quarter Earnings Call. The conference call will also be available via webcast at http://ir.euronetworldwide.com. Participants should register at least five minutes prior to the scheduled start time of the event. A slideshow will be included in the webcast.</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A webcast replay will be available beginning approximately </w:t>
      </w:r>
      <w:r>
        <w:rPr>
          <w:rFonts w:ascii="Arial" w:cs="Arial" w:eastAsia="Arial" w:hAnsi="Arial"/>
          <w:sz w:val="21"/>
          <w:szCs w:val="21"/>
          <w:color w:val="auto"/>
        </w:rPr>
        <w:t>one</w:t>
      </w:r>
      <w:r>
        <w:rPr>
          <w:rFonts w:ascii="Arial" w:cs="Arial" w:eastAsia="Arial" w:hAnsi="Arial"/>
          <w:sz w:val="20"/>
          <w:szCs w:val="20"/>
          <w:color w:val="auto"/>
        </w:rPr>
        <w:t xml:space="preserve"> hour after the event at http://ir.euronetworldwide.com and will remain available for </w:t>
      </w:r>
      <w:r>
        <w:rPr>
          <w:rFonts w:ascii="Arial" w:cs="Arial" w:eastAsia="Arial" w:hAnsi="Arial"/>
          <w:sz w:val="21"/>
          <w:szCs w:val="21"/>
          <w:color w:val="auto"/>
        </w:rPr>
        <w:t>one</w:t>
      </w:r>
      <w:r>
        <w:rPr>
          <w:rFonts w:ascii="Arial" w:cs="Arial" w:eastAsia="Arial" w:hAnsi="Arial"/>
          <w:sz w:val="20"/>
          <w:szCs w:val="20"/>
          <w:color w:val="auto"/>
        </w:rPr>
        <w:t xml:space="preserve"> year.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Euronet Worldwide, Inc.</w:t>
      </w:r>
    </w:p>
    <w:p>
      <w:pPr>
        <w:spacing w:after="0" w:line="2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Euronet Worldwide is a leading global financial technology solutions and payments provider. The Company offers payment and transaction processing solutions to financial institutions, retailers, service providers and individual consumers. These services include comprehensive ATM, POS and card outsourcing services, card issuing and merchant acquiring services, software solutions, cash-based and online-initiated consumer-to-consumer and business-to-business money transfer services, and electronic transaction processing of digital media and prepaid mobile phone time.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Euronet's global payment network is extensive - including 51,437 installed ATMs, approximately 590,000 EFT POS terminals and a growing portfolio of outsourced debit and credit card services which are under management in 65 countries; card software solutions; a prepaid processing network of approximately 777,000 POS terminals at approximately 352,000 retailer locations in 63 countries; and a global money transfer network of approximately 509,000 locations serving 188 countries and territories. With corporate headquarters in Leawood, Kansas, USA, and 66 worldwide offices, Euronet serves clients in approximately 200 countries and territories. For more information, please visit the Company's website at www.euronetworldwide.com.</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i w:val="1"/>
          <w:iCs w:val="1"/>
          <w:color w:val="auto"/>
        </w:rPr>
        <w:t>Statements contained in this news release that concern Euronet's or its management's intentions, expectations, or predictions of future performance, are forward-looking statements. Euronet's actual results may vary materially from those anticipated in such forward-looking statements as a result of a number of factors, including: conditions in world financial markets and general economic conditions, including impacts from the COVID-19 pandemic; inflation; the war in the Ukraine and the related economic sanctions; our ability to successfully integrate the operations of Piraeus Merchant Services;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the European Union's General Data Privacy Regulation and Second Payment Service Directive requirements; changes in laws and regulations affecting our business, including tax and immigration laws and any laws regulating payments, including dynamic currency conversion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 Any forward-looking statements made in this release speak only as of the date of this release. Except as may be required by law, Euronet does not intend to update these forward-looking statements and undertakes no duty to any person to provide any such update under any circumstances. The Company regularly posts important information to the investor relations section of its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6"/>
          <w:szCs w:val="16"/>
          <w:b w:val="1"/>
          <w:bCs w:val="1"/>
          <w:color w:val="auto"/>
        </w:rPr>
        <w:t>EURONET WORLDWIDE, INC.</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As of</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24"/>
                <w:szCs w:val="24"/>
                <w:color w:val="auto"/>
              </w:rPr>
            </w:pPr>
          </w:p>
        </w:tc>
        <w:tc>
          <w:tcPr>
            <w:tcW w:w="112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center"/>
              <w:ind w:right="1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43"/>
        </w:trPr>
        <w:tc>
          <w:tcPr>
            <w:tcW w:w="8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(unaudited)</w:t>
            </w:r>
          </w:p>
        </w:tc>
        <w:tc>
          <w:tcPr>
            <w:tcW w:w="140" w:type="dxa"/>
            <w:vAlign w:val="bottom"/>
          </w:tcPr>
          <w:p>
            <w:pPr>
              <w:spacing w:after="0"/>
              <w:rPr>
                <w:sz w:val="21"/>
                <w:szCs w:val="21"/>
                <w:color w:val="auto"/>
              </w:rPr>
            </w:pPr>
          </w:p>
        </w:tc>
        <w:tc>
          <w:tcPr>
            <w:tcW w:w="112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33"/>
        </w:trPr>
        <w:tc>
          <w:tcPr>
            <w:tcW w:w="8620" w:type="dxa"/>
            <w:vAlign w:val="bottom"/>
            <w:vMerge w:val="restart"/>
          </w:tcPr>
          <w:p>
            <w:pPr>
              <w:ind w:left="8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8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967.1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ATM cash</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Settlement assets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1,102.4</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Trade accounts receivable, net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6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3,245.9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3,308.4</w:t>
            </w:r>
          </w:p>
        </w:tc>
        <w:tc>
          <w:tcPr>
            <w:tcW w:w="0" w:type="dxa"/>
            <w:vAlign w:val="bottom"/>
          </w:tcPr>
          <w:p>
            <w:pPr>
              <w:spacing w:after="0"/>
              <w:rPr>
                <w:sz w:val="1"/>
                <w:szCs w:val="1"/>
                <w:color w:val="auto"/>
              </w:rPr>
            </w:pPr>
          </w:p>
        </w:tc>
      </w:tr>
      <w:tr>
        <w:trPr>
          <w:trHeight w:val="500"/>
        </w:trPr>
        <w:tc>
          <w:tcPr>
            <w:tcW w:w="862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Arial" w:cs="Arial" w:eastAsia="Arial" w:hAnsi="Arial"/>
                <w:sz w:val="18"/>
                <w:szCs w:val="18"/>
                <w:color w:val="auto"/>
              </w:rPr>
              <w:t>Right of use lease asset, net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Arial" w:cs="Arial" w:eastAsia="Arial" w:hAnsi="Arial"/>
                <w:sz w:val="18"/>
                <w:szCs w:val="18"/>
                <w:color w:val="auto"/>
              </w:rPr>
              <w:t>Goodwill and acquired intangible assets, net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Arial" w:cs="Arial" w:eastAsia="Arial" w:hAnsi="Arial"/>
                <w:sz w:val="18"/>
                <w:szCs w:val="18"/>
                <w:color w:val="auto"/>
              </w:rPr>
              <w:t>Other assets, net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862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4,744.3</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80"/>
              <w:spacing w:after="0"/>
              <w:rPr>
                <w:sz w:val="20"/>
                <w:szCs w:val="20"/>
                <w:color w:val="auto"/>
              </w:rPr>
            </w:pPr>
            <w:r>
              <w:rPr>
                <w:rFonts w:ascii="Arial" w:cs="Arial" w:eastAsia="Arial" w:hAnsi="Arial"/>
                <w:sz w:val="18"/>
                <w:szCs w:val="18"/>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Settlement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1,034.9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1,102.4</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Accounts payable and other current liabilities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0"/>
        </w:trPr>
        <w:tc>
          <w:tcPr>
            <w:tcW w:w="8620" w:type="dxa"/>
            <w:vAlign w:val="bottom"/>
          </w:tcPr>
          <w:p>
            <w:pPr>
              <w:ind w:left="320"/>
              <w:spacing w:after="0"/>
              <w:rPr>
                <w:sz w:val="20"/>
                <w:szCs w:val="20"/>
                <w:color w:val="auto"/>
              </w:rPr>
            </w:pPr>
            <w:r>
              <w:rPr>
                <w:rFonts w:ascii="Arial" w:cs="Arial" w:eastAsia="Arial" w:hAnsi="Arial"/>
                <w:sz w:val="18"/>
                <w:szCs w:val="18"/>
                <w:color w:val="auto"/>
              </w:rPr>
              <w:t>Short-term debt obligations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6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2,170.4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1,852.6</w:t>
            </w:r>
          </w:p>
        </w:tc>
        <w:tc>
          <w:tcPr>
            <w:tcW w:w="0" w:type="dxa"/>
            <w:vAlign w:val="bottom"/>
          </w:tcPr>
          <w:p>
            <w:pPr>
              <w:spacing w:after="0"/>
              <w:rPr>
                <w:sz w:val="1"/>
                <w:szCs w:val="1"/>
                <w:color w:val="auto"/>
              </w:rPr>
            </w:pPr>
          </w:p>
        </w:tc>
      </w:tr>
      <w:tr>
        <w:trPr>
          <w:trHeight w:val="500"/>
        </w:trPr>
        <w:tc>
          <w:tcPr>
            <w:tcW w:w="8620" w:type="dxa"/>
            <w:vAlign w:val="bottom"/>
          </w:tcPr>
          <w:p>
            <w:pPr>
              <w:ind w:left="220"/>
              <w:spacing w:after="0"/>
              <w:rPr>
                <w:sz w:val="20"/>
                <w:szCs w:val="20"/>
                <w:color w:val="auto"/>
              </w:rPr>
            </w:pPr>
            <w:r>
              <w:rPr>
                <w:rFonts w:ascii="Arial" w:cs="Arial" w:eastAsia="Arial" w:hAnsi="Arial"/>
                <w:sz w:val="18"/>
                <w:szCs w:val="18"/>
                <w:color w:val="auto"/>
              </w:rPr>
              <w:t>Debt obligations, net of current portion</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1,420.1</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Arial" w:cs="Arial" w:eastAsia="Arial" w:hAnsi="Arial"/>
                <w:sz w:val="18"/>
                <w:szCs w:val="18"/>
                <w:color w:val="auto"/>
              </w:rPr>
              <w:t>Capital lease obligations, net of current portion</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0"/>
        </w:trPr>
        <w:tc>
          <w:tcPr>
            <w:tcW w:w="862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862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3,800.5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3,488.8</w:t>
            </w:r>
          </w:p>
        </w:tc>
        <w:tc>
          <w:tcPr>
            <w:tcW w:w="0" w:type="dxa"/>
            <w:vAlign w:val="bottom"/>
          </w:tcPr>
          <w:p>
            <w:pPr>
              <w:spacing w:after="0"/>
              <w:rPr>
                <w:sz w:val="1"/>
                <w:szCs w:val="1"/>
                <w:color w:val="auto"/>
              </w:rPr>
            </w:pPr>
          </w:p>
        </w:tc>
      </w:tr>
      <w:tr>
        <w:trPr>
          <w:trHeight w:val="499"/>
        </w:trPr>
        <w:tc>
          <w:tcPr>
            <w:tcW w:w="8620" w:type="dxa"/>
            <w:vAlign w:val="bottom"/>
          </w:tcPr>
          <w:p>
            <w:pPr>
              <w:ind w:left="54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1,255.5</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8620" w:type="dxa"/>
            <w:vAlign w:val="bottom"/>
          </w:tcPr>
          <w:p>
            <w:pPr>
              <w:ind w:left="64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4,744.3</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EURONET WORLDWIDE,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in millions, except share and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8440" w:type="dxa"/>
            <w:vAlign w:val="bottom"/>
          </w:tcPr>
          <w:p>
            <w:pPr>
              <w:ind w:left="8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931.3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8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Arial" w:cs="Arial" w:eastAsia="Arial" w:hAnsi="Arial"/>
                <w:sz w:val="18"/>
                <w:szCs w:val="18"/>
                <w:color w:val="auto"/>
              </w:rPr>
              <w:t>Direct operating costs</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8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91"/>
        </w:trPr>
        <w:tc>
          <w:tcPr>
            <w:tcW w:w="8440" w:type="dxa"/>
            <w:vAlign w:val="bottom"/>
          </w:tcPr>
          <w:p>
            <w:pPr>
              <w:ind w:left="180"/>
              <w:spacing w:after="0"/>
              <w:rPr>
                <w:sz w:val="20"/>
                <w:szCs w:val="20"/>
                <w:color w:val="auto"/>
              </w:rPr>
            </w:pPr>
            <w:r>
              <w:rPr>
                <w:rFonts w:ascii="Arial" w:cs="Arial" w:eastAsia="Arial" w:hAnsi="Arial"/>
                <w:sz w:val="18"/>
                <w:szCs w:val="18"/>
                <w:color w:val="auto"/>
              </w:rPr>
              <w:t>Foreign currency exchange loss</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499"/>
        </w:trPr>
        <w:tc>
          <w:tcPr>
            <w:tcW w:w="844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440" w:type="dxa"/>
            <w:vAlign w:val="bottom"/>
          </w:tcPr>
          <w:p>
            <w:pPr>
              <w:ind w:left="380"/>
              <w:spacing w:after="0"/>
              <w:rPr>
                <w:sz w:val="20"/>
                <w:szCs w:val="20"/>
                <w:color w:val="auto"/>
              </w:rPr>
            </w:pPr>
            <w:r>
              <w:rPr>
                <w:rFonts w:ascii="Arial" w:cs="Arial" w:eastAsia="Arial" w:hAnsi="Arial"/>
                <w:sz w:val="18"/>
                <w:szCs w:val="18"/>
                <w:color w:val="auto"/>
              </w:rPr>
              <w:t>Net income attributable to Euronet Worldwide,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0"/>
        </w:trPr>
        <w:tc>
          <w:tcPr>
            <w:tcW w:w="8440" w:type="dxa"/>
            <w:vAlign w:val="bottom"/>
          </w:tcPr>
          <w:p>
            <w:pPr>
              <w:ind w:left="600"/>
              <w:spacing w:after="0"/>
              <w:rPr>
                <w:sz w:val="20"/>
                <w:szCs w:val="20"/>
                <w:color w:val="auto"/>
              </w:rPr>
            </w:pPr>
            <w:r>
              <w:rPr>
                <w:rFonts w:ascii="Arial" w:cs="Arial" w:eastAsia="Arial" w:hAnsi="Arial"/>
                <w:sz w:val="18"/>
                <w:szCs w:val="18"/>
                <w:color w:val="auto"/>
              </w:rPr>
              <w:t>Add: Interest expense from assumed conversion of convertible notes, net of tax</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Pr>
          <w:p>
            <w:pPr>
              <w:ind w:left="380"/>
              <w:spacing w:after="0"/>
              <w:rPr>
                <w:sz w:val="20"/>
                <w:szCs w:val="20"/>
                <w:color w:val="auto"/>
              </w:rPr>
            </w:pPr>
            <w:r>
              <w:rPr>
                <w:rFonts w:ascii="Arial" w:cs="Arial" w:eastAsia="Arial" w:hAnsi="Arial"/>
                <w:sz w:val="18"/>
                <w:szCs w:val="18"/>
                <w:color w:val="auto"/>
              </w:rPr>
              <w:t>Net income for diluted earnings per share calculation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180"/>
              <w:spacing w:after="0"/>
              <w:rPr>
                <w:sz w:val="20"/>
                <w:szCs w:val="20"/>
                <w:color w:val="auto"/>
              </w:rPr>
            </w:pPr>
            <w:r>
              <w:rPr>
                <w:rFonts w:ascii="Arial" w:cs="Arial" w:eastAsia="Arial" w:hAnsi="Arial"/>
                <w:sz w:val="18"/>
                <w:szCs w:val="18"/>
                <w:color w:val="auto"/>
              </w:rPr>
              <w:t>Earnings per share attributable to Euronet</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440" w:type="dxa"/>
            <w:vAlign w:val="bottom"/>
          </w:tcPr>
          <w:p>
            <w:pPr>
              <w:ind w:left="300"/>
              <w:spacing w:after="0"/>
              <w:rPr>
                <w:sz w:val="20"/>
                <w:szCs w:val="20"/>
                <w:color w:val="auto"/>
              </w:rPr>
            </w:pPr>
            <w:r>
              <w:rPr>
                <w:rFonts w:ascii="Arial" w:cs="Arial" w:eastAsia="Arial" w:hAnsi="Arial"/>
                <w:sz w:val="18"/>
                <w:szCs w:val="18"/>
                <w:color w:val="auto"/>
              </w:rPr>
              <w:t>Worldwide, Inc. stockholders - 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4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52,751,304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53,853,675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6"/>
          <w:szCs w:val="16"/>
          <w:b w:val="1"/>
          <w:bCs w:val="1"/>
          <w:color w:val="auto"/>
        </w:rPr>
        <w:t>EURONET WORLDWIDE,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Net Income to Operating Income (Expense) and Adjusted EBITDA</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 - in millions)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60" w:type="dxa"/>
            <w:vAlign w:val="bottom"/>
            <w:gridSpan w:val="5"/>
          </w:tcPr>
          <w:p>
            <w:pPr>
              <w:jc w:val="right"/>
              <w:ind w:right="610"/>
              <w:spacing w:after="0"/>
              <w:rPr>
                <w:sz w:val="20"/>
                <w:szCs w:val="20"/>
                <w:color w:val="auto"/>
              </w:rPr>
            </w:pPr>
            <w:r>
              <w:rPr>
                <w:rFonts w:ascii="Arial" w:cs="Arial" w:eastAsia="Arial" w:hAnsi="Arial"/>
                <w:sz w:val="16"/>
                <w:szCs w:val="16"/>
                <w:b w:val="1"/>
                <w:bCs w:val="1"/>
                <w:color w:val="auto"/>
              </w:rPr>
              <w:t>Three months ended September 30, 2022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8"/>
        </w:trPr>
        <w:tc>
          <w:tcPr>
            <w:tcW w:w="4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Money</w:t>
            </w:r>
          </w:p>
        </w:tc>
        <w:tc>
          <w:tcPr>
            <w:tcW w:w="260" w:type="dxa"/>
            <w:vAlign w:val="bottom"/>
          </w:tcPr>
          <w:p>
            <w:pPr>
              <w:spacing w:after="0"/>
              <w:rPr>
                <w:sz w:val="24"/>
                <w:szCs w:val="24"/>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EFT Processing</w:t>
            </w:r>
          </w:p>
        </w:tc>
        <w:tc>
          <w:tcPr>
            <w:tcW w:w="34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b w:val="1"/>
                <w:bCs w:val="1"/>
                <w:color w:val="auto"/>
              </w:rPr>
              <w:t>epay</w:t>
            </w:r>
          </w:p>
        </w:tc>
        <w:tc>
          <w:tcPr>
            <w:tcW w:w="28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Transfer</w:t>
            </w:r>
          </w:p>
        </w:tc>
        <w:tc>
          <w:tcPr>
            <w:tcW w:w="260" w:type="dxa"/>
            <w:vAlign w:val="bottom"/>
          </w:tcPr>
          <w:p>
            <w:pPr>
              <w:spacing w:after="0"/>
              <w:rPr>
                <w:sz w:val="20"/>
                <w:szCs w:val="20"/>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3"/>
              </w:rPr>
              <w:t>Services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442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Add: Income tax expense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Add: Total other expense, net</w:t>
            </w: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420" w:type="dxa"/>
            <w:vAlign w:val="bottom"/>
          </w:tcPr>
          <w:p>
            <w:pPr>
              <w:spacing w:after="0"/>
              <w:rPr>
                <w:sz w:val="20"/>
                <w:szCs w:val="20"/>
                <w:color w:val="auto"/>
              </w:rPr>
            </w:pPr>
            <w:r>
              <w:rPr>
                <w:rFonts w:ascii="Arial" w:cs="Arial" w:eastAsia="Arial" w:hAnsi="Arial"/>
                <w:sz w:val="18"/>
                <w:szCs w:val="18"/>
                <w:color w:val="auto"/>
              </w:rPr>
              <w:t>Operating income (expense)</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405"/>
        </w:trPr>
        <w:tc>
          <w:tcPr>
            <w:tcW w:w="4420" w:type="dxa"/>
            <w:vAlign w:val="bottom"/>
          </w:tcPr>
          <w:p>
            <w:pPr>
              <w:spacing w:after="0"/>
              <w:rPr>
                <w:sz w:val="20"/>
                <w:szCs w:val="20"/>
                <w:color w:val="auto"/>
              </w:rPr>
            </w:pPr>
            <w:r>
              <w:rPr>
                <w:rFonts w:ascii="Arial" w:cs="Arial" w:eastAsia="Arial" w:hAnsi="Arial"/>
                <w:sz w:val="18"/>
                <w:szCs w:val="18"/>
                <w:color w:val="auto"/>
              </w:rPr>
              <w:t>Add: Depreciation and amortization</w:t>
            </w:r>
          </w:p>
        </w:tc>
        <w:tc>
          <w:tcPr>
            <w:tcW w:w="4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Add: Share-based compensation</w:t>
            </w:r>
          </w:p>
        </w:tc>
        <w:tc>
          <w:tcPr>
            <w:tcW w:w="4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Arial" w:cs="Arial" w:eastAsia="Arial" w:hAnsi="Arial"/>
                <w:sz w:val="18"/>
                <w:szCs w:val="18"/>
                <w:color w:val="auto"/>
                <w:w w:val="94"/>
              </w:rPr>
              <w:t>Earnings before interest, taxes, depreciation, amortization,</w:t>
            </w: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8"/>
        </w:trPr>
        <w:tc>
          <w:tcPr>
            <w:tcW w:w="44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420" w:type="dxa"/>
            <w:vAlign w:val="bottom"/>
          </w:tcPr>
          <w:p>
            <w:pPr>
              <w:ind w:left="80"/>
              <w:spacing w:after="0" w:line="280" w:lineRule="exact"/>
              <w:rPr>
                <w:sz w:val="20"/>
                <w:szCs w:val="20"/>
                <w:color w:val="auto"/>
              </w:rPr>
            </w:pPr>
            <w:r>
              <w:rPr>
                <w:rFonts w:ascii="Arial" w:cs="Arial" w:eastAsia="Arial" w:hAnsi="Arial"/>
                <w:sz w:val="18"/>
                <w:szCs w:val="18"/>
                <w:color w:val="auto"/>
                <w:w w:val="98"/>
              </w:rPr>
              <w:t xml:space="preserve">and share-based compensation (Adjusted EBITDA) </w:t>
            </w:r>
            <w:r>
              <w:rPr>
                <w:rFonts w:ascii="Arial" w:cs="Arial" w:eastAsia="Arial" w:hAnsi="Arial"/>
                <w:sz w:val="29"/>
                <w:szCs w:val="29"/>
                <w:color w:val="auto"/>
                <w:w w:val="98"/>
                <w:vertAlign w:val="superscript"/>
              </w:rPr>
              <w:t>(1)</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gridSpan w:val="5"/>
          </w:tcPr>
          <w:p>
            <w:pPr>
              <w:jc w:val="right"/>
              <w:ind w:right="610"/>
              <w:spacing w:after="0"/>
              <w:rPr>
                <w:sz w:val="20"/>
                <w:szCs w:val="20"/>
                <w:color w:val="auto"/>
              </w:rPr>
            </w:pPr>
            <w:r>
              <w:rPr>
                <w:rFonts w:ascii="Arial" w:cs="Arial" w:eastAsia="Arial" w:hAnsi="Arial"/>
                <w:sz w:val="16"/>
                <w:szCs w:val="16"/>
                <w:b w:val="1"/>
                <w:bCs w:val="1"/>
                <w:color w:val="auto"/>
              </w:rPr>
              <w:t>Three months ended September 30, 2021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4"/>
        </w:trPr>
        <w:tc>
          <w:tcPr>
            <w:tcW w:w="4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Money</w:t>
            </w:r>
          </w:p>
        </w:tc>
        <w:tc>
          <w:tcPr>
            <w:tcW w:w="260" w:type="dxa"/>
            <w:vAlign w:val="bottom"/>
          </w:tcPr>
          <w:p>
            <w:pPr>
              <w:spacing w:after="0"/>
              <w:rPr>
                <w:sz w:val="24"/>
                <w:szCs w:val="24"/>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EFT Processing</w:t>
            </w:r>
          </w:p>
        </w:tc>
        <w:tc>
          <w:tcPr>
            <w:tcW w:w="34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b w:val="1"/>
                <w:bCs w:val="1"/>
                <w:color w:val="auto"/>
              </w:rPr>
              <w:t>epay</w:t>
            </w:r>
          </w:p>
        </w:tc>
        <w:tc>
          <w:tcPr>
            <w:tcW w:w="28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Transfer</w:t>
            </w:r>
          </w:p>
        </w:tc>
        <w:tc>
          <w:tcPr>
            <w:tcW w:w="260" w:type="dxa"/>
            <w:vAlign w:val="bottom"/>
          </w:tcPr>
          <w:p>
            <w:pPr>
              <w:spacing w:after="0"/>
              <w:rPr>
                <w:sz w:val="20"/>
                <w:szCs w:val="20"/>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3"/>
              </w:rPr>
              <w:t>Services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442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Add: Income tax expense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Add: Total other expense, net</w:t>
            </w: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4420" w:type="dxa"/>
            <w:vAlign w:val="bottom"/>
          </w:tcPr>
          <w:p>
            <w:pPr>
              <w:spacing w:after="0"/>
              <w:rPr>
                <w:sz w:val="20"/>
                <w:szCs w:val="20"/>
                <w:color w:val="auto"/>
              </w:rPr>
            </w:pPr>
            <w:r>
              <w:rPr>
                <w:rFonts w:ascii="Arial" w:cs="Arial" w:eastAsia="Arial" w:hAnsi="Arial"/>
                <w:sz w:val="18"/>
                <w:szCs w:val="18"/>
                <w:color w:val="auto"/>
              </w:rPr>
              <w:t>Operating income (expense)</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Add: Depreciation and amortization</w:t>
            </w:r>
          </w:p>
        </w:tc>
        <w:tc>
          <w:tcPr>
            <w:tcW w:w="4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Add: Share-based compensation</w:t>
            </w:r>
          </w:p>
        </w:tc>
        <w:tc>
          <w:tcPr>
            <w:tcW w:w="4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Arial" w:cs="Arial" w:eastAsia="Arial" w:hAnsi="Arial"/>
                <w:sz w:val="18"/>
                <w:szCs w:val="18"/>
                <w:color w:val="auto"/>
                <w:w w:val="95"/>
              </w:rPr>
              <w:t>Earnings before interest, taxes, depreciation, amortization</w:t>
            </w: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8"/>
        </w:trPr>
        <w:tc>
          <w:tcPr>
            <w:tcW w:w="44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420" w:type="dxa"/>
            <w:vAlign w:val="bottom"/>
          </w:tcPr>
          <w:p>
            <w:pPr>
              <w:ind w:left="80"/>
              <w:spacing w:after="0" w:line="280" w:lineRule="exact"/>
              <w:rPr>
                <w:sz w:val="20"/>
                <w:szCs w:val="20"/>
                <w:color w:val="auto"/>
              </w:rPr>
            </w:pPr>
            <w:r>
              <w:rPr>
                <w:rFonts w:ascii="Arial" w:cs="Arial" w:eastAsia="Arial" w:hAnsi="Arial"/>
                <w:sz w:val="18"/>
                <w:szCs w:val="18"/>
                <w:color w:val="auto"/>
                <w:w w:val="98"/>
              </w:rPr>
              <w:t xml:space="preserve">and share-based compensation (Adjusted EBITDA) </w:t>
            </w:r>
            <w:r>
              <w:rPr>
                <w:rFonts w:ascii="Arial" w:cs="Arial" w:eastAsia="Arial" w:hAnsi="Arial"/>
                <w:sz w:val="29"/>
                <w:szCs w:val="29"/>
                <w:color w:val="auto"/>
                <w:w w:val="98"/>
                <w:vertAlign w:val="superscript"/>
              </w:rPr>
              <w:t>(1)</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is a non-GAAP measure that should be considered in addition to, and not a substitute for, net income computed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EURONET WORLDWIDE, INC.</w:t>
      </w:r>
    </w:p>
    <w:p>
      <w:pPr>
        <w:spacing w:after="0" w:line="73"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Reconciliation of Adjusted Earnings per Share</w:t>
      </w:r>
    </w:p>
    <w:p>
      <w:pPr>
        <w:spacing w:after="0" w:line="73"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 - in millions, except share and per share data)</w:t>
      </w:r>
    </w:p>
    <w:p>
      <w:pPr>
        <w:spacing w:after="0" w:line="248" w:lineRule="exact"/>
        <w:rPr>
          <w:sz w:val="20"/>
          <w:szCs w:val="20"/>
          <w:color w:val="auto"/>
        </w:rPr>
      </w:pPr>
    </w:p>
    <w:tbl>
      <w:tblPr>
        <w:tblLayout w:type="fixed"/>
        <w:tblInd w:w="32"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6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99"/>
        </w:trPr>
        <w:tc>
          <w:tcPr>
            <w:tcW w:w="8440" w:type="dxa"/>
            <w:vAlign w:val="bottom"/>
          </w:tcPr>
          <w:p>
            <w:pPr>
              <w:spacing w:after="0"/>
              <w:rPr>
                <w:sz w:val="20"/>
                <w:szCs w:val="20"/>
                <w:color w:val="auto"/>
              </w:rPr>
            </w:pPr>
            <w:r>
              <w:rPr>
                <w:rFonts w:ascii="Arial" w:cs="Arial" w:eastAsia="Arial" w:hAnsi="Arial"/>
                <w:sz w:val="18"/>
                <w:szCs w:val="18"/>
                <w:color w:val="auto"/>
              </w:rPr>
              <w:t>Net income attributable to Euronet Worldwide, Inc.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73.9</w:t>
            </w:r>
          </w:p>
        </w:tc>
      </w:tr>
      <w:tr>
        <w:trPr>
          <w:trHeight w:val="391"/>
        </w:trPr>
        <w:tc>
          <w:tcPr>
            <w:tcW w:w="8440" w:type="dxa"/>
            <w:vAlign w:val="bottom"/>
          </w:tcPr>
          <w:p>
            <w:pPr>
              <w:ind w:left="40"/>
              <w:spacing w:after="0"/>
              <w:rPr>
                <w:sz w:val="20"/>
                <w:szCs w:val="20"/>
                <w:color w:val="auto"/>
              </w:rPr>
            </w:pPr>
            <w:r>
              <w:rPr>
                <w:rFonts w:ascii="Arial" w:cs="Arial" w:eastAsia="Arial" w:hAnsi="Arial"/>
                <w:sz w:val="18"/>
                <w:szCs w:val="18"/>
                <w:color w:val="auto"/>
              </w:rPr>
              <w:t>Foreign currency exchange loss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310"/>
        </w:trPr>
        <w:tc>
          <w:tcPr>
            <w:tcW w:w="8440" w:type="dxa"/>
            <w:vAlign w:val="bottom"/>
          </w:tcPr>
          <w:p>
            <w:pPr>
              <w:ind w:left="40"/>
              <w:spacing w:after="0"/>
              <w:rPr>
                <w:sz w:val="20"/>
                <w:szCs w:val="20"/>
                <w:color w:val="auto"/>
              </w:rPr>
            </w:pPr>
            <w:r>
              <w:rPr>
                <w:rFonts w:ascii="Arial" w:cs="Arial" w:eastAsia="Arial" w:hAnsi="Arial"/>
                <w:sz w:val="18"/>
                <w:szCs w:val="18"/>
                <w:color w:val="auto"/>
              </w:rPr>
              <w:t>Intangible asset amortization</w:t>
            </w:r>
            <w:r>
              <w:rPr>
                <w:rFonts w:ascii="Arial" w:cs="Arial" w:eastAsia="Arial" w:hAnsi="Arial"/>
                <w:sz w:val="23"/>
                <w:szCs w:val="23"/>
                <w:color w:val="auto"/>
                <w:vertAlign w:val="superscript"/>
              </w:rPr>
              <w:t>(1)</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(2)</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Non-cash interest accretion</w:t>
            </w:r>
            <w:r>
              <w:rPr>
                <w:rFonts w:ascii="Arial" w:cs="Arial" w:eastAsia="Arial" w:hAnsi="Arial"/>
                <w:sz w:val="23"/>
                <w:szCs w:val="23"/>
                <w:color w:val="auto"/>
                <w:vertAlign w:val="superscript"/>
              </w:rPr>
              <w:t>(3)</w:t>
            </w:r>
          </w:p>
        </w:tc>
        <w:tc>
          <w:tcPr>
            <w:tcW w:w="30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Income tax effect of above adjustments</w:t>
            </w:r>
            <w:r>
              <w:rPr>
                <w:rFonts w:ascii="Arial" w:cs="Arial" w:eastAsia="Arial" w:hAnsi="Arial"/>
                <w:sz w:val="23"/>
                <w:szCs w:val="23"/>
                <w:color w:val="auto"/>
                <w:vertAlign w:val="superscript"/>
              </w:rPr>
              <w:t>(4)</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57"/>
        </w:trPr>
        <w:tc>
          <w:tcPr>
            <w:tcW w:w="8440" w:type="dxa"/>
            <w:vAlign w:val="bottom"/>
          </w:tcPr>
          <w:p>
            <w:pPr>
              <w:ind w:left="40"/>
              <w:spacing w:after="0" w:line="257" w:lineRule="exact"/>
              <w:rPr>
                <w:sz w:val="20"/>
                <w:szCs w:val="20"/>
                <w:color w:val="auto"/>
              </w:rPr>
            </w:pPr>
            <w:r>
              <w:rPr>
                <w:rFonts w:ascii="Arial" w:cs="Arial" w:eastAsia="Arial" w:hAnsi="Arial"/>
                <w:sz w:val="18"/>
                <w:szCs w:val="18"/>
                <w:color w:val="auto"/>
              </w:rPr>
              <w:t>Non-cash GAAP tax expense</w:t>
            </w:r>
            <w:r>
              <w:rPr>
                <w:rFonts w:ascii="Arial" w:cs="Arial" w:eastAsia="Arial" w:hAnsi="Arial"/>
                <w:sz w:val="23"/>
                <w:szCs w:val="23"/>
                <w:color w:val="auto"/>
                <w:vertAlign w:val="superscript"/>
              </w:rPr>
              <w:t>(5)</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r>
      <w:tr>
        <w:trPr>
          <w:trHeight w:val="372"/>
        </w:trPr>
        <w:tc>
          <w:tcPr>
            <w:tcW w:w="8440" w:type="dxa"/>
            <w:vAlign w:val="bottom"/>
          </w:tcPr>
          <w:p>
            <w:pPr>
              <w:ind w:left="40"/>
              <w:spacing w:after="0"/>
              <w:rPr>
                <w:sz w:val="20"/>
                <w:szCs w:val="20"/>
                <w:color w:val="auto"/>
              </w:rPr>
            </w:pPr>
            <w:r>
              <w:rPr>
                <w:rFonts w:ascii="Arial" w:cs="Arial" w:eastAsia="Arial" w:hAnsi="Arial"/>
                <w:sz w:val="18"/>
                <w:szCs w:val="18"/>
                <w:color w:val="auto"/>
              </w:rPr>
              <w:t>Adjusted earnings</w:t>
            </w:r>
            <w:r>
              <w:rPr>
                <w:rFonts w:ascii="Arial" w:cs="Arial" w:eastAsia="Arial" w:hAnsi="Arial"/>
                <w:sz w:val="23"/>
                <w:szCs w:val="23"/>
                <w:color w:val="auto"/>
                <w:vertAlign w:val="superscript"/>
              </w:rPr>
              <w:t>(6)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96.0</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3"/>
        </w:trPr>
        <w:tc>
          <w:tcPr>
            <w:tcW w:w="8440" w:type="dxa"/>
            <w:vAlign w:val="bottom"/>
          </w:tcPr>
          <w:p>
            <w:pPr>
              <w:ind w:left="40"/>
              <w:spacing w:after="0"/>
              <w:rPr>
                <w:sz w:val="20"/>
                <w:szCs w:val="20"/>
                <w:color w:val="auto"/>
              </w:rPr>
            </w:pPr>
            <w:r>
              <w:rPr>
                <w:rFonts w:ascii="Arial" w:cs="Arial" w:eastAsia="Arial" w:hAnsi="Arial"/>
                <w:sz w:val="18"/>
                <w:szCs w:val="18"/>
                <w:color w:val="auto"/>
              </w:rPr>
              <w:t>Adjusted earnings per share - diluted</w:t>
            </w:r>
            <w:r>
              <w:rPr>
                <w:rFonts w:ascii="Arial" w:cs="Arial" w:eastAsia="Arial" w:hAnsi="Arial"/>
                <w:sz w:val="23"/>
                <w:szCs w:val="23"/>
                <w:color w:val="auto"/>
                <w:vertAlign w:val="superscript"/>
              </w:rPr>
              <w:t>(6)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6"/>
        </w:trPr>
        <w:tc>
          <w:tcPr>
            <w:tcW w:w="8440" w:type="dxa"/>
            <w:vAlign w:val="bottom"/>
          </w:tcPr>
          <w:p>
            <w:pPr>
              <w:spacing w:after="0"/>
              <w:rPr>
                <w:sz w:val="20"/>
                <w:szCs w:val="20"/>
                <w:color w:val="auto"/>
              </w:rPr>
            </w:pPr>
            <w:r>
              <w:rPr>
                <w:rFonts w:ascii="Arial" w:cs="Arial" w:eastAsia="Arial" w:hAnsi="Arial"/>
                <w:sz w:val="18"/>
                <w:szCs w:val="18"/>
                <w:color w:val="auto"/>
              </w:rPr>
              <w:t>Diluted weighted average shares outstanding (GAAP)</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52,751,304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53,853,675</w:t>
            </w:r>
          </w:p>
        </w:tc>
      </w:tr>
      <w:tr>
        <w:trPr>
          <w:trHeight w:val="297"/>
        </w:trPr>
        <w:tc>
          <w:tcPr>
            <w:tcW w:w="8440" w:type="dxa"/>
            <w:vAlign w:val="bottom"/>
          </w:tcPr>
          <w:p>
            <w:pPr>
              <w:spacing w:after="0"/>
              <w:rPr>
                <w:sz w:val="20"/>
                <w:szCs w:val="20"/>
                <w:color w:val="auto"/>
              </w:rPr>
            </w:pPr>
            <w:r>
              <w:rPr>
                <w:rFonts w:ascii="Arial" w:cs="Arial" w:eastAsia="Arial" w:hAnsi="Arial"/>
                <w:sz w:val="18"/>
                <w:szCs w:val="18"/>
                <w:color w:val="auto"/>
              </w:rPr>
              <w:t>Effect of adjusted EPS dilution of convertible notes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(2,781,818)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spacing w:after="0"/>
              <w:rPr>
                <w:sz w:val="20"/>
                <w:szCs w:val="20"/>
                <w:color w:val="auto"/>
              </w:rPr>
            </w:pPr>
            <w:r>
              <w:rPr>
                <w:rFonts w:ascii="Arial" w:cs="Arial" w:eastAsia="Arial" w:hAnsi="Arial"/>
                <w:sz w:val="18"/>
                <w:szCs w:val="18"/>
                <w:color w:val="auto"/>
              </w:rPr>
              <w:t>Effect of unrecognized share-based compensation on diluted shares outstanding</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160,357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392,211</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40" w:type="dxa"/>
            <w:vAlign w:val="bottom"/>
          </w:tcPr>
          <w:p>
            <w:pPr>
              <w:spacing w:after="0"/>
              <w:rPr>
                <w:sz w:val="20"/>
                <w:szCs w:val="20"/>
                <w:color w:val="auto"/>
              </w:rPr>
            </w:pPr>
            <w:r>
              <w:rPr>
                <w:rFonts w:ascii="Arial" w:cs="Arial" w:eastAsia="Arial" w:hAnsi="Arial"/>
                <w:sz w:val="18"/>
                <w:szCs w:val="18"/>
                <w:color w:val="auto"/>
              </w:rPr>
              <w:t>Adjusted diluted weighted average shares outstanding</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50,129,843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54,245,886</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8" w:firstLine="8"/>
        <w:spacing w:after="0" w:line="308" w:lineRule="auto"/>
        <w:tabs>
          <w:tab w:leader="none" w:pos="276"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Intangible asset amortization of $6.8 million and $5.8 million are included in depreciation and amortization expense of $32.8 million and $33.9 million for the three months ended September 30, 2022 and September 30, 2021, respectively, in the consolidated statements of operations.</w:t>
      </w:r>
    </w:p>
    <w:p>
      <w:pPr>
        <w:spacing w:after="0" w:line="146" w:lineRule="exact"/>
        <w:rPr>
          <w:rFonts w:ascii="Arial" w:cs="Arial" w:eastAsia="Arial" w:hAnsi="Arial"/>
          <w:sz w:val="17"/>
          <w:szCs w:val="17"/>
          <w:color w:val="auto"/>
        </w:rPr>
      </w:pPr>
    </w:p>
    <w:p>
      <w:pPr>
        <w:ind w:left="-8" w:firstLine="8"/>
        <w:spacing w:after="0" w:line="277"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Share-based compensation of $10.3 million and $6.8 million are included in salaries and benefits expense of $134.4 million and $119.4 million for the three months ended September 30, 2022 and September 30, 2021, respectively, in the consolidated statements of operations.</w:t>
      </w:r>
    </w:p>
    <w:p>
      <w:pPr>
        <w:spacing w:after="0" w:line="170" w:lineRule="exact"/>
        <w:rPr>
          <w:rFonts w:ascii="Arial" w:cs="Arial" w:eastAsia="Arial" w:hAnsi="Arial"/>
          <w:sz w:val="18"/>
          <w:szCs w:val="18"/>
          <w:color w:val="auto"/>
        </w:rPr>
      </w:pPr>
    </w:p>
    <w:p>
      <w:pPr>
        <w:jc w:val="both"/>
        <w:ind w:left="-8" w:firstLine="8"/>
        <w:spacing w:after="0" w:line="286" w:lineRule="auto"/>
        <w:tabs>
          <w:tab w:leader="none" w:pos="266"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Non-cash interest accretion of $4.0 million is included in interest expense of $10.2 million for the three months ended September 30, 2021, in the consolidated statements of operations. The non-cash interest accretion for the convertible notes was reduced to $0 million for the three months ended September 30, 2022, due to the adoption of ASC 2020-06 "Accounting for Convertible Instruments and Contracts in an Entity's Own Equity."</w:t>
      </w:r>
    </w:p>
    <w:p>
      <w:pPr>
        <w:spacing w:after="0" w:line="165" w:lineRule="exact"/>
        <w:rPr>
          <w:rFonts w:ascii="Arial" w:cs="Arial" w:eastAsia="Arial" w:hAnsi="Arial"/>
          <w:sz w:val="17"/>
          <w:szCs w:val="17"/>
          <w:color w:val="auto"/>
        </w:rPr>
      </w:pPr>
    </w:p>
    <w:p>
      <w:pPr>
        <w:ind w:left="-8" w:firstLine="8"/>
        <w:spacing w:after="0" w:line="277" w:lineRule="auto"/>
        <w:tabs>
          <w:tab w:leader="none" w:pos="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is the aggregate U.S. GAAP income tax effect on the preceding adjustments determined by applying the applicable statutory U.S. federal, state and/or foreign income tax rates.</w:t>
      </w:r>
    </w:p>
    <w:p>
      <w:pPr>
        <w:spacing w:after="0" w:line="170" w:lineRule="exact"/>
        <w:rPr>
          <w:rFonts w:ascii="Arial" w:cs="Arial" w:eastAsia="Arial" w:hAnsi="Arial"/>
          <w:sz w:val="18"/>
          <w:szCs w:val="18"/>
          <w:color w:val="auto"/>
        </w:rPr>
      </w:pPr>
    </w:p>
    <w:p>
      <w:pPr>
        <w:ind w:left="-8" w:firstLine="8"/>
        <w:spacing w:after="0" w:line="277" w:lineRule="auto"/>
        <w:tabs>
          <w:tab w:leader="none" w:pos="27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is the non-cash GAAP tax impact recognized on certain items such as the utilization of certain material net deferred tax assets and amortization of indefinite-lived intangible assets.</w:t>
      </w:r>
    </w:p>
    <w:p>
      <w:pPr>
        <w:spacing w:after="0" w:line="170" w:lineRule="exact"/>
        <w:rPr>
          <w:rFonts w:ascii="Arial" w:cs="Arial" w:eastAsia="Arial" w:hAnsi="Arial"/>
          <w:sz w:val="18"/>
          <w:szCs w:val="18"/>
          <w:color w:val="auto"/>
        </w:rPr>
      </w:pPr>
    </w:p>
    <w:p>
      <w:pPr>
        <w:ind w:left="-8" w:firstLine="8"/>
        <w:spacing w:after="0" w:line="277" w:lineRule="auto"/>
        <w:tabs>
          <w:tab w:leader="none" w:pos="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are non-GAAP measures that should be considered in addition to, and not as a substitute for, net income and earnings per share computed in accordance with U.S. GAAP.</w:t>
      </w:r>
    </w:p>
    <w:sectPr>
      <w:pgSz w:w="11900" w:h="16838" w:orient="portrait"/>
      <w:cols w:equalWidth="0" w:num="1">
        <w:col w:w="11232"/>
      </w:cols>
      <w:pgMar w:left="328" w:top="6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2022-10-21T05:12:49Z</dcterms:created>
  <dcterms:modified xsi:type="dcterms:W3CDTF">2022-10-21T05:12:49Z</dcterms:modified>
</cp:coreProperties>
</file>