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1380" w:right="2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2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5"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52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16"/>
        </w:trPr>
        <w:tc>
          <w:tcPr>
            <w:tcW w:w="522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(State or other jurisdiction</w:t>
            </w:r>
          </w:p>
        </w:tc>
        <w:tc>
          <w:tcPr>
            <w:tcW w:w="320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of incorporation or organization)</w:t>
            </w:r>
          </w:p>
        </w:tc>
        <w:tc>
          <w:tcPr>
            <w:tcW w:w="320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7"/>
              </w:rPr>
              <w:t>4601 COLLEGE BOULEVARD, SUITE 300</w:t>
            </w:r>
          </w:p>
        </w:tc>
        <w:tc>
          <w:tcPr>
            <w:tcW w:w="3200" w:type="dxa"/>
            <w:vAlign w:val="bottom"/>
          </w:tcPr>
          <w:p>
            <w:pPr>
              <w:spacing w:after="0"/>
              <w:rPr>
                <w:sz w:val="24"/>
                <w:szCs w:val="24"/>
                <w:color w:val="auto"/>
              </w:rPr>
            </w:pPr>
          </w:p>
        </w:tc>
      </w:tr>
      <w:tr>
        <w:trPr>
          <w:trHeight w:val="216"/>
        </w:trPr>
        <w:tc>
          <w:tcPr>
            <w:tcW w:w="52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7"/>
              </w:rPr>
              <w:t>LEAWOOD, KANSAS</w:t>
            </w:r>
          </w:p>
        </w:tc>
        <w:tc>
          <w:tcPr>
            <w:tcW w:w="320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3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the definitions of “large accelerated filer,” “accelerated filer” and “smaller reporting company” in Rule 12b-2 of the Exchange Act.</w:t>
      </w:r>
    </w:p>
    <w:p>
      <w:pPr>
        <w:sectPr>
          <w:pgSz w:w="11900" w:h="16838" w:orient="portrait"/>
          <w:cols w:equalWidth="0" w:num="1">
            <w:col w:w="11300"/>
          </w:cols>
          <w:pgMar w:left="240" w:top="522" w:right="359" w:bottom="1440" w:gutter="0" w:footer="0" w:header="0"/>
        </w:sectPr>
      </w:pPr>
    </w:p>
    <w:p>
      <w:pPr>
        <w:spacing w:after="0" w:line="138"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4"/>
          <w:szCs w:val="24"/>
          <w:color w:val="auto"/>
        </w:rPr>
      </w:pPr>
    </w:p>
    <w:p>
      <w:pPr>
        <w:sectPr>
          <w:pgSz w:w="11900" w:h="16838" w:orient="portrait"/>
          <w:cols w:equalWidth="0" w:num="4">
            <w:col w:w="2480" w:space="720"/>
            <w:col w:w="1460" w:space="720"/>
            <w:col w:w="3340" w:space="460"/>
            <w:col w:w="2120"/>
          </w:cols>
          <w:pgMar w:left="240" w:top="522" w:right="35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7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July 31, 2008 was 49,094,602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60" w:type="dxa"/>
            <w:vAlign w:val="bottom"/>
            <w:gridSpan w:val="12"/>
          </w:tcPr>
          <w:p>
            <w:pPr>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r>
      <w:tr>
        <w:trPr>
          <w:trHeight w:val="392"/>
        </w:trPr>
        <w:tc>
          <w:tcPr>
            <w:tcW w:w="100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7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Item1. FINANCIAL STATEMENTS</w:t>
              </w:r>
            </w:hyperlink>
          </w:p>
        </w:tc>
        <w:tc>
          <w:tcPr>
            <w:tcW w:w="7040" w:type="dxa"/>
            <w:vAlign w:val="bottom"/>
            <w:gridSpan w:val="5"/>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196"/>
        </w:trPr>
        <w:tc>
          <w:tcPr>
            <w:tcW w:w="240" w:type="dxa"/>
            <w:vAlign w:val="bottom"/>
          </w:tcPr>
          <w:p>
            <w:pPr>
              <w:spacing w:after="0"/>
              <w:rPr>
                <w:sz w:val="17"/>
                <w:szCs w:val="17"/>
                <w:color w:val="auto"/>
              </w:rPr>
            </w:pPr>
          </w:p>
        </w:tc>
        <w:tc>
          <w:tcPr>
            <w:tcW w:w="982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Item2. MANAGEMENT’S DISCUSSION AND ANALYSIS OF FINANCIAL CONDITION AND RESULTS OF OPERATIONS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w:t>
            </w:r>
          </w:p>
        </w:tc>
      </w:tr>
      <w:tr>
        <w:trPr>
          <w:trHeight w:val="196"/>
        </w:trPr>
        <w:tc>
          <w:tcPr>
            <w:tcW w:w="24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Item3. QUANTITATIVE AND QUALITATIVE DISCLOSURES ABOUT MARKET RISK</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0" w:type="dxa"/>
            <w:vAlign w:val="bottom"/>
          </w:tcPr>
          <w:p>
            <w:pPr>
              <w:spacing w:after="0"/>
              <w:rPr>
                <w:sz w:val="17"/>
                <w:szCs w:val="17"/>
                <w:color w:val="auto"/>
              </w:rPr>
            </w:pPr>
          </w:p>
        </w:tc>
        <w:tc>
          <w:tcPr>
            <w:tcW w:w="696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Item4. CONTROLS AND PROCEDURES</w:t>
              </w:r>
            </w:hyperlink>
          </w:p>
        </w:tc>
        <w:tc>
          <w:tcPr>
            <w:tcW w:w="2860" w:type="dxa"/>
            <w:vAlign w:val="bottom"/>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w:t>
            </w: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PART II—OTHER INFORMATION</w:t>
              </w:r>
            </w:hyperlink>
          </w:p>
        </w:tc>
        <w:tc>
          <w:tcPr>
            <w:tcW w:w="7380" w:type="dxa"/>
            <w:vAlign w:val="bottom"/>
            <w:gridSpan w:val="8"/>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Item1. LEGAL PROCEEDINGS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250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Item1A. RISK FACTORS</w:t>
              </w:r>
            </w:hyperlink>
          </w:p>
        </w:tc>
        <w:tc>
          <w:tcPr>
            <w:tcW w:w="7320" w:type="dxa"/>
            <w:vAlign w:val="bottom"/>
            <w:gridSpan w:val="7"/>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w:t>
            </w: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Item2. UNREGISTERED SALES OF EQUITY SECURITIES AND USE OF PROCEEDS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690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Item4. SUBMISSION OF MATTERS TO A VOTE OF SECURITY HOLDERS</w:t>
              </w:r>
            </w:hyperlink>
          </w:p>
        </w:tc>
        <w:tc>
          <w:tcPr>
            <w:tcW w:w="2920" w:type="dxa"/>
            <w:vAlign w:val="bottom"/>
            <w:gridSpan w:val="2"/>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608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Item6. EXHIBITS</w:t>
              </w:r>
            </w:hyperlink>
          </w:p>
        </w:tc>
        <w:tc>
          <w:tcPr>
            <w:tcW w:w="3740" w:type="dxa"/>
            <w:vAlign w:val="bottom"/>
            <w:gridSpan w:val="3"/>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w:t>
            </w:r>
          </w:p>
        </w:tc>
      </w:tr>
      <w:tr>
        <w:trPr>
          <w:trHeight w:val="426"/>
        </w:trPr>
        <w:tc>
          <w:tcPr>
            <w:tcW w:w="240" w:type="dxa"/>
            <w:vAlign w:val="bottom"/>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4700" w:type="dxa"/>
            <w:vAlign w:val="bottom"/>
            <w:gridSpan w:val="7"/>
          </w:tcPr>
          <w:p>
            <w:pPr>
              <w:jc w:val="right"/>
              <w:ind w:right="56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2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2008</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78,713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55,382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200"/>
              <w:spacing w:after="0" w:line="201" w:lineRule="exact"/>
              <w:rPr>
                <w:sz w:val="20"/>
                <w:szCs w:val="20"/>
                <w:color w:val="auto"/>
              </w:rPr>
            </w:pPr>
            <w:r>
              <w:rPr>
                <w:rFonts w:ascii="Arial" w:cs="Arial" w:eastAsia="Arial" w:hAnsi="Arial"/>
                <w:sz w:val="18"/>
                <w:szCs w:val="18"/>
                <w:color w:val="auto"/>
              </w:rPr>
              <w:t>Trade accounts receivable, net of allowances for doubtful accounts of $8,146 at June 30, 2008 and $6,194 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December 31, 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298,537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30,955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738,083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8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$133,081 at June 30, 2008 and $119,190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797,652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762,723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$59,345 at June 30, 2008 and $44,450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149,377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40,087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 of accumulated amortization of $14,956 at June 30, 2008 and $12,649 at December 31, 2007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21,391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1,854,873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1,886,156</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226,120</w:t>
            </w:r>
          </w:p>
        </w:tc>
        <w:tc>
          <w:tcPr>
            <w:tcW w:w="12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226,756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13,801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500,664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10,289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89,597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1,088,719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1,162,254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$0.02 par value. 90,000,000 shares authorized; 49,308,888 issued at June 30, 2008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49,159,968 issued at December 31,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664,977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220,651 shares at June 30, 2008 and 207,065 shares at December 31, 2007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(4,954)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reserve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1,854,873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1,886,156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EFT Processing Segment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52,361</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100,597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Processing Segment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142,230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296,858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Money Transfer Segment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59,456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49,219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111,788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264,450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233,465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509,243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400,508</w:t>
            </w:r>
          </w:p>
        </w:tc>
        <w:tc>
          <w:tcPr>
            <w:tcW w:w="0" w:type="dxa"/>
            <w:vAlign w:val="bottom"/>
          </w:tcPr>
          <w:p>
            <w:pPr>
              <w:spacing w:after="0"/>
              <w:rPr>
                <w:sz w:val="1"/>
                <w:szCs w:val="1"/>
                <w:color w:val="auto"/>
              </w:rPr>
            </w:pPr>
          </w:p>
        </w:tc>
      </w:tr>
      <w:tr>
        <w:trPr>
          <w:trHeight w:val="439"/>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160,251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33,064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63,758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40,999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12,716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28,594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20,471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247,152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478,714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17,298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15,316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30,529</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27,154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2,092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4,089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Income from unconsolidated affiliates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Impairment loss on investment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(18,760)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Loss on early retirement of debt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exchange gain (loss),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12,699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26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(1,703)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(12,819)</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Income from continuing operations before income taxes and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13,613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17,710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(14,214)</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345"/>
        </w:trPr>
        <w:tc>
          <w:tcPr>
            <w:tcW w:w="52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35,170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Unrealized gain (loss) on interest rate swaps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loss on investment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35,522</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weighted average shares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48,916,432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47,638,963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48,862,196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42,379,086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 diluted: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Diluted weighted average shares outstanding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54,738,902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49,359,226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50,690,466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47,929,754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(12,693)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Non-cash impairment of investment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18,760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Income assigned to minority interest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Amortization of debt obligations issuance 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1,496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rPr>
              <w:t>Income taxes payable,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rPr>
              <w:t>Inventory — PINs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10,054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(85,682)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48,993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439"/>
        </w:trPr>
        <w:tc>
          <w:tcPr>
            <w:tcW w:w="8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(313,462)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Acquisition escrow</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(21,223)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860" w:type="dxa"/>
            <w:vAlign w:val="bottom"/>
          </w:tcPr>
          <w:p>
            <w:pPr>
              <w:ind w:left="600"/>
              <w:spacing w:after="0"/>
              <w:rPr>
                <w:sz w:val="20"/>
                <w:szCs w:val="20"/>
                <w:color w:val="auto"/>
              </w:rPr>
            </w:pPr>
            <w:r>
              <w:rPr>
                <w:rFonts w:ascii="Arial" w:cs="Arial" w:eastAsia="Arial" w:hAnsi="Arial"/>
                <w:sz w:val="18"/>
                <w:szCs w:val="18"/>
                <w:color w:val="auto"/>
              </w:rPr>
              <w:t>Net cash provided (used) by investing activities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(353,827)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Proceeds from issuance of 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408,663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(84,943)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 to minority interest stockholders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(74,278)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313,045</w:t>
            </w: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(11,684)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tcPr>
          <w:p>
            <w:pPr>
              <w:spacing w:after="0" w:line="201" w:lineRule="exact"/>
              <w:rPr>
                <w:sz w:val="20"/>
                <w:szCs w:val="20"/>
                <w:color w:val="auto"/>
              </w:rPr>
            </w:pPr>
            <w:r>
              <w:rPr>
                <w:rFonts w:ascii="Arial" w:cs="Arial" w:eastAsia="Arial" w:hAnsi="Arial"/>
                <w:sz w:val="18"/>
                <w:szCs w:val="18"/>
                <w:color w:val="auto"/>
                <w:w w:val="92"/>
              </w:rPr>
              <w:t>Cash and cash equivalents at beginning of period (includes cash of discontinued operations of $722 in 2008 and $1,446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in 2007)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267,591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321,058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and cash equivalents at end of period (includes cash of discontinued operations of $300 in 2008 and $267 in</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255,907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282,293</w:t>
            </w: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11,665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099"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 Worldwide, Inc. and its subsidiaries (the “Company” or “Euronet”) is an industry leader in processing secure electronic financial transactions. Euronet’s Prepaid Processing Segment is one of the world’s largest providers of “top-up” services for prepaid products, primarily prepaid mobile airtime. The EFT Processing Segment provides end-to-end solutions relating to operations of automated teller machine (“ATM”) and Point of Sale (“POS”) networks, and debit and credit card processing in Europe, the Middle East and Asia. The Money Transfer Segment, comprised primarily of the Company’s RIA Envia, Inc. (“RIA”) subsidiary and its operating subsidiaries, is the third-largest global money transfer company based upon revenues and volumes and provides services through a sending network of agents and Company-owned stores in the U.S., the Caribbean, Europe and Asia Pacific, disbursing money transfers through a worldwide payer network.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June 30, 2008, the results of its operations for the three- and six-month periods ended June 30, 2008 and 2007 and cash flows for the six-month periods ended June 30, 2008 and 2007.</w:t>
      </w:r>
    </w:p>
    <w:p>
      <w:pPr>
        <w:spacing w:after="0" w:line="6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unaudited consolidated financial statements should be read in conjunction with the audited consolidated financial statements of Euronet for the year ended December 31, 2007, including the notes thereto, set forth in the Company’s 2007 Annual Report on Form 10-K.</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 and six-month periods ended June 30, 2008 are not necessarily indicative of the results to be expected for the full year ending December 31, 2008. Certain amounts in prior years have been reclassified to conform to current period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translation adjustment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2007, the Company corrected an immaterial error related to foreign currency translation adjustments for goodwill and acquired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recorded in connection with acquisitions completed during periods prior to December 31, 2006. The impact of this correction 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Unaudited Statements of Income and Comprehensive Income was to increase depreciation and amortization expense by $0.2 million, decrease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by $0.2 million and reduce net income by $0.1 million for the three months ended June 30, 2007 and to increase depreciation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by $0.3 million, decrease operating income by $0.3 million and reduce net income by $0.2 million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2007. Due primarily to the impact of the correction on the Company’s foreign currency translation adjustment, total comprehensive income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 million and $4.3 million for the three and six months ended June 30, 2007, respectively. This correction did not impact the Company’s cash flows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financing or investing activities.</w:t>
      </w:r>
    </w:p>
    <w:p>
      <w:pPr>
        <w:spacing w:after="0" w:line="207" w:lineRule="exact"/>
        <w:rPr>
          <w:sz w:val="20"/>
          <w:szCs w:val="20"/>
          <w:color w:val="auto"/>
        </w:rPr>
      </w:pPr>
    </w:p>
    <w:p>
      <w:pPr>
        <w:ind w:right="490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Fair Value Measurements</w:t>
      </w:r>
    </w:p>
    <w:p>
      <w:pPr>
        <w:spacing w:after="0" w:line="270" w:lineRule="auto"/>
        <w:rPr>
          <w:sz w:val="20"/>
          <w:szCs w:val="20"/>
          <w:color w:val="auto"/>
        </w:rPr>
      </w:pPr>
      <w:r>
        <w:rPr>
          <w:rFonts w:ascii="Arial" w:cs="Arial" w:eastAsia="Arial" w:hAnsi="Arial"/>
          <w:sz w:val="17"/>
          <w:szCs w:val="17"/>
          <w:color w:val="auto"/>
        </w:rPr>
        <w:t>Effective January 1, 2008, the Company adopted the provisions of Financial Accounting Standards Board (“FASB”) Statement of Financial Accounting Standards (“SFAS”) No. 157, “Fair Value Measurements” for financial assets and liabilities.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Additionally, FASB Staff Position No. 157-2, “Effective Date of FASB Statement No. 157,” delayed the effective date of SFAS No. 157 to fiscal years beginning after November 15, 2008 for certain nonfinancial assets and liabilities. Beginning January 1, 2009, the Company will adopt the provisions for those nonfinancial assets and liabilities, which include those measured at fair value in goodwill impairment testing, indefinite-lived intangible assets measured at fair value for impairment assessment, nonfinancial long-lived assets measured at fair value for impairment assessment and investments in unconsolidated subsidiaries. The Company does not expect the provisions of SFAS No. 157 related to these items to have a material impact on its consolidated financial statements. See Note 10, Fair Value Measurements, for the required fair value disclosures.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Investment in MoneyGram International, Inc.</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investment in MoneyGram International, Inc. (“MoneyGram”) was classified as available-for-sale as of December 31, 2007 and was recorded in other assets on the Company’s Consolidated Balance Sheet. During the first quarter 2008, the Company decided not to pursue the acquisition of MoneyGram. Also, during the six months ended June 30, 2008, the value of the Company’s investment in MoneyGram declined and the Company determined the decline to be other than temporary. Accordingly, the Company recognized impairment losses associated with the investment of $1.3 million in the second quarter 2008 and $18.8 million during the six months ended June 30, 2008 and reversed the $0.6 million gain recorded during 2007 in other comprehensive income. Because of the Company’s decision not to submit a proposal to acquire MoneyGram, the investment was reclassified to other current assets on the Company’s Unaudited Consolidated Balance Sheet as of June 30, 2008. During the first quarter 2008, the Company also recorded acquisition related expenses totaling $3.0 million, which are included in selling, general and administrative expenses for the six months ended June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Euronet to money transfer recipients. As of June 30, 2008, the Company’s money transfer settlement obligations were $47.9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accounts for derivative instruments and hedging activities in accordance with SFAS No. 133, “Accounting for Derivative Instruments and Hedging Activities,” as amended (“SFAS No. 133”), which requires that all derivative instruments be recognized as either assets or liabilities on the balance sheet at fair value. During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as a component of other comprehensive income and then recognized as an adjustment to interest expense over the term of the hedging instrument.</w:t>
      </w:r>
    </w:p>
    <w:p>
      <w:pPr>
        <w:spacing w:after="0" w:line="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Money Transfer Segment, the Company enters into foreign currency forward contracts to offset foreign currency exposure related to the notional value of money transfer transactions collected or paid in currencies other than the U.S. dollar. These forward contracts are considered derivative instruments under the provisions of SFAS No. 133; however, the Company does not designate such instruments as hedges. Accordingly, changes in the value of these contracts are recognized immediately as a component of foreign currency exchange gain (loss), net in the Unaudited Consolidated Statements of Income and Comprehensive Income. The impact of changes in value of these forward contracts, together with the impact of the change in value of the related foreign currency denominated receivable or payable, on the Company’s Unaudited Consolidated Statements of Income and Comprehensive Income is not significant.</w:t>
      </w:r>
    </w:p>
    <w:p>
      <w:pPr>
        <w:spacing w:after="0" w:line="5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Cash flows resulting from derivative instruments are classified as cash flows from operating activities in the Company’s Unaudited Consolidated Statements of Cash Flows. The Company enters into derivative instruments with highly credit-worthy financial institutions and does not use derivative instruments for trading or speculative purposes. See Note 7, Derivative Instruments and Hedging Activities, for further discussion of derivative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May 2008, the FASB issued FASB Staff Position (“FSP”) APB 14-1, “Accounting for Convertible Instruments That May Be Settled in Cash upon Conversion (Including Partial Cash Settlement).” FSP APB 14-1 requires the proceeds from the issuance of such convertible debt instruments to be allocated between debt and equity components so that debt is discounted to reflect the Company’s nonconvertible debt borrowing rate. The debt discount is amortized over the period the convertible debt is expected to be outstanding as additional non-cash interest expense. The change in accounting treatment is effective for fiscal years beginning after December 15, 2008 and applies retrospectively to prior periods. FSP APB 14-1 will impact the accounting associated with the Company’s $140 million convertible senior debentures and its $175 million convertible debentures. The new accounting treatment will require Euronet to retrospectively record a significant amount of non-cash interest as the discount on the debt is amortized. The Company is in the process of quantifying the effect the adoption of FSP APB 14-1 will have on its consolidated financial statements.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which requires enhanced disclosures about an entity’s derivative and hedging activities, including: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This Statement is effective for financial statements issued for fiscal years and interim periods beginning after November 15, 2008, with early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120"/>
        <w:spacing w:after="0" w:line="277" w:lineRule="auto"/>
        <w:rPr>
          <w:sz w:val="20"/>
          <w:szCs w:val="20"/>
          <w:color w:val="auto"/>
        </w:rPr>
      </w:pPr>
      <w:r>
        <w:rPr>
          <w:rFonts w:ascii="Arial" w:cs="Arial" w:eastAsia="Arial" w:hAnsi="Arial"/>
          <w:sz w:val="18"/>
          <w:szCs w:val="18"/>
          <w:color w:val="auto"/>
        </w:rPr>
        <w:t>application encouraged. This Statement encourages, but does not require, comparative disclosures for earlier periods at initial adoption. The Company is still evaluating the impact of the adoption of SFAS No. 161; however, the impact is not expected to be material.</w:t>
      </w:r>
    </w:p>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This FSP is effective for financial statements issued for fiscal years beginning after December 15, 2008, and the guidance for determining the useful life of a recognized intangible asset must be applied prospectively to intangible assets acquired after the effective date. The Company is evaluating the impact the adoption of FSP FAS 142-3 will have on its consolidated financial statements; however, the impact is not expected to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weighted-average shares outstanding during the respective period, after adjusting for the potential dilution of the assumed conversion of the Company’s convertible debentures, shares issuable in connection with acquisition obligations, restricted stock and options to purchase the Company’s common stock. The following table provides a reconciliation of net income to earnings available to common stockholders and the computation of diluted weighted average number of common shares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Reconciliation of net income to earnings available to earnings available</w:t>
            </w: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common stockholders:</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7,787</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8,496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Add: interest expense of 1.625% convertible debentures, if dilutive</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(net of income taxes of $321 for the three months ended June 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2008 and $0 for the six months ended June 30, 2007)</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Earnings available to common stockholders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8,268</w:t>
            </w:r>
          </w:p>
        </w:tc>
        <w:tc>
          <w:tcPr>
            <w:tcW w:w="6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8,496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48,916,432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47,638,963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48,862,196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42,379,086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Additional shares from assumed conversion of 1.625% convertible</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debentures</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4,163,488</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4,163,488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200"/>
              <w:spacing w:after="0" w:line="201" w:lineRule="exact"/>
              <w:rPr>
                <w:sz w:val="20"/>
                <w:szCs w:val="20"/>
                <w:color w:val="auto"/>
              </w:rPr>
            </w:pPr>
            <w:r>
              <w:rPr>
                <w:rFonts w:ascii="Arial" w:cs="Arial" w:eastAsia="Arial" w:hAnsi="Arial"/>
                <w:sz w:val="18"/>
                <w:szCs w:val="18"/>
                <w:color w:val="auto"/>
                <w:w w:val="98"/>
              </w:rPr>
              <w:t>Weighted average shares issuable in connection with acquisition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obligations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1,086,716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673,636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1,086,716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338,679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Incremental shares from assumed conversion of stock options and</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stock</w:t>
            </w:r>
          </w:p>
        </w:tc>
        <w:tc>
          <w:tcPr>
            <w:tcW w:w="5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572,266</w:t>
            </w:r>
          </w:p>
        </w:tc>
        <w:tc>
          <w:tcPr>
            <w:tcW w:w="6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1,046,627</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741,554</w:t>
            </w:r>
          </w:p>
        </w:tc>
        <w:tc>
          <w:tcPr>
            <w:tcW w:w="6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1,048,501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54,738,902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49,359,226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50,690,466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47,929,754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table includes all stock options and restricted stock that are dilutive to Euronet’s weighted average common shares outstanding during the period. The calculation of diluted earnings per share excludes stock options or shares of restricted stock that are anti-dilutive to the Company’s weighted average common shares outstanding for the three- and six-month periods ended June 30, 2008 of approximately 1,632,000 and 1,418,000, respectively. For both the three- and six-month periods ended June 30, 2007, the calculation of diluted earnings per share excludes approximately 533,000 stock options or shares of restricted stock that are anti-dilutive to the Company’s weighted average common shares outstanding.</w:t>
      </w:r>
    </w:p>
    <w:p>
      <w:pPr>
        <w:spacing w:after="0" w:line="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$140 million of 1.625% convertible debentures due 2024 and $175 million of 3.50% convertible debentures due 2025 outstanding that, if converted, would have a potentially dilutive effect on the Company’s stock. These debentures are convertible into 4.2 million shares of Common Stock for the $140 million 1.625% issue, and 4.3 million shares of Common Stock for the $175 million 3.50% issue, only upon the occurrence of certain conditions. As required by EITF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three months ended June 30, 2008 and the six months ended June 30, 2007 and anti-dilutive for the three months ended June 30, 2007 and the six months ended June 30, 2008. Under the if-converted method, the assumed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conversion of the 3.50% convertible debentures was anti-dilutive for each of the three- and six-month periods ended June 30, 2008 and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second quarter 2008, the Company committed to a plan to sell Euronet Essentis Limited (“Essentis”), a U.K. software entity, in order to narrow the focus of its investments and resources on its transaction processing businesses. The Company is in the process of locating a buyer and expects to complete a sale within one year. Accordingly, Essentis’s results of operations are shown as discontinued operations in the Consolidated Statements of Income and Comprehensive Income for all periods presented. Previously, Essentis’s results were reported in the EFT Processing Segment. The segment results in Note 9, Segment Information, also reflect the reclassification of Essentis to discontinued operations. The following amounts related to Essentis have been segregated from continuing operations and reported as discontinued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(665)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(1,786)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 include Essentis’s net assets expected to be sold and the major classes of its assets and liabilities are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2008</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4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receivable, net of allowance for doubtful accounts</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Property and equipment, net of accumulated depreciation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intangible assets, net of accumulated amortization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Other assets, net of accumulated amortization</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11,072</w:t>
            </w:r>
          </w:p>
        </w:tc>
        <w:tc>
          <w:tcPr>
            <w:tcW w:w="0" w:type="dxa"/>
            <w:vAlign w:val="bottom"/>
          </w:tcPr>
          <w:p>
            <w:pPr>
              <w:spacing w:after="0"/>
              <w:rPr>
                <w:sz w:val="1"/>
                <w:szCs w:val="1"/>
                <w:color w:val="auto"/>
              </w:rPr>
            </w:pPr>
          </w:p>
        </w:tc>
      </w:tr>
      <w:tr>
        <w:trPr>
          <w:trHeight w:val="439"/>
        </w:trPr>
        <w:tc>
          <w:tcPr>
            <w:tcW w:w="84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709</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844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4,138</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July 2002, the Company sold substantially all of the non-current assets and related capital lease obligations of its ATM processing business in France to Atos S.A. During the first quarter 2007, the Company received a binding French Supreme Court decision relating to a lawsuit in France that resulted in a cash recovery and gain to the Company of $0.3 million, net of legal costs. There were no assets or liabilities held for sale at June 30, 2008 or December 31,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six-month period ended June 30, 2008 is presented below:</w:t>
      </w:r>
    </w:p>
    <w:p>
      <w:pPr>
        <w:spacing w:after="0" w:line="20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Acquired</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Goodwill</w:t>
            </w:r>
          </w:p>
        </w:tc>
        <w:tc>
          <w:tcPr>
            <w:tcW w:w="3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6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2"/>
              </w:rPr>
              <w:t>Assets</w:t>
            </w: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$ 155,137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$ 762,723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$ 917,860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Increases (decreases):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(12,587)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54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6,827</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34,929</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41,756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2008</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$ 149,377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$ 797,652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$ 947,029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June 30, 2008, is expected to total $25.2 million for 2008, $25.1 million for 2009, $24.7 million for 2010, $20.1 million for 2011, $17.5 million for 2012 and $12.4 million for 2013.</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2007 indicated that there were no impairments.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six-month period ended June 30, 2008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Revolving</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6"/>
              </w:rPr>
              <w:t>1.625%</w:t>
            </w:r>
          </w:p>
        </w:tc>
        <w:tc>
          <w:tcPr>
            <w:tcW w:w="280" w:type="dxa"/>
            <w:vAlign w:val="bottom"/>
          </w:tcPr>
          <w:p>
            <w:pPr>
              <w:spacing w:after="0"/>
              <w:rPr>
                <w:sz w:val="14"/>
                <w:szCs w:val="14"/>
                <w:color w:val="auto"/>
              </w:rPr>
            </w:pPr>
          </w:p>
        </w:tc>
        <w:tc>
          <w:tcPr>
            <w:tcW w:w="100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rPr>
              <w:t>3.50%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Credit</w:t>
            </w: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Term Loan</w:t>
            </w:r>
          </w:p>
        </w:tc>
        <w:tc>
          <w:tcPr>
            <w:tcW w:w="24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Facilities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2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Due 2024</w:t>
            </w:r>
          </w:p>
        </w:tc>
        <w:tc>
          <w:tcPr>
            <w:tcW w:w="2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Due 2025</w:t>
            </w: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8"/>
              </w:rPr>
              <w:t>62,203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16,494</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$ 140,000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$ 175,000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$ 164,000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Increases (decreases):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9"/>
              </w:rPr>
              <w:t>(55,643)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Capital lease interest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793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Balance at June 30, 2008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 current maturities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9"/>
        </w:trPr>
        <w:tc>
          <w:tcPr>
            <w:tcW w:w="2620" w:type="dxa"/>
            <w:vAlign w:val="bottom"/>
            <w:gridSpan w:val="2"/>
          </w:tcPr>
          <w:p>
            <w:pPr>
              <w:spacing w:after="0"/>
              <w:rPr>
                <w:sz w:val="20"/>
                <w:szCs w:val="20"/>
                <w:color w:val="auto"/>
              </w:rPr>
            </w:pPr>
            <w:r>
              <w:rPr>
                <w:rFonts w:ascii="Arial" w:cs="Arial" w:eastAsia="Arial" w:hAnsi="Arial"/>
                <w:sz w:val="18"/>
                <w:szCs w:val="18"/>
                <w:color w:val="auto"/>
                <w:w w:val="97"/>
              </w:rPr>
              <w:t>Long-term obligations at June 30,</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7,353</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10,289</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$ 140,000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$ 175,000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$ 147,100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$ 479,843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During the six months ended June 30, 2008, the Company repaid $15.0 million of the term loan, of which $1.0 million were scheduled repayments. The remaining $14.0 million represents prepayment of amounts not yet due and resulted in the Company recognizing a $0.2 million pre-tax loss on early retirement of debt.</w:t>
      </w:r>
    </w:p>
    <w:p>
      <w:pPr>
        <w:spacing w:after="0" w:line="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April 2008, the Company entered into an amendment to its secured syndicated credit facility to, among other items, (i) change the definition of one of the financial covenants in the original agreement to exclude the effect of certain one-time expenses and (ii) allow for the repurchase of up to $70 million of the $140 million in Convertible Senior Debentures Due 2024 that are currently outstanding. Euronet incurred costs of $0.6 million in connection with the amendment, which will be recognized as additional interest expense over the remaining 48 month term of the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which currently bears interest at LIBOR plus 200 basis points. The interest rate swap agreements are determined to be cash flow hedges and effectively convert $50 million of the term loan to a fixed interest rate of 7.3% through the May 2009 maturity date of the swap agreements. As of June 30, 2008, the Company has recorded a liability of $1.0 million in the Company’s Unaudited Consolidated Balance Sheet to recognize the fair value of the swap agreements. The impact to accumulated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right="200"/>
        <w:spacing w:after="0" w:line="277" w:lineRule="auto"/>
        <w:rPr>
          <w:sz w:val="20"/>
          <w:szCs w:val="20"/>
          <w:color w:val="auto"/>
        </w:rPr>
      </w:pPr>
      <w:r>
        <w:rPr>
          <w:rFonts w:ascii="Arial" w:cs="Arial" w:eastAsia="Arial" w:hAnsi="Arial"/>
          <w:sz w:val="18"/>
          <w:szCs w:val="18"/>
          <w:color w:val="auto"/>
        </w:rPr>
        <w:t>other comprehensive income for the six months ended June 30, 2008 was a loss of less than $0.1 million. The fair value of swap agreements is based on the London Inter-Bank Offered Rate (“LIBOR”) swap rate, credit spreads and other relevant market conditions.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2008, the Company had foreign currency forward contracts outstanding with a notional value of $48.9 million, primarily in euros, which were not designated as hedges and had a weighted average maturity of 4.6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PLANS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first half of 2008, the Company granted a total of 186,253 shares of restricted stock and accelerated vesting for 4,800 shares of restricted stock. Of the shares granted, 147,402 were performance-based shares awarded to executives having a fair value of $2.9 million on the grant date, which vest during the years 2009 through 2013 upon the attainment of certain financial performance goals, combined with continuing employment on the vesting date; 21,000 shares were annual grants to directors having a fair value of $0.4 million which vested immediately; and 17,851 shares were granted and 4,800 shares accelerated having a total fair value of $0.5 million in connection with severance benefits due to an executive officer of the Company who resigned during the first half of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Euronet’s reportable operating segments have been determined in accordance with SFAS No. 131, “Disclosures About Segments of an Enterprise and Related Information.” The Company currently operates in the following three reportable operating segments:</w:t>
      </w:r>
    </w:p>
    <w:p>
      <w:pPr>
        <w:spacing w:after="0" w:line="62" w:lineRule="exact"/>
        <w:rPr>
          <w:sz w:val="20"/>
          <w:szCs w:val="20"/>
          <w:color w:val="auto"/>
        </w:rPr>
      </w:pPr>
    </w:p>
    <w:p>
      <w:pPr>
        <w:ind w:left="660" w:right="40" w:hanging="436"/>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merchant acquiring, card issuing and transaction delivery systems.</w:t>
      </w:r>
    </w:p>
    <w:p>
      <w:pPr>
        <w:spacing w:after="0" w:line="93"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the U.S., Europe, Africa, Asia Pacific and the Middle-East.</w:t>
      </w:r>
    </w:p>
    <w:p>
      <w:pPr>
        <w:spacing w:after="0" w:line="75" w:lineRule="exact"/>
        <w:rPr>
          <w:rFonts w:ascii="Arial" w:cs="Arial" w:eastAsia="Arial" w:hAnsi="Arial"/>
          <w:sz w:val="18"/>
          <w:szCs w:val="18"/>
          <w:color w:val="auto"/>
        </w:rPr>
      </w:pPr>
    </w:p>
    <w:p>
      <w:pPr>
        <w:ind w:left="660" w:right="10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the Caribbean, Europe and Asia Pacific, disbursing money transfers through a worldwide payer network. Bill payment services are offered primarily in the U.S.</w:t>
      </w:r>
    </w:p>
    <w:p>
      <w:pPr>
        <w:spacing w:after="0" w:line="73"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segment results of the Company’s operations for the three- and six-month periods ended June 30, 2008 and 2007: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For the Three Months Ended June 30, 2008</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52,361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152,633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264,450</w:t>
            </w:r>
          </w:p>
        </w:tc>
        <w:tc>
          <w:tcPr>
            <w:tcW w:w="0" w:type="dxa"/>
            <w:vAlign w:val="bottom"/>
          </w:tcPr>
          <w:p>
            <w:pPr>
              <w:spacing w:after="0"/>
              <w:rPr>
                <w:sz w:val="1"/>
                <w:szCs w:val="1"/>
                <w:color w:val="auto"/>
              </w:rPr>
            </w:pPr>
          </w:p>
        </w:tc>
      </w:tr>
      <w:tr>
        <w:trPr>
          <w:trHeight w:val="345"/>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24,625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124,604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30,196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9,113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13,035</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4,974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43,322</w:t>
            </w:r>
          </w:p>
        </w:tc>
        <w:tc>
          <w:tcPr>
            <w:tcW w:w="3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141,213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247,152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9,039</w:t>
            </w:r>
          </w:p>
        </w:tc>
        <w:tc>
          <w:tcPr>
            <w:tcW w:w="3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11,420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2,558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(5,719)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For the Three Months Ended June 30, 2007</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Prepaid</w:t>
            </w: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Processing</w:t>
            </w:r>
          </w:p>
        </w:tc>
        <w:tc>
          <w:tcPr>
            <w:tcW w:w="30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tcBorders>
              <w:lef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$ 42,016</w:t>
            </w:r>
          </w:p>
        </w:tc>
        <w:tc>
          <w:tcPr>
            <w:tcW w:w="3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$ 142,230</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$ 49,219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233,465</w:t>
            </w:r>
          </w:p>
        </w:tc>
        <w:tc>
          <w:tcPr>
            <w:tcW w:w="0" w:type="dxa"/>
            <w:vAlign w:val="bottom"/>
          </w:tcPr>
          <w:p>
            <w:pPr>
              <w:spacing w:after="0"/>
              <w:rPr>
                <w:sz w:val="1"/>
                <w:szCs w:val="1"/>
                <w:color w:val="auto"/>
              </w:rPr>
            </w:pPr>
          </w:p>
        </w:tc>
      </w:tr>
      <w:tr>
        <w:trPr>
          <w:trHeight w:val="345"/>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17,608</w:t>
            </w: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116,248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8,208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7,020</w:t>
            </w: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3,379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3,417</w:t>
            </w: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5,389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3,873</w:t>
            </w: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33,223</w:t>
            </w:r>
          </w:p>
        </w:tc>
        <w:tc>
          <w:tcPr>
            <w:tcW w:w="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132,530</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8,793</w:t>
            </w:r>
          </w:p>
        </w:tc>
        <w:tc>
          <w:tcPr>
            <w:tcW w:w="340" w:type="dxa"/>
            <w:vAlign w:val="bottom"/>
          </w:tcPr>
          <w:p>
            <w:pPr>
              <w:spacing w:after="0"/>
              <w:rPr>
                <w:sz w:val="24"/>
                <w:szCs w:val="24"/>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9,700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(4,557)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For the Six Months Ended June 30, 2008</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136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rPr>
              <w:t>Prepaid</w:t>
            </w: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3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$ 100,597</w:t>
            </w:r>
          </w:p>
        </w:tc>
        <w:tc>
          <w:tcPr>
            <w:tcW w:w="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$ 296,858</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2"/>
              </w:rPr>
              <w:t>$ 111,788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509,243</w:t>
            </w:r>
          </w:p>
        </w:tc>
        <w:tc>
          <w:tcPr>
            <w:tcW w:w="0" w:type="dxa"/>
            <w:vAlign w:val="bottom"/>
          </w:tcPr>
          <w:p>
            <w:pPr>
              <w:spacing w:after="0"/>
              <w:rPr>
                <w:sz w:val="1"/>
                <w:szCs w:val="1"/>
                <w:color w:val="auto"/>
              </w:rPr>
            </w:pPr>
          </w:p>
        </w:tc>
      </w:tr>
      <w:tr>
        <w:trPr>
          <w:trHeight w:val="345"/>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46,362</w:t>
            </w:r>
          </w:p>
        </w:tc>
        <w:tc>
          <w:tcPr>
            <w:tcW w:w="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242,460</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56,541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17,021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13,484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24,792</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8,461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9,642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8,426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28,594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81,413</w:t>
            </w:r>
          </w:p>
        </w:tc>
        <w:tc>
          <w:tcPr>
            <w:tcW w:w="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275,104</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107,279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478,714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19,184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21,754</w:t>
            </w:r>
          </w:p>
        </w:tc>
        <w:tc>
          <w:tcPr>
            <w:tcW w:w="6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4,509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(14,918)</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4"/>
                <w:szCs w:val="14"/>
                <w:b w:val="1"/>
                <w:bCs w:val="1"/>
                <w:color w:val="auto"/>
              </w:rPr>
              <w:t>For the Six Months Ended June 30, 2007</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Prepaid</w:t>
            </w: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Processing</w:t>
            </w:r>
          </w:p>
        </w:tc>
        <w:tc>
          <w:tcPr>
            <w:tcW w:w="30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tcBorders>
              <w:lef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$ 80,689</w:t>
            </w:r>
          </w:p>
        </w:tc>
        <w:tc>
          <w:tcPr>
            <w:tcW w:w="3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$ 269,811</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$ 50,008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400,508</w:t>
            </w:r>
          </w:p>
        </w:tc>
        <w:tc>
          <w:tcPr>
            <w:tcW w:w="0" w:type="dxa"/>
            <w:vAlign w:val="bottom"/>
          </w:tcPr>
          <w:p>
            <w:pPr>
              <w:spacing w:after="0"/>
              <w:rPr>
                <w:sz w:val="1"/>
                <w:szCs w:val="1"/>
                <w:color w:val="auto"/>
              </w:rPr>
            </w:pPr>
          </w:p>
        </w:tc>
      </w:tr>
      <w:tr>
        <w:trPr>
          <w:trHeight w:val="345"/>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34,506</w:t>
            </w: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219,478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26,906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15,247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13,405</w:t>
            </w: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6,079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7,576</w:t>
            </w: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9,966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7,270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7,708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7,746</w:t>
            </w: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20,471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65,037</w:t>
            </w:r>
          </w:p>
        </w:tc>
        <w:tc>
          <w:tcPr>
            <w:tcW w:w="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250,595</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373,354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$ 15,652</w:t>
            </w:r>
          </w:p>
        </w:tc>
        <w:tc>
          <w:tcPr>
            <w:tcW w:w="340" w:type="dxa"/>
            <w:vAlign w:val="bottom"/>
          </w:tcPr>
          <w:p>
            <w:pPr>
              <w:spacing w:after="0"/>
              <w:rPr>
                <w:sz w:val="24"/>
                <w:szCs w:val="24"/>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19,216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(8,227)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recorded at fair value on a recurring basis are set forth in the following table:</w:t>
      </w:r>
    </w:p>
    <w:p>
      <w:pPr>
        <w:spacing w:after="0" w:line="217"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Fair Value Measurements as of</w:t>
      </w:r>
    </w:p>
    <w:p>
      <w:pPr>
        <w:jc w:val="center"/>
        <w:ind w:left="8860"/>
        <w:spacing w:after="0" w:line="236" w:lineRule="auto"/>
        <w:rPr>
          <w:sz w:val="20"/>
          <w:szCs w:val="20"/>
          <w:color w:val="auto"/>
        </w:rPr>
      </w:pPr>
      <w:r>
        <w:rPr>
          <w:rFonts w:ascii="Arial" w:cs="Arial" w:eastAsia="Arial" w:hAnsi="Arial"/>
          <w:sz w:val="14"/>
          <w:szCs w:val="14"/>
          <w:b w:val="1"/>
          <w:bCs w:val="1"/>
          <w:color w:val="auto"/>
        </w:rPr>
        <w:t>June 30, 2008 Using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2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 Active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14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Observable</w:t>
            </w:r>
          </w:p>
        </w:tc>
      </w:tr>
      <w:tr>
        <w:trPr>
          <w:trHeight w:val="171"/>
        </w:trPr>
        <w:tc>
          <w:tcPr>
            <w:tcW w:w="8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Identical Assets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r>
      <w:tr>
        <w:trPr>
          <w:trHeight w:val="210"/>
        </w:trPr>
        <w:tc>
          <w:tcPr>
            <w:tcW w:w="20" w:type="dxa"/>
            <w:vAlign w:val="bottom"/>
          </w:tcPr>
          <w:p>
            <w:pPr>
              <w:spacing w:after="0"/>
              <w:rPr>
                <w:sz w:val="18"/>
                <w:szCs w:val="18"/>
                <w:color w:val="auto"/>
              </w:rPr>
            </w:pPr>
          </w:p>
        </w:tc>
        <w:tc>
          <w:tcPr>
            <w:tcW w:w="8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 for sale investment securities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rate swaps related to floating rate debt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r>
    </w:tbl>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values available for sale investment securities using quoted prices from the securities’ primary exchange. Interest rate swaps are valued using present value measurements based on the LIBOR swap rate, credit spreads and other relevant market conditions. Foreign currency derivative contracts are valued using foreign currency quotes for similar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NONCASH FINANCING AND INVESTING ACTIVITIES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Capital lease obligations of $0.8 million and $2.5 million were incurred during the six months ended June 30, 2008 and 2007, respectively. The Company issued Euronet Common Stock valued at $116.5 million and contingent value rights and stock appreciation rights valued at a total of $32.1 million for acquisitions completed during the first half of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12, 2007, the Company signed a stock purchase agreement to acquire La Nacional and certain of its affiliates (“La Nacional”), subject to regulatory approvals and other customary closing conditions. In connection with this agreement, on January 16, 2007, the Company deposited $26 million in an escrow account created for the proposed acquisition. The escrowed funds were not permitted to be released except upon mutual agreement of the Company and La Nacional’s stockholder or through legal remedies available in the agreement.</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5, 2007, the Company gave notice to the stockholder of La Nacional of the termination of the stock purchase agreement, alleging certain breaches of the terms thereof by La Nacional and requested the release of the $26 million held in escrow under the terms of the agreement. La Nacional’s stockholder denied such breaches occurred, contested such termination and did not consent to the Company’s request for release of the escrowed funds. While pursuing all legal remedies available, the Company engaged in negotiations with La Nacional and its stockholder to determine whether the dispute could be resolved through revised terms for the acquisition or some other mutually agreeable method.</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10, 2008, the Company entered into a settlement agreement with La Nacional and its stockholder evidencing the parties’ mutual agreement not to consummate the acquisition of La Nacional, in exchange for payment by Euronet of a portion of the legal fees incurred by La Nacional. Among other terms and conditions, the settlement agreement contained mutual releases in connection with litigation and provided for the release to the Company in the first quarter 2008 of the $26 million held in escrow, plus interest earned on the escrowed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FEDERAL EXCISE TAX REFUND</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2006, the Internal Revenue Service (“IRS”) announced that Internal Revenue Code Section 4251 (relating to communications excise tax) will no longer apply to, among other services, prepaid mobile airtime services such as those offered by the Company’s Prepaid Processing Segment’s U.S. operations. Companies that paid this excise tax during the period beginning on March 1, 2003 and ending on July 31, 2006, are entitled to a credit or refund of amounts paid in conjunction with the filing of 2006 federal income tax returns. During the fourth quarter 2007, the IRS completed an initial field examination confirming the amount of the claim and, therefore, the Company recorded $12.2 million for the amount of the refund claimed as a reduction to operating expenses of the Prepaid Processing Segment and as an other current asset. In addition, the Company recorded approximately $1.2 million of interest income in the first quarter 2008 on the amount claimed. The Company received the refund and interest in the second quarter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(14) GUARANTEES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2008, the Company had $26.0 million of stand-by letters of credit/bank guarantees issued on its behalf, of which $1.8 million are collateralized by cash deposits held by the respective issuing banks.</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Euronet regularly grants guarantees in support of obligations of subsidiaries. As of June 30, 2008, the Company granted off balance sheet guarantees for cash in various ATM networks amounting to $25.2 million over the terms of the cash supply agreements and performance guarantees amounting to approximately $27.2 million over the terms of the agreements with the customers.</w:t>
      </w:r>
    </w:p>
    <w:p>
      <w:pPr>
        <w:spacing w:after="0" w:line="7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right="12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June 30, 2008, the balance of ATM network cash for which the Company was responsible was approximately $350 million. The Company maintains insurance policies to mitigate this exposure;</w:t>
      </w:r>
    </w:p>
    <w:p>
      <w:pPr>
        <w:spacing w:after="0" w:line="92"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Company has obtained surety bonds in compliance with money transfer licensing requirements of the applicable governmental authorities and has agreed to reimburse the surety for any amounts that they are required to pay in connection with such bonds.</w:t>
      </w:r>
    </w:p>
    <w:p>
      <w:pPr>
        <w:spacing w:after="0" w:line="62"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June 30, 2008 or December 31,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Company’s effective tax rate for continuing operations, after consideration of minority interest, was 26.0% and 36.4% for the three-month periods ended June 30, 2008 and 2007, respectively, and was 86.3% and 33.2% for the six-month periods ended June 30, 2008 and 2007, respectively.</w:t>
      </w:r>
    </w:p>
    <w:p>
      <w:pPr>
        <w:spacing w:after="0" w:line="3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income for the three- and six-month periods ended June 30, 2008 reflects unrealized capital losses of $1.3 million and $18.8 million, respectively, recorded in connection with the Company’s investment in MoneyGram. Associated tax benefits were not recorded for the losses because of the uncertainty surrounding the Company’s future ability to have offsetting capital gains. Excluding the impact of these unrealized capital losses, the Company’s effective tax rate was 23.4% for the three-month period ended June 30, 2008 and 40.3% for the six-month period ended June 30, 2008.</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t>In addition to the tax treatment of the capital losses, the year-over-year fluctuations in the tax rates for the three- and six-month periods primarily relate to differences in accounting for income taxes at the Company’s U.S. operations. During the three- and six-month periods ended June 30, 2007, the Company had a valuation allowance against its net deferred tax assets and, therefore, the tax effect of operating income or expense, interest income on loans to its foreign subsidiaries and foreign currency gains recognized by the Company’s U.S. group were recorded as an adjustment to the valuation allowance rather than tax expense. Due to the recognition of significant foreign currency gains, and a $12.2 million federal excise tax refund recorded during the fourth quarter 2007, the Company’s valuation allowance against its U.S. net deferred tax assets was fully utilized. Consequently, for the three- and six-month periods ended June 30, 2008, the Company fully provided for the tax effect of income and expense generated by its U.S. operations.</w:t>
      </w:r>
    </w:p>
    <w:p>
      <w:pPr>
        <w:spacing w:after="0" w:line="5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significant increase in the effective tax rate for the six months ended June 30, 2008 when compared to the six months ended June 30, 2007 is largely attributable to the recognition of deferred tax expense on foreign currency gains recognized by the Company’s U.S. operations during 2008. Additionally, certain foreign currency losses recognized for financial reporting purposes have been treated as permanent differences and, therefore, a tax benefit has not been recorded.</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decrease in the effective tax rate for the three months ended June 30, 2008 when compared to the three months ended June 30, 2007 is attributable to the recognition of tax benefits resulting from the successful resolution of tax audits and tax impact of the reduced foreign currency gains for the six months ended June 30, 2008.</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tax returns in Poland have been effectively settled for years prior to 2004. Based upon the closing of these tax years, the Company reduced its liability for unrecognized tax benefits by $0.8 million in the three months ended June 30, 2008.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Euronet Worldwide, Inc. (together with our subsidiaries, “we,” “us,” “Euronet” or the “Company”) is a leading electronic payments provider, offering automated teller machine (“ATM”) and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 As of June 30, 2008, we operate in the following three principal business segments:</w:t>
      </w:r>
    </w:p>
    <w:p>
      <w:pPr>
        <w:spacing w:after="0" w:line="80" w:lineRule="exact"/>
        <w:rPr>
          <w:sz w:val="20"/>
          <w:szCs w:val="20"/>
          <w:color w:val="auto"/>
        </w:rPr>
      </w:pPr>
    </w:p>
    <w:p>
      <w:pPr>
        <w:ind w:left="660" w:right="100" w:hanging="436"/>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10,160 ATMs and approximately 53,000 POS terminals across Europe, the Middle East and Asia. We provide comprehensive electronic payment solutions consisting of ATM network participation, outsourced ATM and POS management solutions, credit and debit card outsourcing and electronic recharge services for prepaid mobile airtime via ATMs. Through this segment, we also offer a suite of integrated EFT software solutions for electronic payment and transaction delivery systems.</w:t>
      </w:r>
    </w:p>
    <w:p>
      <w:pPr>
        <w:spacing w:after="0" w:line="59" w:lineRule="exact"/>
        <w:rPr>
          <w:rFonts w:ascii="Arial" w:cs="Arial" w:eastAsia="Arial" w:hAnsi="Arial"/>
          <w:sz w:val="16"/>
          <w:szCs w:val="16"/>
          <w:b w:val="1"/>
          <w:bCs w:val="1"/>
          <w:color w:val="auto"/>
        </w:rPr>
      </w:pPr>
    </w:p>
    <w:p>
      <w:pPr>
        <w:ind w:left="660" w:right="8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Prepaid Processing Segment, which provides distribution of prepaid mobile airtime and other prepaid products and collection services for various prepaid products, cards and services in the U.S., Europe, Africa, Asia Pacific and the Middle East. Including terminals operated by unconsolidated subsidiaries, we operate a network of approximately 397,000 POS terminals providing electronic processing of prepaid mobile airtime top-up services in the U.S., Europe and Asia Pacific.</w:t>
      </w:r>
    </w:p>
    <w:p>
      <w:pPr>
        <w:spacing w:after="0" w:line="92" w:lineRule="exact"/>
        <w:rPr>
          <w:rFonts w:ascii="Arial" w:cs="Arial" w:eastAsia="Arial" w:hAnsi="Arial"/>
          <w:sz w:val="18"/>
          <w:szCs w:val="18"/>
          <w:b w:val="1"/>
          <w:bCs w:val="1"/>
          <w:color w:val="auto"/>
        </w:rPr>
      </w:pPr>
    </w:p>
    <w:p>
      <w:pPr>
        <w:ind w:left="660" w:right="120" w:hanging="436"/>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 Money Transfer Segment, which provides global money transfer and bill payment services through a sending network of agents and Company-owned stores primarily in North America, the Caribbean, Europe and Asia-Pacific, disbursing money transfers through a worldwide payer network. Bill payment services are offered primarily in the U.S. The Money Transfer Segment originates and terminates transactions through a network of approximately 71,600 locations, which include sending agents and Company-owned stores, and an extensive payer network across 100 countries.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six processing centers in Europe, two in Asia and two in the U.S. We have 23 principal offices in Europe, five in the Asia-Pacific region, four in the U.S., two in Latin America and one in the Middle East. Our executive offices are located in Leawood, Kansas,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represented approximately 20% of total consolidated revenue for the first half of</w:t>
      </w:r>
      <w:r>
        <w:rPr>
          <w:rFonts w:ascii="Arial" w:cs="Arial" w:eastAsia="Arial" w:hAnsi="Arial"/>
          <w:sz w:val="17"/>
          <w:szCs w:val="17"/>
          <w:i w:val="1"/>
          <w:iCs w:val="1"/>
          <w:color w:val="auto"/>
        </w:rPr>
        <w:t xml:space="preserve"> </w:t>
      </w:r>
      <w:r>
        <w:rPr>
          <w:rFonts w:ascii="Arial" w:cs="Arial" w:eastAsia="Arial" w:hAnsi="Arial"/>
          <w:sz w:val="17"/>
          <w:szCs w:val="17"/>
          <w:color w:val="auto"/>
        </w:rPr>
        <w:t>2008, is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did not give authorization, and iv) prepaid telecommunication recharges. Revenue in this segment is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represented approximately 58% of total consolidated revenue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half of 2008, is primarily derived from commissions or processing fees received from telecommunications service providers for the sale and distribution of prepaid mobile airtime. We also generate revenue from commissions earned from the distribution of other prepaid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6" w:name="page17"/>
    <w:bookmarkEnd w:id="16"/>
    <w:p>
      <w:pPr>
        <w:ind w:right="160"/>
        <w:spacing w:after="0" w:line="277" w:lineRule="auto"/>
        <w:rPr>
          <w:sz w:val="20"/>
          <w:szCs w:val="20"/>
          <w:color w:val="auto"/>
        </w:rPr>
      </w:pPr>
      <w:r>
        <w:rPr>
          <w:rFonts w:ascii="Arial" w:cs="Arial" w:eastAsia="Arial" w:hAnsi="Arial"/>
          <w:sz w:val="18"/>
          <w:szCs w:val="18"/>
          <w:color w:val="auto"/>
        </w:rPr>
        <w:t>customers. Other products offered by this segment include prepaid long distance calling card plans, prepaid internet plans, prepaid debit cards, prepaid gift cards and prepaid mobile content such as ring tones and games.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 in the Money Transfer Segment, which represents approximately 22% of total consolidated revenue for the first half of</w:t>
      </w:r>
      <w:r>
        <w:rPr>
          <w:rFonts w:ascii="Arial" w:cs="Arial" w:eastAsia="Arial" w:hAnsi="Arial"/>
          <w:sz w:val="17"/>
          <w:szCs w:val="17"/>
          <w:i w:val="1"/>
          <w:iCs w:val="1"/>
          <w:color w:val="auto"/>
        </w:rPr>
        <w:t xml:space="preserve"> </w:t>
      </w:r>
      <w:r>
        <w:rPr>
          <w:rFonts w:ascii="Arial" w:cs="Arial" w:eastAsia="Arial" w:hAnsi="Arial"/>
          <w:sz w:val="17"/>
          <w:szCs w:val="17"/>
          <w:color w:val="auto"/>
        </w:rPr>
        <w:t>2008,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primarily in North America, the Caribbean, Europe and Asia-Pacific and a worldwide network of distribution agents, consisting primarily of financial institutions in the transfer destination countries. Origination and distribution agents each earn fees for cash collection and distribution services. These fees are recognized as direct operating costs at the time of sale.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development and success of the cross-border merchant processing and acquiring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card issuing and outsourcing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successfully integrate newly acquired operations with our existing operations.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the immigration developments in the U.S. that started in 2006 and changes in the economic sectors in which immigrants work;</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208" w:gutter="0" w:footer="0" w:header="0"/>
        </w:sectPr>
      </w:pPr>
    </w:p>
    <w:bookmarkStart w:id="17" w:name="page18"/>
    <w:bookmarkEnd w:id="17"/>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existing operations.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most stock option and restricted stock grants. These services are not directly identifiable with our business segments. The impact of share-based compensation is recorded as an expense of the Corporate Services division.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by segment for the three- and six-month periods June 30, 2008 and 2007 are summarized in the tables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9"/>
          </w:tcPr>
          <w:p>
            <w:pPr>
              <w:ind w:left="120"/>
              <w:spacing w:after="0"/>
              <w:rPr>
                <w:sz w:val="20"/>
                <w:szCs w:val="20"/>
                <w:color w:val="auto"/>
              </w:rPr>
            </w:pPr>
            <w:r>
              <w:rPr>
                <w:rFonts w:ascii="Arial" w:cs="Arial" w:eastAsia="Arial" w:hAnsi="Arial"/>
                <w:sz w:val="14"/>
                <w:szCs w:val="14"/>
                <w:b w:val="1"/>
                <w:bCs w:val="1"/>
                <w:color w:val="auto"/>
              </w:rPr>
              <w:t>Revenues for the Three</w:t>
            </w:r>
          </w:p>
        </w:tc>
        <w:tc>
          <w:tcPr>
            <w:tcW w:w="300" w:type="dxa"/>
            <w:vAlign w:val="bottom"/>
          </w:tcPr>
          <w:p>
            <w:pPr>
              <w:spacing w:after="0"/>
              <w:rPr>
                <w:sz w:val="14"/>
                <w:szCs w:val="14"/>
                <w:color w:val="auto"/>
              </w:rPr>
            </w:pPr>
          </w:p>
        </w:tc>
        <w:tc>
          <w:tcPr>
            <w:tcW w:w="168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w w:val="98"/>
              </w:rPr>
              <w:t>Year-over-Year Change</w:t>
            </w:r>
          </w:p>
        </w:tc>
        <w:tc>
          <w:tcPr>
            <w:tcW w:w="540" w:type="dxa"/>
            <w:vAlign w:val="bottom"/>
          </w:tcPr>
          <w:p>
            <w:pPr>
              <w:spacing w:after="0"/>
              <w:rPr>
                <w:sz w:val="14"/>
                <w:szCs w:val="14"/>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0"/>
              </w:rPr>
              <w:t>Revenues for the Six</w:t>
            </w:r>
          </w:p>
        </w:tc>
        <w:tc>
          <w:tcPr>
            <w:tcW w:w="80" w:type="dxa"/>
            <w:vAlign w:val="bottom"/>
          </w:tcPr>
          <w:p>
            <w:pPr>
              <w:spacing w:after="0"/>
              <w:rPr>
                <w:sz w:val="14"/>
                <w:szCs w:val="14"/>
                <w:color w:val="auto"/>
              </w:rPr>
            </w:pPr>
          </w:p>
        </w:tc>
        <w:tc>
          <w:tcPr>
            <w:tcW w:w="18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9"/>
          </w:tcPr>
          <w:p>
            <w:pPr>
              <w:ind w:left="120"/>
              <w:spacing w:after="0"/>
              <w:rPr>
                <w:sz w:val="20"/>
                <w:szCs w:val="20"/>
                <w:color w:val="auto"/>
              </w:rPr>
            </w:pPr>
            <w:r>
              <w:rPr>
                <w:rFonts w:ascii="Arial" w:cs="Arial" w:eastAsia="Arial" w:hAnsi="Arial"/>
                <w:sz w:val="14"/>
                <w:szCs w:val="14"/>
                <w:b w:val="1"/>
                <w:bCs w:val="1"/>
                <w:color w:val="auto"/>
              </w:rPr>
              <w:t>Months Ended June 30,</w:t>
            </w:r>
          </w:p>
        </w:tc>
        <w:tc>
          <w:tcPr>
            <w:tcW w:w="3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Months Ended June 30,</w:t>
            </w:r>
          </w:p>
        </w:tc>
        <w:tc>
          <w:tcPr>
            <w:tcW w:w="8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4"/>
              </w:rPr>
              <w:t>Increase</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0"/>
                <w:szCs w:val="10"/>
                <w:color w:val="auto"/>
              </w:rPr>
            </w:pPr>
          </w:p>
        </w:tc>
        <w:tc>
          <w:tcPr>
            <w:tcW w:w="112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5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Borders>
              <w:left w:val="single" w:sz="8" w:color="auto"/>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52,361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42,016</w:t>
            </w:r>
          </w:p>
        </w:tc>
        <w:tc>
          <w:tcPr>
            <w:tcW w:w="1360" w:type="dxa"/>
            <w:vAlign w:val="bottom"/>
            <w:tcBorders>
              <w:right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$ 10,345</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25%</w:t>
            </w:r>
          </w:p>
        </w:tc>
        <w:tc>
          <w:tcPr>
            <w:tcW w:w="1660" w:type="dxa"/>
            <w:vAlign w:val="bottom"/>
            <w:tcBorders>
              <w:left w:val="single" w:sz="8" w:color="CCEEFF"/>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$ 100,597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80,689</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19,908</w:t>
            </w:r>
          </w:p>
        </w:tc>
        <w:tc>
          <w:tcPr>
            <w:tcW w:w="6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4"/>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Prepaid Processing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152,633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142,230</w:t>
            </w:r>
          </w:p>
        </w:tc>
        <w:tc>
          <w:tcPr>
            <w:tcW w:w="3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10,403</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296,858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269,811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27,047</w:t>
            </w:r>
          </w:p>
        </w:tc>
        <w:tc>
          <w:tcPr>
            <w:tcW w:w="680" w:type="dxa"/>
            <w:vAlign w:val="bottom"/>
          </w:tcPr>
          <w:p>
            <w:pPr>
              <w:jc w:val="center"/>
              <w:ind w:left="16"/>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59,456</w:t>
            </w:r>
          </w:p>
        </w:tc>
        <w:tc>
          <w:tcPr>
            <w:tcW w:w="3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49,219</w:t>
            </w:r>
          </w:p>
        </w:tc>
        <w:tc>
          <w:tcPr>
            <w:tcW w:w="30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10,237</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21%</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111,788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50,008</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61,780</w:t>
            </w:r>
          </w:p>
        </w:tc>
        <w:tc>
          <w:tcPr>
            <w:tcW w:w="6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1"/>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080" w:type="dxa"/>
            <w:vAlign w:val="bottom"/>
            <w:gridSpan w:val="7"/>
          </w:tcPr>
          <w:p>
            <w:pPr>
              <w:jc w:val="right"/>
              <w:ind w:right="20"/>
              <w:spacing w:after="0"/>
              <w:rPr>
                <w:sz w:val="20"/>
                <w:szCs w:val="20"/>
                <w:color w:val="auto"/>
              </w:rPr>
            </w:pPr>
            <w:r>
              <w:rPr>
                <w:rFonts w:ascii="Arial" w:cs="Arial" w:eastAsia="Arial" w:hAnsi="Arial"/>
                <w:sz w:val="18"/>
                <w:szCs w:val="18"/>
                <w:color w:val="auto"/>
              </w:rPr>
              <w:t>$ 264,450</w:t>
            </w:r>
          </w:p>
        </w:tc>
        <w:tc>
          <w:tcPr>
            <w:tcW w:w="3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233,465</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$ 30,985</w:t>
            </w:r>
          </w:p>
        </w:tc>
        <w:tc>
          <w:tcPr>
            <w:tcW w:w="620" w:type="dxa"/>
            <w:vAlign w:val="bottom"/>
          </w:tcPr>
          <w:p>
            <w:pPr>
              <w:ind w:left="220"/>
              <w:spacing w:after="0"/>
              <w:rPr>
                <w:sz w:val="20"/>
                <w:szCs w:val="20"/>
                <w:color w:val="auto"/>
              </w:rPr>
            </w:pPr>
            <w:r>
              <w:rPr>
                <w:rFonts w:ascii="Arial" w:cs="Arial" w:eastAsia="Arial" w:hAnsi="Arial"/>
                <w:sz w:val="18"/>
                <w:szCs w:val="18"/>
                <w:color w:val="auto"/>
                <w:w w:val="99"/>
              </w:rPr>
              <w:t>13%</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$ 509,243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400,508</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108,735</w:t>
            </w:r>
          </w:p>
        </w:tc>
        <w:tc>
          <w:tcPr>
            <w:tcW w:w="680" w:type="dxa"/>
            <w:vAlign w:val="bottom"/>
          </w:tcPr>
          <w:p>
            <w:pPr>
              <w:jc w:val="center"/>
              <w:ind w:left="16"/>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11"/>
          </w:tcPr>
          <w:p>
            <w:pPr>
              <w:spacing w:after="0"/>
              <w:rPr>
                <w:sz w:val="20"/>
                <w:szCs w:val="20"/>
                <w:color w:val="auto"/>
              </w:rPr>
            </w:pPr>
            <w:r>
              <w:rPr>
                <w:rFonts w:ascii="Arial" w:cs="Arial" w:eastAsia="Arial" w:hAnsi="Arial"/>
                <w:sz w:val="14"/>
                <w:szCs w:val="14"/>
                <w:b w:val="1"/>
                <w:bCs w:val="1"/>
                <w:color w:val="auto"/>
              </w:rPr>
              <w:t>Operating Income (Loss) for the</w:t>
            </w:r>
          </w:p>
        </w:tc>
        <w:tc>
          <w:tcPr>
            <w:tcW w:w="300" w:type="dxa"/>
            <w:vAlign w:val="bottom"/>
          </w:tcPr>
          <w:p>
            <w:pPr>
              <w:spacing w:after="0"/>
              <w:rPr>
                <w:sz w:val="24"/>
                <w:szCs w:val="24"/>
                <w:color w:val="auto"/>
              </w:rPr>
            </w:pPr>
          </w:p>
        </w:tc>
        <w:tc>
          <w:tcPr>
            <w:tcW w:w="1680" w:type="dxa"/>
            <w:vAlign w:val="bottom"/>
            <w:gridSpan w:val="3"/>
            <w:vMerge w:val="restart"/>
          </w:tcPr>
          <w:p>
            <w:pPr>
              <w:jc w:val="right"/>
              <w:ind w:right="96"/>
              <w:spacing w:after="0"/>
              <w:rPr>
                <w:sz w:val="20"/>
                <w:szCs w:val="20"/>
                <w:color w:val="auto"/>
              </w:rPr>
            </w:pPr>
            <w:r>
              <w:rPr>
                <w:rFonts w:ascii="Arial" w:cs="Arial" w:eastAsia="Arial" w:hAnsi="Arial"/>
                <w:sz w:val="14"/>
                <w:szCs w:val="14"/>
                <w:b w:val="1"/>
                <w:bCs w:val="1"/>
                <w:color w:val="auto"/>
                <w:w w:val="95"/>
              </w:rPr>
              <w:t>Year-over-Year Change</w:t>
            </w:r>
          </w:p>
        </w:tc>
        <w:tc>
          <w:tcPr>
            <w:tcW w:w="28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Operating Income (Loss) for the</w:t>
            </w:r>
          </w:p>
        </w:tc>
        <w:tc>
          <w:tcPr>
            <w:tcW w:w="80" w:type="dxa"/>
            <w:vAlign w:val="bottom"/>
          </w:tcPr>
          <w:p>
            <w:pPr>
              <w:spacing w:after="0"/>
              <w:rPr>
                <w:sz w:val="24"/>
                <w:szCs w:val="24"/>
                <w:color w:val="auto"/>
              </w:rPr>
            </w:pPr>
          </w:p>
        </w:tc>
        <w:tc>
          <w:tcPr>
            <w:tcW w:w="18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11"/>
          </w:tcPr>
          <w:p>
            <w:pPr>
              <w:jc w:val="right"/>
              <w:ind w:right="280"/>
              <w:spacing w:after="0"/>
              <w:rPr>
                <w:sz w:val="20"/>
                <w:szCs w:val="20"/>
                <w:color w:val="auto"/>
              </w:rPr>
            </w:pPr>
            <w:r>
              <w:rPr>
                <w:rFonts w:ascii="Arial" w:cs="Arial" w:eastAsia="Arial" w:hAnsi="Arial"/>
                <w:sz w:val="14"/>
                <w:szCs w:val="14"/>
                <w:b w:val="1"/>
                <w:bCs w:val="1"/>
                <w:color w:val="auto"/>
                <w:w w:val="94"/>
              </w:rPr>
              <w:t>Three Months Ended June 30,</w:t>
            </w:r>
          </w:p>
        </w:tc>
        <w:tc>
          <w:tcPr>
            <w:tcW w:w="3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3"/>
              </w:rPr>
              <w:t>Six Months Ended June 30,</w:t>
            </w:r>
          </w:p>
        </w:tc>
        <w:tc>
          <w:tcPr>
            <w:tcW w:w="8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Increase</w:t>
            </w: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Increase</w:t>
            </w:r>
          </w:p>
        </w:tc>
        <w:tc>
          <w:tcPr>
            <w:tcW w:w="540" w:type="dxa"/>
            <w:vAlign w:val="bottom"/>
          </w:tcPr>
          <w:p>
            <w:pPr>
              <w:spacing w:after="0"/>
              <w:rPr>
                <w:sz w:val="10"/>
                <w:szCs w:val="10"/>
                <w:color w:val="auto"/>
              </w:rPr>
            </w:pPr>
          </w:p>
        </w:tc>
        <w:tc>
          <w:tcPr>
            <w:tcW w:w="6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w w:val="97"/>
              </w:rPr>
              <w:t>Percent</w:t>
            </w:r>
          </w:p>
        </w:tc>
        <w:tc>
          <w:tcPr>
            <w:tcW w:w="5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2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5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19,184</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3,532</w:t>
            </w:r>
          </w:p>
        </w:tc>
        <w:tc>
          <w:tcPr>
            <w:tcW w:w="6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Prepaid Processing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center"/>
              <w:ind w:left="78"/>
              <w:spacing w:after="0"/>
              <w:rPr>
                <w:sz w:val="20"/>
                <w:szCs w:val="20"/>
                <w:color w:val="auto"/>
              </w:rPr>
            </w:pPr>
            <w:r>
              <w:rPr>
                <w:rFonts w:ascii="Arial" w:cs="Arial" w:eastAsia="Arial" w:hAnsi="Arial"/>
                <w:sz w:val="18"/>
                <w:szCs w:val="18"/>
                <w:color w:val="auto"/>
                <w:w w:val="88"/>
              </w:rPr>
              <w:t>1,720</w:t>
            </w:r>
          </w:p>
        </w:tc>
        <w:tc>
          <w:tcPr>
            <w:tcW w:w="50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19,216</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2,538</w:t>
            </w:r>
          </w:p>
        </w:tc>
        <w:tc>
          <w:tcPr>
            <w:tcW w:w="680" w:type="dxa"/>
            <w:vAlign w:val="bottom"/>
          </w:tcPr>
          <w:p>
            <w:pPr>
              <w:jc w:val="center"/>
              <w:ind w:left="16"/>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8"/>
              </w:rPr>
              <w:t>1,178</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3,996</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23,017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tcPr>
          <w:p>
            <w:pPr>
              <w:jc w:val="center"/>
              <w:ind w:left="78"/>
              <w:spacing w:after="0"/>
              <w:rPr>
                <w:sz w:val="20"/>
                <w:szCs w:val="20"/>
                <w:color w:val="auto"/>
              </w:rPr>
            </w:pPr>
            <w:r>
              <w:rPr>
                <w:rFonts w:ascii="Arial" w:cs="Arial" w:eastAsia="Arial" w:hAnsi="Arial"/>
                <w:sz w:val="18"/>
                <w:szCs w:val="18"/>
                <w:color w:val="auto"/>
                <w:w w:val="88"/>
              </w:rPr>
              <w:t>3,144</w:t>
            </w:r>
          </w:p>
        </w:tc>
        <w:tc>
          <w:tcPr>
            <w:tcW w:w="5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9"/>
                <w:szCs w:val="19"/>
                <w:color w:val="auto"/>
              </w:rPr>
            </w:pPr>
          </w:p>
        </w:tc>
        <w:tc>
          <w:tcPr>
            <w:tcW w:w="6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45,447</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35,381</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10,066</w:t>
            </w:r>
          </w:p>
        </w:tc>
        <w:tc>
          <w:tcPr>
            <w:tcW w:w="440" w:type="dxa"/>
            <w:vAlign w:val="bottom"/>
          </w:tcPr>
          <w:p>
            <w:pPr>
              <w:spacing w:after="0"/>
              <w:rPr>
                <w:sz w:val="19"/>
                <w:szCs w:val="19"/>
                <w:color w:val="auto"/>
              </w:rPr>
            </w:pPr>
          </w:p>
        </w:tc>
        <w:tc>
          <w:tcPr>
            <w:tcW w:w="680" w:type="dxa"/>
            <w:vAlign w:val="bottom"/>
          </w:tcPr>
          <w:p>
            <w:pPr>
              <w:jc w:val="center"/>
              <w:ind w:left="16"/>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(5,719)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(4,557)</w:t>
            </w:r>
          </w:p>
        </w:tc>
        <w:tc>
          <w:tcPr>
            <w:tcW w:w="30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(1,162)</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(14,918)</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(6,691)</w:t>
            </w:r>
          </w:p>
        </w:tc>
        <w:tc>
          <w:tcPr>
            <w:tcW w:w="6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4"/>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17,298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15,316</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center"/>
              <w:ind w:left="78"/>
              <w:spacing w:after="0"/>
              <w:rPr>
                <w:sz w:val="20"/>
                <w:szCs w:val="20"/>
                <w:color w:val="auto"/>
              </w:rPr>
            </w:pPr>
            <w:r>
              <w:rPr>
                <w:rFonts w:ascii="Arial" w:cs="Arial" w:eastAsia="Arial" w:hAnsi="Arial"/>
                <w:sz w:val="18"/>
                <w:szCs w:val="18"/>
                <w:color w:val="auto"/>
                <w:w w:val="88"/>
              </w:rPr>
              <w:t>1,982</w:t>
            </w:r>
          </w:p>
        </w:tc>
        <w:tc>
          <w:tcPr>
            <w:tcW w:w="50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30,529</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27,154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3,375</w:t>
            </w:r>
          </w:p>
        </w:tc>
        <w:tc>
          <w:tcPr>
            <w:tcW w:w="680" w:type="dxa"/>
            <w:vAlign w:val="bottom"/>
          </w:tcPr>
          <w:p>
            <w:pPr>
              <w:jc w:val="center"/>
              <w:ind w:left="16"/>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Throughout 2007 and into 2008, the U.S. dollar has weakened compared to most of the currencies of the countries in which we operate. Because our revenues and local expenses are recorded in the functional currencies of our operating entities, amounts we earned for the first half of 2008 are positively impacted by the weakening of the U.S. dollar. We estimate that, depending on the mix of countries and currencies, our operating income for the first half of 2008 benefited by approximately 10% to 15% when compared to 2007.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COMPARISON OF OPERATING RESULTS FOR THE THREE- AND SIX-MONTH PERIODS ENDED JUNE 30,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2008 and 2007 for our EFT Processing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0"/>
                <w:szCs w:val="10"/>
                <w:color w:val="auto"/>
              </w:rPr>
            </w:pPr>
          </w:p>
        </w:tc>
        <w:tc>
          <w:tcPr>
            <w:tcW w:w="112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0"/>
                <w:szCs w:val="10"/>
                <w:color w:val="auto"/>
              </w:rPr>
            </w:pPr>
          </w:p>
        </w:tc>
        <w:tc>
          <w:tcPr>
            <w:tcW w:w="11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52,361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10,345</w:t>
            </w:r>
          </w:p>
        </w:tc>
        <w:tc>
          <w:tcPr>
            <w:tcW w:w="7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25%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100,597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80,689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19,908</w:t>
            </w:r>
          </w:p>
        </w:tc>
        <w:tc>
          <w:tcPr>
            <w:tcW w:w="7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24,625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17,608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7,017</w:t>
            </w:r>
          </w:p>
        </w:tc>
        <w:tc>
          <w:tcPr>
            <w:tcW w:w="7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46,362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34,506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11,856</w:t>
            </w:r>
          </w:p>
        </w:tc>
        <w:tc>
          <w:tcPr>
            <w:tcW w:w="7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9,113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8,208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905</w:t>
            </w:r>
          </w:p>
        </w:tc>
        <w:tc>
          <w:tcPr>
            <w:tcW w:w="780" w:type="dxa"/>
            <w:vAlign w:val="bottom"/>
          </w:tcPr>
          <w:p>
            <w:pPr>
              <w:jc w:val="center"/>
              <w:ind w:left="53"/>
              <w:spacing w:after="0"/>
              <w:rPr>
                <w:sz w:val="20"/>
                <w:szCs w:val="20"/>
                <w:color w:val="auto"/>
              </w:rPr>
            </w:pPr>
            <w:r>
              <w:rPr>
                <w:rFonts w:ascii="Arial" w:cs="Arial" w:eastAsia="Arial" w:hAnsi="Arial"/>
                <w:sz w:val="18"/>
                <w:szCs w:val="18"/>
                <w:color w:val="auto"/>
                <w:w w:val="88"/>
              </w:rPr>
              <w:t>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17,021</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15,247</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1,774</w:t>
            </w:r>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3,417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1,193</w:t>
            </w:r>
          </w:p>
        </w:tc>
        <w:tc>
          <w:tcPr>
            <w:tcW w:w="7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35%</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8,388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7,576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812</w:t>
            </w:r>
          </w:p>
        </w:tc>
        <w:tc>
          <w:tcPr>
            <w:tcW w:w="7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4,974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3,990</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984</w:t>
            </w:r>
          </w:p>
        </w:tc>
        <w:tc>
          <w:tcPr>
            <w:tcW w:w="780" w:type="dxa"/>
            <w:vAlign w:val="bottom"/>
          </w:tcPr>
          <w:p>
            <w:pPr>
              <w:jc w:val="center"/>
              <w:ind w:left="33"/>
              <w:spacing w:after="0"/>
              <w:rPr>
                <w:sz w:val="20"/>
                <w:szCs w:val="20"/>
                <w:color w:val="auto"/>
              </w:rPr>
            </w:pPr>
            <w:r>
              <w:rPr>
                <w:rFonts w:ascii="Arial" w:cs="Arial" w:eastAsia="Arial" w:hAnsi="Arial"/>
                <w:sz w:val="18"/>
                <w:szCs w:val="18"/>
                <w:color w:val="auto"/>
                <w:w w:val="94"/>
              </w:rPr>
              <w:t>25%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9,642</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7,708</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1,934</w:t>
            </w:r>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43,322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33,223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10,099</w:t>
            </w:r>
          </w:p>
        </w:tc>
        <w:tc>
          <w:tcPr>
            <w:tcW w:w="7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30%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81,413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65,037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16,376</w:t>
            </w:r>
          </w:p>
        </w:tc>
        <w:tc>
          <w:tcPr>
            <w:tcW w:w="7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9,039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8,793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246</w:t>
            </w:r>
          </w:p>
        </w:tc>
        <w:tc>
          <w:tcPr>
            <w:tcW w:w="780" w:type="dxa"/>
            <w:vAlign w:val="bottom"/>
          </w:tcPr>
          <w:p>
            <w:pPr>
              <w:jc w:val="center"/>
              <w:ind w:left="53"/>
              <w:spacing w:after="0"/>
              <w:rPr>
                <w:sz w:val="20"/>
                <w:szCs w:val="20"/>
                <w:color w:val="auto"/>
              </w:rPr>
            </w:pPr>
            <w:r>
              <w:rPr>
                <w:rFonts w:ascii="Arial" w:cs="Arial" w:eastAsia="Arial" w:hAnsi="Arial"/>
                <w:sz w:val="18"/>
                <w:szCs w:val="18"/>
                <w:color w:val="auto"/>
                <w:w w:val="92"/>
              </w:rPr>
              <w:t>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19,184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15,652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3,532</w:t>
            </w:r>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Transactions processed (in</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w:t>
            </w:r>
          </w:p>
        </w:tc>
        <w:tc>
          <w:tcPr>
            <w:tcW w:w="7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15%</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59.4</w:t>
            </w:r>
          </w:p>
        </w:tc>
        <w:tc>
          <w:tcPr>
            <w:tcW w:w="7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ATMs as of June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9,858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302</w:t>
            </w:r>
          </w:p>
        </w:tc>
        <w:tc>
          <w:tcPr>
            <w:tcW w:w="780" w:type="dxa"/>
            <w:vAlign w:val="bottom"/>
          </w:tcPr>
          <w:p>
            <w:pPr>
              <w:jc w:val="center"/>
              <w:ind w:left="53"/>
              <w:spacing w:after="0"/>
              <w:rPr>
                <w:sz w:val="20"/>
                <w:szCs w:val="20"/>
                <w:color w:val="auto"/>
              </w:rPr>
            </w:pPr>
            <w:r>
              <w:rPr>
                <w:rFonts w:ascii="Arial" w:cs="Arial" w:eastAsia="Arial" w:hAnsi="Arial"/>
                <w:sz w:val="18"/>
                <w:szCs w:val="18"/>
                <w:color w:val="auto"/>
                <w:w w:val="92"/>
              </w:rPr>
              <w:t>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10,160</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9,858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302</w:t>
            </w:r>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9,655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w:t>
            </w:r>
          </w:p>
        </w:tc>
        <w:tc>
          <w:tcPr>
            <w:tcW w:w="7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10,867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9,348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1,519</w:t>
            </w:r>
          </w:p>
        </w:tc>
        <w:tc>
          <w:tcPr>
            <w:tcW w:w="7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the second quarter 2008, we decided to sell Euronet Essentis Limited (“Essentis”), a U.K. software entity previously included in the EFT Processing Segment, in order to narrow the focus of our investments and resources on our transaction processing businesses. We are in the process of locating a buyer and expect to complete a sale within one year. Accordingly, the results of operations for Essentis are shown as discontinued operations in the Consolidated Statements of Income and Comprehensive Income for all periods presented and have been removed from the table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revenues for the first half of 2008 increased when compared to the first half of 2007 primarily due to increases in the average number of ATMs operated and, for Company-owned ATMs, the number of transactions processed. These increases were attributable to many of our operations, but primarily our operations in Poland, India and Euronet Card Services Greece. Additionally, for the first half of 2008, the U.S. dollar has weakened compared to the first half of 2007 relative to the currencies of most of the countries in which we operate. Because our revenues are recorded in the functional currencies of our operating entities, foreign currency amounts reported in U.S. dollars are positively impacted by the weakening of the U.S. dollar. Partially offsetting these improvements were decreases in revenue associated with our operations in Romania due to a decrease in the per transaction fee structure with a customer that was granted in exchange for an extension of the contract term.</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revenue per ATM was $1,752 for the second quarter and $1,543 for the first half of 2008, compared to $1,451 for the second quarter and</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$1,439 for the first half of 2007. Revenue per transaction was $0.31 for the second quarter and $0.30 for the first half of 2008, compared to $0.29 for both the second quarter and first half of 2007. These improvements are generally the result of the expiration of an ATM services contract in the U.K. at the end of the first quarter 2008 that involved processing services only with very little associated costs and, therefore, had lower-than-average revenue per ATM and revenues per transaction. As of June 30, 2007 and March 31, 2008, we were providing processing services for approximately 1,700 and 2,400 ATMs, respectively, under this contract. Partly offsetting this improvement is the addition of ATMs in India and China, where revenues per ATM have been historically lower than Central and Eastern Europe generally due to lower labor costs.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contracts in the EFT Processing Segment are generally five to seven years in length, and certain of them will be up for renewal during the next two to three years. As was the case for contract renewals in Romania and Greece in prior years, during renegotiation, we expect to be pressured by customers for rate concessions because of the greater availability of alternative processing solutions in many of our markets now as compared to when we entered into the contracts.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 for the first half of 2008, compared to the first half of 2007, is attributed to the increase in the number of ATMs under operation, particularly the growing number of independently deployed ATMs in new markets, and the launch of our cross-border merchant acquiring business. Throughout 2007 and the first half of 2008, we have incurred substantial capital and operating expenditures in anticipation of entering the cross-border business after we entered into an agreement for these services with a large petrol retailer in Central Europe. The revenues recorded in launching this business were not significant during the second quarter 2008; however, the cost structure is largely in place and is contributing to the increase in direct operating costs and certain other expenses discussed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Gross margin, which is calculated as revenues less direct operating costs, increased to $27.7 million for the second quarter and $54.2 million for the first half of 2008 from $24.4 million for the second quarter and $46.2 million for the first half of 2007. This increase is attributable to the increase in revenues discussed above. Gross margin as a percentage of revenues was 53% for the second quarter and 54% for the first half of 2008 compared to 58% for the second quarter and 57% for the first half of 2007. The decrease in gross margin as a percentage of revenues is primarily due to the impact of the expiration of the ATM services contract and launching the cross-border merchant acquiring business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salaries and benefits for the first half of 2008 compared to the first half of 2007 was due to staffing costs to support growth in ATMs managed and transactions processed and for new products, such as POS, card processing and cross-border merchant processing and acquiring. Salaries and benefits also increased as a result of general merit increases awarded to employees. As a percentage of revenues, however, these costs decreased to 17% of revenues for the first half of 2008 compared to 19% for the first half of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Selling, general and administrative expenses for the first half of 2007 include a $1.2 million arbitration loss awarded by a tribunal in Budapest, Hungary arising from a claim by a former cash supply contractor in Central Europe. After adjusting for this loss, the increase in selling, general and administrative expenses for the first half of 2008 compared to the first half of 2007 is due primarily to the launch of our cross-border merchant acquiring business that occurred during the second quarter 2008. As explained above, the revenues recorded in launching this business were not significant during the second quarter 2008; however, the cost structure is in place to support this new business. Excluding the impact of the arbitration loss, as a percentage of revenue, selling, general and administrative expenses were flat at 8% for the first half of 2008 compared to the first half of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increase in depreciation and amortization expense for the first half of 2008 compared to the first half of 2007 is due primarily to additional ATMs in Poland, India and China and additional equipment and software for the expansion of our Hungarian processing center. As a percentage of revenue, these expenses were flat at 10% for both the first half of 2008 and the first half of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For the first half of 2008 compared to the first half of 2007, the increase in operating income was due to increases in revenues, partially offset by the impact of the $1.2 million arbitration loss described above. Additionally, for the second quarter and first half of 2008, operating income was negatively impacted by the expiration of the ATM services contract described above and the launching of the cross-border merchant acquiring business. As a result of these two items, operating income was reduced by $1.9 million for the second quarter 2008 and $2.4 million for the first half of 2008, when compared to the same periods in 2007. Excluding the arbitration loss and the impacts of the ATM services contract expiration and the cross-border merchant acquiring business launch, operating income increased by 26% for the second quarter 2008 and 30% for the first half of 2008, when compared to the same periods in 2007. Adjusting for the items described above, operating income as a percentage of revenue for the first half of 2008 would have been 21%, compared to 20% for the first half of 2007. For the full year 2008, we expect to incur losses of approximately $5.5 million to $6.0 million associated with the launch of the cross-border merchant acquiring business and the full year 2008 impact of the ATM contract expiration will be a reduction in operating income of approximately $2.7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2008 and 2007 for our Prepaid Processing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152,633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142,230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10,403</w:t>
            </w:r>
          </w:p>
        </w:tc>
        <w:tc>
          <w:tcPr>
            <w:tcW w:w="7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296,858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269,811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27,047</w:t>
            </w:r>
          </w:p>
        </w:tc>
        <w:tc>
          <w:tcPr>
            <w:tcW w:w="7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124,604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116,248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242,460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219,478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22,982</w:t>
            </w:r>
          </w:p>
        </w:tc>
        <w:tc>
          <w:tcPr>
            <w:tcW w:w="7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6,916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7,020</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780" w:type="dxa"/>
            <w:vAlign w:val="bottom"/>
          </w:tcPr>
          <w:p>
            <w:pPr>
              <w:jc w:val="center"/>
              <w:ind w:left="15"/>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13,484</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13,405</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79</w:t>
            </w:r>
          </w:p>
        </w:tc>
        <w:tc>
          <w:tcPr>
            <w:tcW w:w="780" w:type="dxa"/>
            <w:vAlign w:val="bottom"/>
          </w:tcPr>
          <w:p>
            <w:pPr>
              <w:jc w:val="center"/>
              <w:ind w:left="14"/>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5,389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10,734</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9,966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768</w:t>
            </w:r>
          </w:p>
        </w:tc>
        <w:tc>
          <w:tcPr>
            <w:tcW w:w="7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3,873</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361</w:t>
            </w:r>
          </w:p>
        </w:tc>
        <w:tc>
          <w:tcPr>
            <w:tcW w:w="780" w:type="dxa"/>
            <w:vAlign w:val="bottom"/>
          </w:tcPr>
          <w:p>
            <w:pPr>
              <w:jc w:val="center"/>
              <w:ind w:left="15"/>
              <w:spacing w:after="0"/>
              <w:rPr>
                <w:sz w:val="20"/>
                <w:szCs w:val="20"/>
                <w:color w:val="auto"/>
              </w:rPr>
            </w:pPr>
            <w:r>
              <w:rPr>
                <w:rFonts w:ascii="Arial" w:cs="Arial" w:eastAsia="Arial" w:hAnsi="Arial"/>
                <w:sz w:val="18"/>
                <w:szCs w:val="18"/>
                <w:color w:val="auto"/>
                <w:w w:val="92"/>
              </w:rPr>
              <w:t>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8,426</w:t>
            </w: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7,746</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680</w:t>
            </w:r>
          </w:p>
        </w:tc>
        <w:tc>
          <w:tcPr>
            <w:tcW w:w="780" w:type="dxa"/>
            <w:vAlign w:val="bottom"/>
          </w:tcPr>
          <w:p>
            <w:pPr>
              <w:jc w:val="center"/>
              <w:ind w:left="14"/>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141,213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132,530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275,104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250,595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24,509</w:t>
            </w:r>
          </w:p>
        </w:tc>
        <w:tc>
          <w:tcPr>
            <w:tcW w:w="7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11,420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9,700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1,720</w:t>
            </w:r>
          </w:p>
        </w:tc>
        <w:tc>
          <w:tcPr>
            <w:tcW w:w="440" w:type="dxa"/>
            <w:vAlign w:val="bottom"/>
          </w:tcPr>
          <w:p>
            <w:pPr>
              <w:spacing w:after="0"/>
              <w:rPr>
                <w:sz w:val="24"/>
                <w:szCs w:val="24"/>
                <w:color w:val="auto"/>
              </w:rPr>
            </w:pPr>
          </w:p>
        </w:tc>
        <w:tc>
          <w:tcPr>
            <w:tcW w:w="780" w:type="dxa"/>
            <w:vAlign w:val="bottom"/>
          </w:tcPr>
          <w:p>
            <w:pPr>
              <w:jc w:val="center"/>
              <w:ind w:left="15"/>
              <w:spacing w:after="0"/>
              <w:rPr>
                <w:sz w:val="20"/>
                <w:szCs w:val="20"/>
                <w:color w:val="auto"/>
              </w:rPr>
            </w:pPr>
            <w:r>
              <w:rPr>
                <w:rFonts w:ascii="Arial" w:cs="Arial" w:eastAsia="Arial" w:hAnsi="Arial"/>
                <w:sz w:val="18"/>
                <w:szCs w:val="18"/>
                <w:color w:val="auto"/>
                <w:w w:val="88"/>
              </w:rPr>
              <w:t>18%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21,754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19,216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2,538</w:t>
            </w:r>
          </w:p>
        </w:tc>
        <w:tc>
          <w:tcPr>
            <w:tcW w:w="780" w:type="dxa"/>
            <w:vAlign w:val="bottom"/>
          </w:tcPr>
          <w:p>
            <w:pPr>
              <w:jc w:val="center"/>
              <w:ind w:left="14"/>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Transactions processed (in</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336.8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299.7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w:t>
            </w:r>
          </w:p>
        </w:tc>
        <w:tc>
          <w:tcPr>
            <w:tcW w:w="7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revenues for the first half of 2008 compared to the first half of 2007 was generally attributable to the increase in total transactions processed across all of our Prepaid Processing Segment operations, particularly Australia, Germany and Poland. Additionally, for the first half of 2008 the U.S. dollar has weakened compared to the first half of 2007 relative to the currencies of most of the countries in which we operate. Because our revenues are recorded in the functional currencies of our operating entities, foreign currency amounts reported in U.S. dollars are positively impacted by the weakening of the U.S. dollar.</w:t>
      </w:r>
    </w:p>
    <w:p>
      <w:pPr>
        <w:spacing w:after="0" w:line="8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certain more mature markets, such as the U.K.,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 derived from: (i) developing markets or markets in which there is organic growth in the prepaid sector overall, (ii) continued conversion from scratch cards to electronic top-up in less mature markets, (iii) additional products sold over the base of prepaid processing terminals, and (iv) possibly acquisitions.</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Revenues per transaction were $0.90 for the second quarter and $0.88 for the first half of 2008 compared to $0.89 for the second quarter and $0.90 for the first half of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increase in direct operating costs is generally attributable to the increase in total transactions processed and foreign currency translations to the U.S. dollar compared to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margin, which represents revenues less direct costs, was $28.0 million for the second quarter and $54.4 million for the first half of 2008 compared to</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$26.0 million for the second quarter and $50.3 million for the first half of 2007. Gross margin as a percentage of revenues remained flat at 18% for the second quarter 2008 compared to the same period in 2007 and decreased slightly to 18% in the first half of 2008 from 19% in the first half of 2007. Gross margin per transaction was $0.17 for the second quarter and $0.16 for the first half of 2008 compared to $0.16 for the second quarter and $0.17 for the first half of 2007. The primary cause of the reduction in gross margin as a percentage of revenues and gross margin per transaction for the first half of 2008 compared to the first half of 2007 is due to the general maturity of the prepaid mobile airtime business in many of our markets. However, gross margin per transaction strengthened in the second quarter 2008 compared to the second quarter 2007 primarily due to growth in revenue per transaction in Australia, Poland and Germany due to the continued addition of customers and increases in transactions in these markets.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Salaries and benefits remained relatively flat for first half of 2008 compared to the first half of 2007. As a percentage of revenue, salaries and benefits decreased to 4.5% for first half of 2008 from 5.0% for first half of 2007. The decrease in salaries and benefits as a percentage of revenues reflects the impact of leverage and scalability as we increase revenues in certain markets such as Australia, Poland and Germany.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increase in selling, general and administrative expenses for the first half of 2008 compared to the first half of 2007 is the result of additional overhead to support development in other new and growing markets. As a percentage of revenues, these expenses remained relatively flat at 3.6% for first half of 2008 compared to 3.7% for the first half of 2007. The modest increases in selling, general and administrative expenses during the second quarter and first half of 2008 when compared to the same periods in the prior year, also reflect the impact of leverage in certain markets, such as Australia, Poland and Germany, as revenues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Depreciation and amortization expense primarily represents amortization of acquired intangibles and the depreciation of POS terminals we install in retail stores. The increase in depreciation and amortization expense reflects additional POS terminals installed as the business has grown. Depreciation and amortization expense, as a percentage of revenues, decreased slightly to 2.8% for the first half of 2008 from 2.9% for the first half of 2007.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translation adjustment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third quarter 2007, we corrected an immaterial error related to foreign currency translation adjustments for goodwill and acquired intangible assets recorded in connection with acquisitions completed during periods prior to 2007. The impact of this correction on the Prepaid Processing Segment was to increase depreciation and amortization expense and decrease operating income by $0.2 million and $0.3 million for the three- and six-month periods ended June 30, 2007,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improvement in operating income for 2008 compared to 2007 was due to the growth in revenues and transactions processed, the impact of leveraging fixed costs in salaries and benefits and selling, general and administrative expenses in certain growing markets and the benefit of foreign currency translations to the U.S. dollar. These improvements were partly offset by the flat gross margins in certain mature markets and the costs of development in Italy and other new and growing markets.</w:t>
      </w:r>
    </w:p>
    <w:p>
      <w:pPr>
        <w:spacing w:after="0" w:line="7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Operating income as a percentage of revenues was 7.5% for the second quarter and 7.3% for the first half of 2008 compared to 6.8% for the second quarter and 7.1% for the first half of 2007. Operating income per transaction was $0.07 for the second quarter 2008 compared to $0.06 for the second quarter 2007 and $0.06 for both six-month periods ended June 30, 2008 and 2007. The increases are primarily due to the leverage in certain growing markets discussed above, while increasing revenues and gross margin.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Money Transfer Segment was established during April 2007 with the acquisition of RIA. To assist with understanding the results of the Money Transfer Segment, unaudited pro forma results have been provided as if RIA’s results were included in our consolidated results of operations beginning January 1, 2007. The pro forma financial information is not intended to represent, or be indicative of, the consolidated results of operations or financial condition that would have been reported had the RIA acquisition been completed as of the beginning of the periods presented. Moreover, the pro forma financial information should not be considered as representative of our future consolidated results of operations or financial condition. The following tables present the actual and pro forma results of operations for the three- and six-month periods ended June 30, 2008 and 2007 for the Money Transfer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0"/>
                <w:szCs w:val="10"/>
                <w:color w:val="auto"/>
              </w:rPr>
            </w:pPr>
          </w:p>
        </w:tc>
        <w:tc>
          <w:tcPr>
            <w:tcW w:w="134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Year-over-</w:t>
            </w:r>
          </w:p>
        </w:tc>
        <w:tc>
          <w:tcPr>
            <w:tcW w:w="120" w:type="dxa"/>
            <w:vAlign w:val="bottom"/>
          </w:tcPr>
          <w:p>
            <w:pPr>
              <w:spacing w:after="0"/>
              <w:rPr>
                <w:sz w:val="10"/>
                <w:szCs w:val="10"/>
                <w:color w:val="auto"/>
              </w:rPr>
            </w:pPr>
          </w:p>
        </w:tc>
        <w:tc>
          <w:tcPr>
            <w:tcW w:w="2280" w:type="dxa"/>
            <w:vAlign w:val="bottom"/>
            <w:gridSpan w:val="6"/>
            <w:vMerge w:val="restart"/>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Year-over-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22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6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59,456</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49,219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111,788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50,008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61,780</w:t>
            </w:r>
          </w:p>
        </w:tc>
        <w:tc>
          <w:tcPr>
            <w:tcW w:w="0" w:type="dxa"/>
            <w:vAlign w:val="bottom"/>
          </w:tcPr>
          <w:p>
            <w:pPr>
              <w:spacing w:after="0"/>
              <w:rPr>
                <w:sz w:val="1"/>
                <w:szCs w:val="1"/>
                <w:color w:val="auto"/>
              </w:rPr>
            </w:pPr>
          </w:p>
        </w:tc>
      </w:tr>
      <w:tr>
        <w:trPr>
          <w:trHeight w:val="439"/>
        </w:trPr>
        <w:tc>
          <w:tcPr>
            <w:tcW w:w="37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30,196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26,395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3,801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56,541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26,906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13,035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9,833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24,792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10,423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5,090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4,792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9,917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56,898</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47,839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9,059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107,279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49,495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76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2,558</w:t>
            </w:r>
          </w:p>
        </w:tc>
        <w:tc>
          <w:tcPr>
            <w:tcW w:w="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1,380</w:t>
            </w:r>
          </w:p>
        </w:tc>
        <w:tc>
          <w:tcPr>
            <w:tcW w:w="3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4,509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(in millions)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Increase</w:t>
            </w: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Increase</w:t>
            </w:r>
          </w:p>
        </w:tc>
        <w:tc>
          <w:tcPr>
            <w:tcW w:w="4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(Decrease)</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(Decrease)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Increase</w:t>
            </w:r>
          </w:p>
        </w:tc>
        <w:tc>
          <w:tcPr>
            <w:tcW w:w="7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rPr>
              <w:t>(dollar amounts in thousands)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1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Percent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1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(Pro Forma)</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(Pro Forma)</w:t>
            </w: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59,456</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111,788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15,591</w:t>
            </w:r>
          </w:p>
        </w:tc>
        <w:tc>
          <w:tcPr>
            <w:tcW w:w="6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2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operating costs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30,196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27,633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56,541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51,700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4,841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Salaries and benefits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13,035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10,173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2,862</w:t>
            </w:r>
          </w:p>
        </w:tc>
        <w:tc>
          <w:tcPr>
            <w:tcW w:w="440" w:type="dxa"/>
            <w:vAlign w:val="bottom"/>
          </w:tcPr>
          <w:p>
            <w:pPr>
              <w:spacing w:after="0"/>
              <w:rPr>
                <w:sz w:val="18"/>
                <w:szCs w:val="18"/>
                <w:color w:val="auto"/>
              </w:rPr>
            </w:pPr>
          </w:p>
        </w:tc>
        <w:tc>
          <w:tcPr>
            <w:tcW w:w="680" w:type="dxa"/>
            <w:vAlign w:val="bottom"/>
          </w:tcPr>
          <w:p>
            <w:pPr>
              <w:jc w:val="center"/>
              <w:ind w:left="35"/>
              <w:spacing w:after="0"/>
              <w:rPr>
                <w:sz w:val="20"/>
                <w:szCs w:val="20"/>
                <w:color w:val="auto"/>
              </w:rPr>
            </w:pPr>
            <w:r>
              <w:rPr>
                <w:rFonts w:ascii="Arial" w:cs="Arial" w:eastAsia="Arial" w:hAnsi="Arial"/>
                <w:sz w:val="18"/>
                <w:szCs w:val="18"/>
                <w:color w:val="auto"/>
                <w:w w:val="88"/>
              </w:rPr>
              <w:t>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24,792</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20,101</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4,691</w:t>
            </w:r>
          </w:p>
        </w:tc>
        <w:tc>
          <w:tcPr>
            <w:tcW w:w="680" w:type="dxa"/>
            <w:vAlign w:val="bottom"/>
          </w:tcPr>
          <w:p>
            <w:pPr>
              <w:jc w:val="center"/>
              <w:ind w:left="14"/>
              <w:spacing w:after="0"/>
              <w:rPr>
                <w:sz w:val="20"/>
                <w:szCs w:val="20"/>
                <w:color w:val="auto"/>
              </w:rPr>
            </w:pPr>
            <w:r>
              <w:rPr>
                <w:rFonts w:ascii="Arial" w:cs="Arial" w:eastAsia="Arial" w:hAnsi="Arial"/>
                <w:sz w:val="18"/>
                <w:szCs w:val="18"/>
                <w:color w:val="auto"/>
                <w:w w:val="94"/>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6,664</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29%</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16,029</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13,255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2,774</w:t>
            </w:r>
          </w:p>
        </w:tc>
        <w:tc>
          <w:tcPr>
            <w:tcW w:w="6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6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5,090</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4,620</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470</w:t>
            </w:r>
          </w:p>
        </w:tc>
        <w:tc>
          <w:tcPr>
            <w:tcW w:w="680" w:type="dxa"/>
            <w:vAlign w:val="bottom"/>
          </w:tcPr>
          <w:p>
            <w:pPr>
              <w:jc w:val="center"/>
              <w:ind w:left="35"/>
              <w:spacing w:after="0"/>
              <w:rPr>
                <w:sz w:val="20"/>
                <w:szCs w:val="20"/>
                <w:color w:val="auto"/>
              </w:rPr>
            </w:pPr>
            <w:r>
              <w:rPr>
                <w:rFonts w:ascii="Arial" w:cs="Arial" w:eastAsia="Arial" w:hAnsi="Arial"/>
                <w:sz w:val="18"/>
                <w:szCs w:val="18"/>
                <w:color w:val="auto"/>
                <w:w w:val="88"/>
              </w:rPr>
              <w:t>10%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9,917</w:t>
            </w:r>
          </w:p>
        </w:tc>
        <w:tc>
          <w:tcPr>
            <w:tcW w:w="16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8,926</w:t>
            </w: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991</w:t>
            </w:r>
          </w:p>
        </w:tc>
        <w:tc>
          <w:tcPr>
            <w:tcW w:w="680" w:type="dxa"/>
            <w:vAlign w:val="bottom"/>
          </w:tcPr>
          <w:p>
            <w:pPr>
              <w:jc w:val="center"/>
              <w:ind w:left="14"/>
              <w:spacing w:after="0"/>
              <w:rPr>
                <w:sz w:val="20"/>
                <w:szCs w:val="20"/>
                <w:color w:val="auto"/>
              </w:rPr>
            </w:pPr>
            <w:r>
              <w:rPr>
                <w:rFonts w:ascii="Arial" w:cs="Arial" w:eastAsia="Arial" w:hAnsi="Arial"/>
                <w:sz w:val="18"/>
                <w:szCs w:val="18"/>
                <w:color w:val="auto"/>
                <w:w w:val="94"/>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Total operating expenses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56,898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107,279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93,982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13,297</w:t>
            </w:r>
          </w:p>
        </w:tc>
        <w:tc>
          <w:tcPr>
            <w:tcW w:w="6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60" w:type="dxa"/>
            <w:vAlign w:val="bottom"/>
          </w:tcPr>
          <w:p>
            <w:pPr>
              <w:ind w:left="6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2,558</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2,602</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680" w:type="dxa"/>
            <w:vAlign w:val="bottom"/>
          </w:tcPr>
          <w:p>
            <w:pPr>
              <w:jc w:val="center"/>
              <w:ind w:left="35"/>
              <w:spacing w:after="0"/>
              <w:rPr>
                <w:sz w:val="20"/>
                <w:szCs w:val="20"/>
                <w:color w:val="auto"/>
              </w:rPr>
            </w:pPr>
            <w:r>
              <w:rPr>
                <w:rFonts w:ascii="Arial" w:cs="Arial" w:eastAsia="Arial" w:hAnsi="Arial"/>
                <w:sz w:val="18"/>
                <w:szCs w:val="18"/>
                <w:color w:val="auto"/>
                <w:w w:val="94"/>
              </w:rPr>
              <w:t>(2%)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2,294</w:t>
            </w:r>
          </w:p>
        </w:tc>
        <w:tc>
          <w:tcPr>
            <w:tcW w:w="680" w:type="dxa"/>
            <w:vAlign w:val="bottom"/>
          </w:tcPr>
          <w:p>
            <w:pPr>
              <w:jc w:val="center"/>
              <w:ind w:left="14"/>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Transactions processed (in</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millions)</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8%</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pro forma operating results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the second quarter 2007, we combined our previous money transfer business with RIA and incurred total exit costs of $0.9 million. These costs represent the accelerated depreciation and amortization of property and equipment, software and leasehold improvements that were disposed of during the second quarter 2007; the write-off of marketing materials and trademarks that have been discontinued; the write-off of accounts receivable from agents that did not meet RIA’s credit requirements; and severance and retention payments made to certain employees. These exit costs are not included in pro forma operating expenses in the above table.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purchasing currency at wholesale exchange rates and selling the currency to customers at retail exchange rates. Revenues per transaction increased to $13.83 for the second quarter and $13.80 for the first half of 2008 from $12.92 for the second quarter and $13.00 for the first half of 2007. The growth rate of revenues exceeded the transaction growth rate largely as a result of the strong increase in transfers from non-U.S. locations which generally have higher-than-average revenue per transaction. For the six months ended June 30, 2008, 70% of our money transfers were initiated in the U.S., with the balance being initiated outside the U.S., primarily in Europe. This compares to 78% initiated in the U.S. and 22% in other countries for the six months ended June 30, 2007. We expect that the U.S. will continue to represent our highest volume market; however, significant future growth is expected to be derived from non-U.S. initiated sources.</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increase in revenues for the first half of 2008 compared to pro forma revenues for the first half of 2007 is primarily due to an increase in the number of transactions processed. For the first half of 2008, money transfers to Mexico, which represented 33% of total money transfers, decreased by 8% while transfers to all other countries increased 20% when compared to the first half of 2007. The increase in transfers to countries other than Mexico is due to the expansion of our operations and continued growth in immigrant worker populations in countries other than the U.S. The decline in transfers to Mexico was largely the result of immigration issues, downturns in certain labor markets and other economic factors impacting the U.S. market. These issues have also resulted in certain competitors lowering transaction fees and foreign currency exchange spreads in certain markets in an attempt to limit the impact on money transfer volumes. We have generally maintained our pricing structure in response to these developments and, as discussed further below, our gross margin for the second quarter 2008 in the U.S. is approximately the same as the prior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that originate money transfers on our behalf and distribution agents that disburse funds to the customers’ destination beneficiary. Other less significant direct costs include telecommunication and bank fees to collect money from originating agents. Direct operating costs generally increase or decrease by a similar percentage as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Gross margin, which represents revenues less direct costs, was $29.3 million for the second quarter and $55.2 million for the first half of 2008 compared to pro forma gross margin of $24.1 million for the second quarter and $44.5 million for the first half of 2007. The improvements are primarily due to the growth in money transfer transactions and revenues discussed above. In the U.S., despite the decrease in money transfer volume to Mexico, gross margin has remained about the same as it was in the prior year. We have not engaged in the competitive price wars in our industry that some of our competitors have initiated, choosing instead to defend our pricing structure and service levels and maintaining a more profitable customer base. We cannot predict how long these issues will continue to impact the U.S. market and we cannot predict whether we will change our strategy over the short or long term in order to protect or increase market share. Pro forma gross margin as a percentage of revenues was 49% for the second quarter and first half of 2008 compared to 47% for the second quarter and 46% for the first half of 2007. This improvement primarily reflects the strong growth in transaction volume in our more profitable non-U.S. locations.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The increase in pro forma salaries and benefits for the first half of 2008 compared to pro forma salaries and benefits expense for the first half of 2007 is primarily due to merit increases and additional costs to support our global expansion efforts, primarily the opening of Company-owned stores in Germany, France, Spain and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Selling, general and administrative expenses include operations support costs, such as rent, utilities, professional fees, indirect telecommunications, advertising and other miscellaneous overhead costs. The increase in selling, general and administrative expenses for the first half of 2008 compared to pro forma selling, general and administrative expenses for the first half of 2007 is primarily to support our global expansion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Depreciation and amortization primarily represents amortization of acquired intangibles and also includes depreciation of money transfer terminals, computers and software, leasehold improvements and office equipment. The increase in pro forma depreciation and amortization for the first half of 2008 compared to the first half of 2007 is primarily due to additional computer equipment in our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customer service centers and increased leasehold improvements, office equipment and computer equipment for expansion of our company stores.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improvement in operating income for the second quarter 2008 compared to the second quarter 2007 is mainly due to the exit costs of $0.9 million incurred in combining our previous money transfer business with RIA. The increase in operating income for the first half of 2008 compared to pro forma operating income for the first half of 2007 is the result of losses incurred by our previous money transfer company and the increased revenues as discussed in more detail above, partly offset by additional costs incurred to support our global expansion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six-month periods ended June 30, 2008 and 2007 for Corporate Services: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4"/>
              </w:rPr>
              <w:t>Increase</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621</w:t>
            </w:r>
          </w:p>
        </w:tc>
        <w:tc>
          <w:tcPr>
            <w:tcW w:w="66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8"/>
              </w:rPr>
              <w:t>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2,382</w:t>
            </w:r>
          </w:p>
        </w:tc>
        <w:tc>
          <w:tcPr>
            <w:tcW w:w="6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4"/>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1,404</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287</w:t>
            </w:r>
          </w:p>
        </w:tc>
        <w:tc>
          <w:tcPr>
            <w:tcW w:w="660" w:type="dxa"/>
            <w:vAlign w:val="bottom"/>
          </w:tcPr>
          <w:p>
            <w:pPr>
              <w:jc w:val="center"/>
              <w:ind w:left="17"/>
              <w:spacing w:after="0"/>
              <w:rPr>
                <w:sz w:val="20"/>
                <w:szCs w:val="20"/>
                <w:color w:val="auto"/>
              </w:rPr>
            </w:pPr>
            <w:r>
              <w:rPr>
                <w:rFonts w:ascii="Arial" w:cs="Arial" w:eastAsia="Arial" w:hAnsi="Arial"/>
                <w:sz w:val="18"/>
                <w:szCs w:val="18"/>
                <w:color w:val="auto"/>
                <w:w w:val="88"/>
              </w:rPr>
              <w:t>26%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5,848</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3,821</w:t>
            </w:r>
          </w:p>
        </w:tc>
        <w:tc>
          <w:tcPr>
            <w:tcW w:w="680" w:type="dxa"/>
            <w:vAlign w:val="bottom"/>
          </w:tcPr>
          <w:p>
            <w:pPr>
              <w:jc w:val="center"/>
              <w:ind w:left="17"/>
              <w:spacing w:after="0"/>
              <w:rPr>
                <w:sz w:val="20"/>
                <w:szCs w:val="20"/>
                <w:color w:val="auto"/>
              </w:rPr>
            </w:pPr>
            <w:r>
              <w:rPr>
                <w:rFonts w:ascii="Arial" w:cs="Arial" w:eastAsia="Arial" w:hAnsi="Arial"/>
                <w:sz w:val="18"/>
                <w:szCs w:val="18"/>
                <w:color w:val="auto"/>
                <w:w w:val="91"/>
              </w:rPr>
              <w:t>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w:t>
            </w:r>
          </w:p>
        </w:tc>
        <w:tc>
          <w:tcPr>
            <w:tcW w:w="66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1"/>
              </w:rPr>
              <w:t>416%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488</w:t>
            </w:r>
          </w:p>
        </w:tc>
        <w:tc>
          <w:tcPr>
            <w:tcW w:w="6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1"/>
              </w:rPr>
              <w:t>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5,719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4,557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1,162</w:t>
            </w:r>
          </w:p>
        </w:tc>
        <w:tc>
          <w:tcPr>
            <w:tcW w:w="660" w:type="dxa"/>
            <w:vAlign w:val="bottom"/>
          </w:tcPr>
          <w:p>
            <w:pPr>
              <w:jc w:val="center"/>
              <w:ind w:left="17"/>
              <w:spacing w:after="0"/>
              <w:rPr>
                <w:sz w:val="20"/>
                <w:szCs w:val="20"/>
                <w:color w:val="auto"/>
              </w:rPr>
            </w:pPr>
            <w:r>
              <w:rPr>
                <w:rFonts w:ascii="Arial" w:cs="Arial" w:eastAsia="Arial" w:hAnsi="Arial"/>
                <w:sz w:val="18"/>
                <w:szCs w:val="18"/>
                <w:color w:val="auto"/>
                <w:w w:val="88"/>
              </w:rPr>
              <w:t>25%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14,918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8,227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6,691</w:t>
            </w:r>
          </w:p>
        </w:tc>
        <w:tc>
          <w:tcPr>
            <w:tcW w:w="680" w:type="dxa"/>
            <w:vAlign w:val="bottom"/>
          </w:tcPr>
          <w:p>
            <w:pPr>
              <w:jc w:val="center"/>
              <w:ind w:left="17"/>
              <w:spacing w:after="0"/>
              <w:rPr>
                <w:sz w:val="20"/>
                <w:szCs w:val="20"/>
                <w:color w:val="auto"/>
              </w:rPr>
            </w:pPr>
            <w:r>
              <w:rPr>
                <w:rFonts w:ascii="Arial" w:cs="Arial" w:eastAsia="Arial" w:hAnsi="Arial"/>
                <w:sz w:val="18"/>
                <w:szCs w:val="18"/>
                <w:color w:val="auto"/>
                <w:w w:val="94"/>
              </w:rPr>
              <w:t>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Operating expenses for Corporate Services increased substantially for the first half of 2008 compared to the first half of 2007. The increase in salaries and benefits is primarily the result of severance costs related to certain senior level positions and increased share-based compensation related to awards made to new employees, including those in the Money Transfer Segment. The increase in selling, general and administrative expenses was due primarily to the write-off of $3.0 million in professional fees and settlement costs associated with our potential acquisition of MoneyGram. The increase in corporate depreciation and amortization is the result of amortization associated with the third quarter 2007 purchase of an enterprise-wide desk-top license.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80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4"/>
              </w:rPr>
              <w:t>Increase</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(Decrease)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(1,997)</w:t>
            </w:r>
          </w:p>
        </w:tc>
        <w:tc>
          <w:tcPr>
            <w:tcW w:w="7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1"/>
              </w:rPr>
              <w:t>(49%)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(2,517)</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1,732</w:t>
            </w:r>
          </w:p>
        </w:tc>
        <w:tc>
          <w:tcPr>
            <w:tcW w:w="780" w:type="dxa"/>
            <w:vAlign w:val="bottom"/>
          </w:tcPr>
          <w:p>
            <w:pPr>
              <w:jc w:val="center"/>
              <w:ind w:left="16"/>
              <w:spacing w:after="0"/>
              <w:rPr>
                <w:sz w:val="20"/>
                <w:szCs w:val="20"/>
                <w:color w:val="auto"/>
              </w:rPr>
            </w:pPr>
            <w:r>
              <w:rPr>
                <w:rFonts w:ascii="Arial" w:cs="Arial" w:eastAsia="Arial" w:hAnsi="Arial"/>
                <w:sz w:val="18"/>
                <w:szCs w:val="18"/>
                <w:color w:val="auto"/>
                <w:w w:val="91"/>
              </w:rPr>
              <w:t>(22%)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(12,893)</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(11,301)</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(1,592)</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unconsolidated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1"/>
              </w:rPr>
              <w:t>(63%)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w w:val="92"/>
              </w:rPr>
              <w:t>Impairment loss on investment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securities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(1,258)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(1,258)</w:t>
            </w:r>
          </w:p>
        </w:tc>
        <w:tc>
          <w:tcPr>
            <w:tcW w:w="780" w:type="dxa"/>
            <w:vAlign w:val="bottom"/>
          </w:tcPr>
          <w:p>
            <w:pPr>
              <w:jc w:val="center"/>
              <w:ind w:left="16"/>
              <w:spacing w:after="0"/>
              <w:rPr>
                <w:sz w:val="20"/>
                <w:szCs w:val="20"/>
                <w:color w:val="auto"/>
              </w:rPr>
            </w:pPr>
            <w:r>
              <w:rPr>
                <w:rFonts w:ascii="Arial" w:cs="Arial" w:eastAsia="Arial" w:hAnsi="Arial"/>
                <w:sz w:val="18"/>
                <w:szCs w:val="18"/>
                <w:color w:val="auto"/>
                <w:w w:val="93"/>
              </w:rPr>
              <w:t>n/m</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(18,760)</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(18,760)</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on early retirement of</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7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3"/>
              </w:rPr>
              <w:t>n/m</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 exchange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gain (loss), net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(1,719)</w:t>
            </w:r>
          </w:p>
        </w:tc>
        <w:tc>
          <w:tcPr>
            <w:tcW w:w="780" w:type="dxa"/>
            <w:vAlign w:val="bottom"/>
          </w:tcPr>
          <w:p>
            <w:pPr>
              <w:jc w:val="center"/>
              <w:ind w:left="16"/>
              <w:spacing w:after="0"/>
              <w:rPr>
                <w:sz w:val="20"/>
                <w:szCs w:val="20"/>
                <w:color w:val="auto"/>
              </w:rPr>
            </w:pPr>
            <w:r>
              <w:rPr>
                <w:rFonts w:ascii="Arial" w:cs="Arial" w:eastAsia="Arial" w:hAnsi="Arial"/>
                <w:sz w:val="18"/>
                <w:szCs w:val="18"/>
                <w:color w:val="auto"/>
                <w:w w:val="93"/>
              </w:rPr>
              <w:t>n/m</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12,699</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10,920</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 net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(3,731)</w:t>
            </w:r>
          </w:p>
        </w:tc>
        <w:tc>
          <w:tcPr>
            <w:tcW w:w="7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3"/>
              </w:rPr>
              <w:t>n/m</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(12,819)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(12,590)</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decrease in interest income for the second quarter and first half of 2008 from the second quarter and first half of 2007 was primarily due to a decline in short-term interest rates and a decrease in average cash balances on hand during the respective periods. Partly offsetting this decrease was the recognition of $1.2 million in the first quarter 2008 for interest related to a federal excise tax refund.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interest expense for the first half of 2008 over the first half of 2007 was primarily related to the additional borrowings to finance the April 2007 acquisition of RIA. The decrease in interest expense for the second quarter 2008 over the second quarter 2007 was primarily related to the reductions in those borrowings from scheduled and early repayments. We also incurred additional borrowings under the revolving credit facility to finance the working capital requirements of the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Income from unconsolidated affiliates mainly represents the equity in income of our 40% equity investment in e-pay Malaysia which remained relatively flat for the first half of 2008 compared to the first half of 2007. The decrease in the second quarter 2008 compared to the second quarter 2007 is due to the $0.4 million gain recognized from the sale of our 8% interest in CashNet Telecommunications Egypt SAE during the second quarter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 on investment securities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first half of 2008, the value of our investment in MoneyGram declined and the decline was determined to be other than temporary. Accordingly, we recognized an $18.8 million impairment loss, of which $17.5 million was recognized in the first quarter and another $1.3 million in the second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Loss on early retirement of debt of $0.1 million and $0.2 million for the second quarter and first half of 2008, respectively, represents the pro-rata write-off of deferred financing costs associated with the portions of the $190 million term loan that were prepaid during the first half of 2008. We expect to continue to prepay amounts outstanding under the term loan through available cash flows and, accordingly, recognize losses on early retirement of debt for the pro-rata portion of unamortized deferred financing costs.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Net foreign currency exchange gain (loss)</w:t>
      </w:r>
    </w:p>
    <w:p>
      <w:pPr>
        <w:spacing w:after="0" w:line="117"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We recorded a net foreign currency exchange loss of $0.4 million in the second quarter 2008 and a gain of $12.7 million in the first half of 2008 compared to gains of</w:t>
      </w:r>
    </w:p>
    <w:p>
      <w:pPr>
        <w:ind w:right="60"/>
        <w:spacing w:after="0" w:line="254" w:lineRule="auto"/>
        <w:rPr>
          <w:sz w:val="20"/>
          <w:szCs w:val="20"/>
          <w:color w:val="auto"/>
        </w:rPr>
      </w:pPr>
      <w:r>
        <w:rPr>
          <w:rFonts w:ascii="Arial" w:cs="Arial" w:eastAsia="Arial" w:hAnsi="Arial"/>
          <w:sz w:val="18"/>
          <w:szCs w:val="18"/>
          <w:color w:val="auto"/>
        </w:rPr>
        <w:t>$1.3 million and $1.8 million in the second quarter and first half of 2007, respectively. The foreign currency exchange gains and losses recorded are a result of the impact of fluctuations in foreign currency exchange rates on the recorded value of these assets and liabilities. Throughout 2007 and into the first half of 2008, the U.S. dollar weakened against most European-based currencies, primarily the euro and British pound, creating realized and unrealized foreign currency exchange gains.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Our effective tax rate for continuing operations, after consideration of minority interest, was 26.0% and 36.4% for the three-month periods ended June 30, 2008 and 2007, respectively, and was 86.3% and 33.2% for the six-month periods ended June 30, 2008 and 2007, respectively.</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income for the three- and six-month periods ended June 30, 2008 reflects unrealized capital losses of $1.3 million and $18.8 million, respectively, recorded in connection with our investment in MoneyGram. Associated tax benefits were not recorded for the losses because of the uncertainty surrounding our future ability to have offsetting capital gains. Excluding the impact of these unrealized capital losses, our effective tax rate was 23.4% for the three-month period ended June 30, 2008 and 40.3% for the six-month period ended June 30, 2008.</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the tax treatment of the capital losses, the year-over-year fluctuations in the tax rates for the three- and six-month periods primarily relate to differences in accounting for income taxes at our U.S. operations. During the three- and six-month periods ended June 30, 2007, we had a valuation allowance against our net deferred tax assets and, therefore, the tax effect of operating income or expense, interest income on loans to our foreign subsidiaries and foreign currency gains recognized by our U.S. group were recorded as an adjustment to the valuation allowance rather than tax expense. Due to the recognition of significant foreign currency gains, and a $12.2 million federal excise tax refund recorded during the fourth quarter 2007, the valuation allowance against our U.S. net deferred tax assets was fully utilized. Consequently, for the three- and six-month periods ended June 30, 2008, we fully provided for the tax effect of income and expense generated by our U.S. operations.</w:t>
      </w:r>
    </w:p>
    <w:p>
      <w:pPr>
        <w:spacing w:after="0" w:line="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significant increase in the effective tax rate for the six months ended June 30, 2008 when compared to the six months ended June 30, 2007, is largely attributable to the recognition of deferred tax expense on foreign currency gains recognized by our U.S. operations during 2008. Additionally, certain foreign currency losses recognized for financial reporting purposes have been treated as permanent differences and, therefore, a tax benefit has not been recorded.</w:t>
      </w:r>
    </w:p>
    <w:p>
      <w:pPr>
        <w:spacing w:after="0" w:line="3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decrease in the effective tax rate for the three months ended June 30, 2008 when compared to the three months ended June 30, 2007 is attributable to the recognition of tax benefits resulting from the successful resolution of tax audits and tax impact of the reduced foreign currency gains for the six months ended June 30,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second quarter 2008, we decided to sell Essentis in order to narrow the focus of our investments and resources on our transaction processing businesses. We are in the process of locating a buyer and expect to complete a sale within one year. Accordingly, Essentis’s results of operations are shown as discontinued operations in the Consolidated Statements of Income and Comprehensive Income for all periods presented.</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July 2002, we sold substantially all of the non-current assets and related capital lease obligations of our ATM processing business in France to Atos S.A. During the first quarter 2007, we received a binding French Supreme Court decision relating to a lawsuit in France that resulted in a cash recovery and gain of $0.3 million, net of legal costs. There were no related assets or liabilities held for sale at June 30, 2008 or December 31,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recorded net income of $7.8 million for the second quarter and $1.0 million for the first half of 2008 compared to net income of $8.5 million for the second quarter and $18.0 million for the first half of 2007. As more fully discussed above, the decrease of $17.0 million for the first half of 2008 as compared to the same period in 2007 was primarily the result of the $18.8 million first half 2008 unrealized loss on investment securities. Additionally, income tax expense increased $5.6 million, net interest expense increased $4.1 million, net income from discontinued operations decreased $1.9 million and other items decreased net income by $0.9 million. These decreases to net income were partially offset by an increase in foreign currency gains of $10.9 million and an increase in operating income of $3.4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As of June 30, 2008, we had working capital, which is calculated as the difference between total current assets and total current liabilities, of $237.4 million, compared to working capital of $279.3 million as of December 31, 2007. Our ratio of current assets to current liabilities was 1.47 at June 30, 2008, compared to 1.53 as of December 31, 2007. The decrease in working capital was due primarily to the use of cash to reduce debt outstanding.</w:t>
      </w:r>
    </w:p>
    <w:p>
      <w:pPr>
        <w:spacing w:after="0" w:line="5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June 30, 2008, working capital in the Money Transfer Segment was $54.2 million. We expect that working capital needs will increase as we expand this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flows provided by operating activities were $57.7 million for the first half of 2008 compared to $1.0 million for the first half of 2007. The increase was primarily due to fluctuations in working capital associated with the timing of the settlement process with mobile operators in the Prepaid Processing Segment. While net income for the first half of 2008 was $17.0 million less than net income for the first half of 2007, when non-cash adjustments are added back there is a $6.1 million increase in cash flows in the first half of 2008 compared to the first half of 2007, reflecting the growth in our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flows provided by investing activities were $0.3 million for the first half of 2008, compared to cash flows used of $353.8 million for the first half of 2007. Our investing activities for the first half of 2008 consisted of the return of $26 million we placed in escrow in first quarter 2007 in connection with the agreement to acquire Envios de Valores La Nacional Corp. (“La Nacional”). On January 10, 2008, we entered into a settlement agreement with La Nacional and its stockholder evidencing the parties’ mutual agreement not to consummate the acquisition, in exchange for payment by Euronet of a portion of the legal fees incurred by La Nacional. Our investing activities also include $21.2 million and $12.2 million for purchases of property and equipment in the first half of 2008 and 2007, respectively. While our acquisitions in the first half of 2008 used $3.5 million, we used $313.5 million in the first half of 2007, primarily for the acquisition of RIA. Finally, cash used for software development and other investing activities totaled $1.0 million and $2.2 million in the first half of 2008 and 2007,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used by financing activities were $74.3 million during the first half of 2008 compared to cash provided of $313.0 million during the first half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2007. Our financing activities for the first half of 2008 consisted primarily of net repayments of debt obligations of $74.8 million. To support the short-term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needs of our Money Transfer Segment, we generally borrow amounts under the revolving credit facility several times each month to fund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correspondent network in advance of collecting remittance amounts from the agency network. These borrowings are repaid over a very short period of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within a few days. Primarily as a result of this, during the first half of 2008 we had a total of $29.3 million in borrowings and $84.9 million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repayments under our revolving credit facility. Additionally, we paid $1.0 million of scheduled payments and $14.0 million of early payments on our 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loan in the first half of 2008 as well as $4.2 million of capital lease obligations. Our financing activities for the first half of 2007 consisted primarily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$190.0 million in proceeds from borrowings under our term loan agreement that were used to finance a portion of the acquisition of RIA and proceeds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equity private placement and stock option exercises totaling $163.5 million. Partly offsetting these increases were net repayments on debt obligations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$35.4 million, dividends paid to minority interest stockholders of $1.6 million and debt issuance costs associate with our syndicated credit facility of $3.8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To finance the acquisition of RIA in the second quarter 2007, we entered into a $290 million secured credit facility consisting of a</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 of the original balance each year, with the remaining balance payable after seven years. We estimate that we will be able to repay the $190 million term loan prior to its maturity date through cash flows available from operations, provided our operating cash flows are not required for future business developments. Financing costs of $4.8 million have been deferred and are being amortized over the terms of the respective loans.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8" w:name="page29"/>
    <w:bookmarkEnd w:id="28"/>
    <w:p>
      <w:pPr>
        <w:ind w:right="60"/>
        <w:spacing w:after="0" w:line="272" w:lineRule="auto"/>
        <w:rPr>
          <w:sz w:val="20"/>
          <w:szCs w:val="20"/>
          <w:color w:val="auto"/>
        </w:rPr>
      </w:pPr>
      <w:r>
        <w:rPr>
          <w:rFonts w:ascii="Arial" w:cs="Arial" w:eastAsia="Arial" w:hAnsi="Arial"/>
          <w:sz w:val="17"/>
          <w:szCs w:val="17"/>
          <w:color w:val="auto"/>
        </w:rPr>
        <w:t>During April 2008, we entered into an amendment to the Credit Facility to, among other items, (i) change the definition of one of the financial covenants in the original agreement to exclude the effect of certain one-time expenses and (ii) allow for the repurchase of up to $70 million of the $140 million in Convertible Senior Debentures Due 2024 that are currently outstanding. In July 2008, our Board of Directors authorized the repurchase of up to $40 million of these debentures, from time to time, in open market or privately negotiated purchases. None of the debentures have been repurchased to date. The decision on when and the extent to which, if any, this authorization will be utilized will depend on market conditions and other financial considerations to be determined in management’s discretion. Additionally, we incurred costs of $0.6 million in connection with the amendment, which will be recognized as additional interest expense over the remaining 48 month term of the Credit Facility.</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$100 million five-year revolving credit facility bears interest at LIBOR or prime plus a margin that adjusts each quarter based upon our consolidated total debt to earnings before interest, taxes, depreciation and amortization (“EBITDA”) ratio.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6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The Credit Facility contains three financial covenants that become more restrictive through September 30, 2008: (1) total debt to EBITDA ratio, (2) senior secured debt to EBITDA ratio and (3) EBITDA to fixed charge coverage ratio. Because of the change to these covenants over time, in order to remain in compliance with our debt covenants we will be required to increase our EBITDA, repay debt, or both. These and other material terms and conditions applicable to the Credit Facility are described in the agreement governing the Credit Facility.</w:t>
      </w:r>
    </w:p>
    <w:p>
      <w:pPr>
        <w:spacing w:after="0" w:line="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pro-forma debt covenant compliance.</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of June 30, 2008, after making required repayments on the term loan of $2.4 million and voluntary prepayments of $38.6 million, we had borrowings of $149.0 million outstanding against the term loan. We had borrowings of $7.4 million and stand-by letters of credit of $19.8 million outstanding against the revolving credit facility. The remaining $72.8 million under the revolving credit facility ($97.8 million if the facility were increased to $125 million) was available for borrowing. Borrowings under the revolving credit facility are being used to fund short-term working capital requirements in the U.S. and India. Our weighted average interest rate under the revolving credit facility as of June 30, 2008 was 9.8%.</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June 30, 2008 consist only of the $1.9 million annual repayment requirement under the term loan. Certain of our subsidiaries also have available credit lines and overdraft facilities to supplement short-term working capital requirements, when necessary. As of June 30, 2008, there were no borrowings outstanding against any of these facilities.</w:t>
      </w:r>
    </w:p>
    <w:p>
      <w:pPr>
        <w:spacing w:after="0" w:line="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believe that the short-term debt obligations can be refinanced on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also have $140 million in principal amount of 1.625% Convertible Senior Debentures Due 2024 that are convertible into 4.2 million shares of Euronet Common Stock at a conversion price of $33.63 per share upon the occurrence of certain events (relating to the closing prices of Euronet Common Stock exceeding certain thresholds for specified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These terms and other material terms and conditions applicable to the convertible debentures are set forth in the indenture agreements governing these debentures.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As partial consideration for the acquisition of RIA, we granted the sellers of RIA 3,685,098 contingent value rights (“CVRs”) and 3,685,098 stock appreciation rights (“SARs”). The 3,685,098 CVRs mature on October 1, 2008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line="272" w:lineRule="auto"/>
        <w:rPr>
          <w:sz w:val="20"/>
          <w:szCs w:val="20"/>
          <w:color w:val="auto"/>
        </w:rPr>
      </w:pPr>
      <w:r>
        <w:rPr>
          <w:rFonts w:ascii="Arial" w:cs="Arial" w:eastAsia="Arial" w:hAnsi="Arial"/>
          <w:sz w:val="17"/>
          <w:szCs w:val="17"/>
          <w:color w:val="auto"/>
        </w:rPr>
        <w:t>will result in the issuance of up to $20 million of additional shares of Euronet Common Stock or payment of additional cash, at our option, if the price of Euronet Common Stock is less than $32.56 on the maturity date. The 3,685,098 SARs entitle the sellers to acquire additional shares of Euronet Common Stock at an exercise price of $27.14 at any time through October 1, 2008. Combined, the CVRs and SARs, the sellers are entitled to additional consideration of at least $20 million in Euronet Common Stock or cash. The SARS also provide potential additional value to the sellers for situations in which Euronet Common Stock appreciates beyond $32.56 per share prior to October 1, 2008, which is to be settled through the issuance of additional shares of Euronet Common Stock. On July 31, 2008, the closing price of Euronet Common Stock was $16.00. These and other terms and conditions applicable to the CVRs and SARs are set forth in the agreements governing these instruments.</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potential contingent obligations to the former owner of the net assets of Movilcarga. Based upon presently available information, we do not believe any additional payments will be required. The seller has disputed this conclusion and has initiated arbitration as provided for in the purchase agreement. A global public accounting firm has been engaged as an independent expert to review the results of the computation. Any additional payments, if ultimately determined to be owed the seller, will be recorded as additional goodwill and could be made in either cash of a combination of cash and Euronet Common Stock at our option.</w:t>
      </w:r>
    </w:p>
    <w:p>
      <w:pPr>
        <w:spacing w:after="0" w:line="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w:t>
      </w:r>
    </w:p>
    <w:p>
      <w:pPr>
        <w:spacing w:after="0" w:line="7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half of 2008 were $24.0 million. These capital expenditures were primarily for the purchase of ATMs to meet contractual requirements in Poland, India and China, the purchase and installation of ATMs in key under-penetrated markets, the purchase of POS terminals for the Prepaid Processing and Money Transfer Segments, and office, data center and company store computer equipment and software, including capital expenditures for the purchase and development of the necessary processing systems and capabilities to enter the cross-border merchant processing and acquiring business. Total capital expenditures for 2008 are estimated to be approximately $45 million to $55 million.</w:t>
      </w:r>
    </w:p>
    <w:p>
      <w:pPr>
        <w:spacing w:after="0" w:line="5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Prepaid Processing Segment, approximately 96,000 of the approximately 397,000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other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u w:val="single" w:color="auto"/>
          <w:color w:val="auto"/>
        </w:rPr>
        <w:t>Cross border merchant processing and acquiring</w:t>
      </w:r>
      <w:r>
        <w:rPr>
          <w:rFonts w:ascii="Arial" w:cs="Arial" w:eastAsia="Arial" w:hAnsi="Arial"/>
          <w:sz w:val="16"/>
          <w:szCs w:val="16"/>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$8.1 million, to the ongoing investment in development of the necessary processing systems and capabilities to enter this business, which involves the purchase and design of hardware and software. The cross-border merchant processing and acquiring business involves processing credit and debit card transactions that are made on POS terminals, including authorization, settlement, and processing of settlement files. It involves the assumption of credit risk, as the principal amount of transactions will be settled to merchants before settlements are received from card associations. We expect to incur approximately $5.5 million to $6.0 million in operating losses related to this product for the full year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regularly grant guarantees of the obligations of our wholly-owned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2008, there were no material changes from the disclosure in our Annual Report 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spacing w:after="0" w:line="308" w:lineRule="auto"/>
        <w:rPr>
          <w:sz w:val="20"/>
          <w:szCs w:val="20"/>
          <w:color w:val="auto"/>
        </w:rPr>
      </w:pPr>
      <w:r>
        <w:rPr>
          <w:rFonts w:ascii="Arial" w:cs="Arial" w:eastAsia="Arial" w:hAnsi="Arial"/>
          <w:sz w:val="17"/>
          <w:szCs w:val="17"/>
          <w:color w:val="auto"/>
        </w:rPr>
        <w:t>Form 10-K for the year ended December 31, 2007. To date, we are not aware of any significant claims made by the indemnified parties or parties to whom we have provided guarantees on behalf of our subsidiaries and, accordingly, no liabilities have been recorded as of June 30,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30, 2008, the only material change from the disclosure relating to contractual obligations contained in our Annual Report on Form 10-K for the year ended December 31, 2007, is the net repayment of $70.6 million of principal on long-term debt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2008, the Financial Accounting Standards Board (“FASB”) issued FASB Staff Position (“FSP”) APB 14-1, “Accounting for Convertible Instruments That May Be Settled in Cash upon Conversion (Including Partial Cash Settlement).” FSP APB 14-1 requires the proceeds from the issuance of such convertible debt instruments to be allocated between debt and equity components so that debt is discounted to reflect the Company’s nonconvertible debt borrowing rate. The debt discount is amortized over the period the convertible debt is expected to be outstanding as additional non-cash interest expense. The change in accounting treatment is effective for fiscal years beginning after December 15, 2008 and applies retrospectively to prior periods. FSP APB 14-1 will impact the accounting associated with the Company’s $140 million convertible senior debentures and its $175 million convertible debentures. The new accounting treatment will require Euronet to retrospectively record a significant amount of non-cash interest as the discount on the debt is amortized. The Company is in the process of quantifying the effect the adoption of FSP APB 14-1 will have on its consolidated financial statements.</w:t>
      </w:r>
    </w:p>
    <w:p>
      <w:pPr>
        <w:spacing w:after="0" w:line="5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March 2008, the FASB issued Statement of Financial Accounting Standards (“SFAS”) No. 161, “Disclosures about Derivative Instruments and Hedging Activities,” which requires enhanced disclosures about an entity’s derivative and hedging activities, including: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 This Statement encourages, but does not require, comparative disclosures for earlier periods at initial adoption. We are still evaluating the impact of the adoption of SFAS No. 161; however, the impact is not expected to be material.</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This FSP is effective for financial statements issued for fiscal years beginning after December 15, 2008, and the guidance for determining the useful life of a recognized intangible asset must be applied prospectively to intangible assets acquired after the effective date. We are evaluating the impact the adoption of FSP FAS 142-3 will have on our consolidated financial statements; however, the impact is not expected to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t>to, those referred to above and as set forth and more fully described in Part I, Item 1A – Risk Factors of our Annual Report on Form 10-K for the year ended December 31, 2007.</w:t>
      </w:r>
    </w:p>
    <w:p>
      <w:pPr>
        <w:spacing w:after="0" w:line="166"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200"/>
        <w:spacing w:after="0" w:line="291" w:lineRule="auto"/>
        <w:rPr>
          <w:sz w:val="20"/>
          <w:szCs w:val="20"/>
          <w:color w:val="auto"/>
        </w:rPr>
      </w:pPr>
      <w:r>
        <w:rPr>
          <w:rFonts w:ascii="Arial" w:cs="Arial" w:eastAsia="Arial" w:hAnsi="Arial"/>
          <w:sz w:val="16"/>
          <w:szCs w:val="16"/>
          <w:color w:val="auto"/>
        </w:rPr>
        <w:t>As of June 30, 2008, our total debt outstanding was $487.1 million. Of this amount, $315 million, or 65% of our total debt obligations, relates to contingent convertible debentures having fixed coupon rates. Our $175 million contingent convertible debentures, issued in October 2005, accrue interest at a rate of</w:t>
      </w:r>
    </w:p>
    <w:p>
      <w:pPr>
        <w:ind w:right="340"/>
        <w:spacing w:after="0" w:line="255" w:lineRule="auto"/>
        <w:rPr>
          <w:sz w:val="20"/>
          <w:szCs w:val="20"/>
          <w:color w:val="auto"/>
        </w:rPr>
      </w:pPr>
      <w:r>
        <w:rPr>
          <w:rFonts w:ascii="Arial" w:cs="Arial" w:eastAsia="Arial" w:hAnsi="Arial"/>
          <w:sz w:val="18"/>
          <w:szCs w:val="18"/>
          <w:color w:val="auto"/>
        </w:rPr>
        <w:t>3.50% per annum. The $140 million contingent convertible debentures, issued in December 2004 accrue interest at a rate of 1.625% per annum. Based on quoted market prices, as of June 30, 2008, the fair value of our fixed rate convertible debentures was $275 million, compared to a carrying value of $315 million.</w:t>
      </w:r>
    </w:p>
    <w:p>
      <w:pPr>
        <w:spacing w:after="0" w:line="8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Through the use of interest rate swap agreements covering the period from June 1, 2007 to May 29, 2009, $50.0 million of our variable rate term debt has been effectively converted to a fixed rate of 7.3%. As of June 30, 2008, the unrealized loss on the interest rate swap agreements was $1.0 million. Interest expense, including amortization of deferred debt issuance costs, for our total $365 million in fixed rate debt totals approximately $13.8 million per year, or a weighted average interest rate of 3.8% annually. Additionally, approximately $15.6 million, or 3% of our total debt obligations, relate to capitalized leases with fixed payment and interest terms that expire between 2008 and 2013.</w:t>
      </w:r>
    </w:p>
    <w:p>
      <w:pPr>
        <w:spacing w:after="0" w:line="6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remaining $106.5 million, or 22%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annual interest expense to the Company of approximately $2.0 million. This computation excludes the $50.0 million relating to the interest rate swap discussed above and the potential $150.0 million in potential expanded term loan because of the limited circumstances under which the additional amounts would be available to us for borrowing.</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first half of 2008, 75% of our revenues were generated in non-U.S. dollar countries compared to 76% for the first half of 2007. The slight decrease in the percentage of revenues from non-U.S. dollar countries, compared to the prior year is due primarily to the second quarter 2007 acquisition of RIA, as well as increased revenues of our U.S.-based Prepaid Processing Segment operations. We expect to continue generating a significant portion of our revenues in countries with currencies other than the U.S. dollar.</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As of June 30, 2008, we estimate that a 10% fluctuation in these foreign currency exchange rates would have the combined annualized effect on reported net income and working capital of approximately $30 million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$70 million to $80 million as a result of the change in value of these items during translation to the U.S. dollar. For the fluctuations described above, a strengthening U.S. dollar produces a financial lo 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have been positively impacted by the weakening of the U.S. dollar. Additionally, our debt obligations are primarily in U.S. dollars, therefore, as foreign currency exchange rates fluctuate, the amount available for repayment of debt will also increase or decrease.</w:t>
      </w:r>
    </w:p>
    <w:p>
      <w:pPr>
        <w:spacing w:after="0" w:line="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June 30, 2008, we had foreign currency forward contracts outstanding with a notional value of $48.9 million, primarily in euros that were not designated as hedges and mature in a weighted average of five days. The fair value of these forward contracts as of June 30, 2008 was an unrealized loss of approximately $0.1 million, which was partially offset by the unrealized gain on the related foreign currency receivables.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2008.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half of 2008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2007,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w:t>
      </w:r>
    </w:p>
    <w:p>
      <w:pPr>
        <w:spacing w:after="0" w:line="63"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i w:val="1"/>
          <w:iCs w:val="1"/>
          <w:color w:val="auto"/>
        </w:rPr>
        <w:t>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w:t>
      </w:r>
    </w:p>
    <w:p>
      <w:pPr>
        <w:spacing w:after="0" w:line="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2007, as filed with the SEC.</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Competition in our EFT Segment has increased over the last several years, increasing the risk that certain of our long-term bank outsourcing contracts may be terminated or not renewed upon expiration.</w:t>
      </w:r>
    </w:p>
    <w:p>
      <w:pPr>
        <w:spacing w:after="0" w:line="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as previously reported, in certain cases we have reduced fees to extend contracts beyond their original terms.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3" w:name="page34"/>
    <w:bookmarkEnd w:id="33"/>
    <w:p>
      <w:pPr>
        <w:ind w:right="432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i w:val="1"/>
          <w:iCs w:val="1"/>
          <w:color w:val="auto"/>
        </w:rPr>
        <w:t>Stock repurchases</w:t>
      </w:r>
    </w:p>
    <w:p>
      <w:pPr>
        <w:ind w:right="80"/>
        <w:spacing w:after="0" w:line="286" w:lineRule="auto"/>
        <w:rPr>
          <w:sz w:val="20"/>
          <w:szCs w:val="20"/>
          <w:color w:val="auto"/>
        </w:rPr>
      </w:pPr>
      <w:r>
        <w:rPr>
          <w:rFonts w:ascii="Arial" w:cs="Arial" w:eastAsia="Arial" w:hAnsi="Arial"/>
          <w:sz w:val="17"/>
          <w:szCs w:val="17"/>
          <w:color w:val="auto"/>
        </w:rPr>
        <w:t>For the three months ended June 30, 2008, the Company purchased, in accordance with the 2006 Stock Incentive Plan (Amended and Restated), 1,752 shares of its Common Stock for participant income tax withholding in conjunction with the lapse of restrictions on stock awards, as requested by the participants. The following table sets forth information with respect to those shares (all purchases occurred during May 2008):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spacing w:after="0"/>
              <w:rPr>
                <w:sz w:val="12"/>
                <w:szCs w:val="1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 Share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(1)</w:t>
            </w: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6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May 1 - May 31</w:t>
            </w:r>
          </w:p>
        </w:tc>
        <w:tc>
          <w:tcPr>
            <w:tcW w:w="5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17.50</w:t>
            </w:r>
          </w:p>
        </w:tc>
        <w:tc>
          <w:tcPr>
            <w:tcW w:w="62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80" w:type="dxa"/>
            <w:vAlign w:val="bottom"/>
          </w:tcPr>
          <w:p>
            <w:pPr>
              <w:ind w:left="220"/>
              <w:spacing w:after="0"/>
              <w:rPr>
                <w:sz w:val="20"/>
                <w:szCs w:val="20"/>
                <w:color w:val="auto"/>
              </w:rPr>
            </w:pPr>
            <w:r>
              <w:rPr>
                <w:rFonts w:ascii="Arial" w:cs="Arial" w:eastAsia="Arial" w:hAnsi="Arial"/>
                <w:sz w:val="18"/>
                <w:szCs w:val="18"/>
                <w:color w:val="auto"/>
              </w:rPr>
              <w:t>Total</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1,752</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17.50</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24"/>
                <w:szCs w:val="24"/>
                <w:color w:val="auto"/>
              </w:rPr>
            </w:pP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paid per share is the closing price of the shares on the vesting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held its Annual Meeting of Stockholders on May 20, 2008. A total of 39,341,783, or 80% of the Company’s shares of Common Stock were present or represented by proxy at the meeting. The two proposals presented below were approved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 Election of Directors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two director nominees, information with respect to whom was set forth in the Proxy Statement, were elected. The vote with respect to the election of these directors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Director</w:t>
            </w:r>
          </w:p>
        </w:tc>
        <w:tc>
          <w:tcPr>
            <w:tcW w:w="5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Voted in Favor</w:t>
            </w:r>
          </w:p>
        </w:tc>
        <w:tc>
          <w:tcPr>
            <w:tcW w:w="560" w:type="dxa"/>
            <w:vAlign w:val="bottom"/>
          </w:tcPr>
          <w:p>
            <w:pPr>
              <w:spacing w:after="0"/>
              <w:rPr>
                <w:sz w:val="14"/>
                <w:szCs w:val="1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Withheld</w:t>
            </w:r>
          </w:p>
        </w:tc>
      </w:tr>
      <w:tr>
        <w:trPr>
          <w:trHeight w:val="195"/>
        </w:trPr>
        <w:tc>
          <w:tcPr>
            <w:tcW w:w="8460" w:type="dxa"/>
            <w:vAlign w:val="bottom"/>
          </w:tcPr>
          <w:p>
            <w:pPr>
              <w:spacing w:after="0" w:line="195" w:lineRule="exact"/>
              <w:rPr>
                <w:sz w:val="20"/>
                <w:szCs w:val="20"/>
                <w:color w:val="auto"/>
              </w:rPr>
            </w:pPr>
            <w:r>
              <w:rPr>
                <w:rFonts w:ascii="Arial" w:cs="Arial" w:eastAsia="Arial" w:hAnsi="Arial"/>
                <w:sz w:val="18"/>
                <w:szCs w:val="18"/>
                <w:color w:val="auto"/>
              </w:rPr>
              <w:t>Dr. Andrzej Olechowski</w:t>
            </w:r>
          </w:p>
        </w:tc>
        <w:tc>
          <w:tcPr>
            <w:tcW w:w="56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0"/>
              </w:rPr>
              <w:t>38,908,393</w:t>
            </w:r>
          </w:p>
        </w:tc>
        <w:tc>
          <w:tcPr>
            <w:tcW w:w="560" w:type="dxa"/>
            <w:vAlign w:val="bottom"/>
          </w:tcPr>
          <w:p>
            <w:pPr>
              <w:spacing w:after="0"/>
              <w:rPr>
                <w:sz w:val="16"/>
                <w:szCs w:val="16"/>
                <w:color w:val="auto"/>
              </w:rPr>
            </w:pPr>
          </w:p>
        </w:tc>
        <w:tc>
          <w:tcPr>
            <w:tcW w:w="820" w:type="dxa"/>
            <w:vAlign w:val="bottom"/>
          </w:tcPr>
          <w:p>
            <w:pPr>
              <w:ind w:left="120"/>
              <w:spacing w:after="0" w:line="195" w:lineRule="exact"/>
              <w:rPr>
                <w:sz w:val="20"/>
                <w:szCs w:val="20"/>
                <w:color w:val="auto"/>
              </w:rPr>
            </w:pPr>
            <w:r>
              <w:rPr>
                <w:rFonts w:ascii="Arial" w:cs="Arial" w:eastAsia="Arial" w:hAnsi="Arial"/>
                <w:sz w:val="18"/>
                <w:szCs w:val="18"/>
                <w:color w:val="auto"/>
              </w:rPr>
              <w:t>433,390</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Eriberto R. Scocimara</w:t>
            </w:r>
          </w:p>
        </w:tc>
        <w:tc>
          <w:tcPr>
            <w:tcW w:w="15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38,408,856</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932,927</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 Ratification of the appointment of KPMG LLP as Euronet’s auditors for the year ending December 31,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KPMG LLP as Euronet’s auditors for the year ending December 31, 2008 was ratified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Abstain</w:t>
            </w:r>
          </w:p>
        </w:tc>
        <w:tc>
          <w:tcPr>
            <w:tcW w:w="58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Non-Vote</w:t>
            </w:r>
          </w:p>
        </w:tc>
      </w:tr>
      <w:tr>
        <w:trPr>
          <w:trHeight w:val="224"/>
        </w:trPr>
        <w:tc>
          <w:tcPr>
            <w:tcW w:w="2420" w:type="dxa"/>
            <w:vAlign w:val="bottom"/>
          </w:tcPr>
          <w:p>
            <w:pPr>
              <w:jc w:val="right"/>
              <w:ind w:right="719"/>
              <w:spacing w:after="0"/>
              <w:rPr>
                <w:sz w:val="20"/>
                <w:szCs w:val="20"/>
                <w:color w:val="auto"/>
              </w:rPr>
            </w:pPr>
            <w:r>
              <w:rPr>
                <w:rFonts w:ascii="Arial" w:cs="Arial" w:eastAsia="Arial" w:hAnsi="Arial"/>
                <w:sz w:val="18"/>
                <w:szCs w:val="18"/>
                <w:color w:val="auto"/>
              </w:rPr>
              <w:t>38,855,265</w:t>
            </w:r>
          </w:p>
        </w:tc>
        <w:tc>
          <w:tcPr>
            <w:tcW w:w="580" w:type="dxa"/>
            <w:vAlign w:val="bottom"/>
          </w:tcPr>
          <w:p>
            <w:pPr>
              <w:spacing w:after="0"/>
              <w:rPr>
                <w:sz w:val="19"/>
                <w:szCs w:val="19"/>
                <w:color w:val="auto"/>
              </w:rPr>
            </w:pPr>
          </w:p>
        </w:tc>
        <w:tc>
          <w:tcPr>
            <w:tcW w:w="2420" w:type="dxa"/>
            <w:vAlign w:val="bottom"/>
          </w:tcPr>
          <w:p>
            <w:pPr>
              <w:jc w:val="right"/>
              <w:ind w:right="839"/>
              <w:spacing w:after="0"/>
              <w:rPr>
                <w:sz w:val="20"/>
                <w:szCs w:val="20"/>
                <w:color w:val="auto"/>
              </w:rPr>
            </w:pPr>
            <w:r>
              <w:rPr>
                <w:rFonts w:ascii="Arial" w:cs="Arial" w:eastAsia="Arial" w:hAnsi="Arial"/>
                <w:sz w:val="18"/>
                <w:szCs w:val="18"/>
                <w:color w:val="auto"/>
              </w:rPr>
              <w:t>453,468</w:t>
            </w:r>
          </w:p>
        </w:tc>
        <w:tc>
          <w:tcPr>
            <w:tcW w:w="560" w:type="dxa"/>
            <w:vAlign w:val="bottom"/>
          </w:tcPr>
          <w:p>
            <w:pPr>
              <w:spacing w:after="0"/>
              <w:rPr>
                <w:sz w:val="19"/>
                <w:szCs w:val="19"/>
                <w:color w:val="auto"/>
              </w:rPr>
            </w:pPr>
          </w:p>
        </w:tc>
        <w:tc>
          <w:tcPr>
            <w:tcW w:w="2420" w:type="dxa"/>
            <w:vAlign w:val="bottom"/>
          </w:tcPr>
          <w:p>
            <w:pPr>
              <w:ind w:left="960"/>
              <w:spacing w:after="0"/>
              <w:rPr>
                <w:sz w:val="20"/>
                <w:szCs w:val="20"/>
                <w:color w:val="auto"/>
              </w:rPr>
            </w:pPr>
            <w:r>
              <w:rPr>
                <w:rFonts w:ascii="Arial" w:cs="Arial" w:eastAsia="Arial" w:hAnsi="Arial"/>
                <w:sz w:val="18"/>
                <w:szCs w:val="18"/>
                <w:color w:val="auto"/>
              </w:rPr>
              <w:t>33,050</w:t>
            </w:r>
          </w:p>
        </w:tc>
        <w:tc>
          <w:tcPr>
            <w:tcW w:w="58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77"/>
        </w:trPr>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920" w:right="20" w:hanging="651"/>
        <w:spacing w:after="0" w:line="259"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1 to the Credit Agreement dated April 23, 2008 (filed as Exhibit 10.1 to the Company’s Quarterly Report on Form 10-Q filed on May 9, 2008 and incorporated by reference herein)</w:t>
      </w:r>
    </w:p>
    <w:p>
      <w:pPr>
        <w:spacing w:after="0" w:line="186" w:lineRule="exact"/>
        <w:rPr>
          <w:sz w:val="20"/>
          <w:szCs w:val="20"/>
          <w:color w:val="auto"/>
        </w:rPr>
      </w:pPr>
    </w:p>
    <w:p>
      <w:pPr>
        <w:jc w:val="both"/>
        <w:ind w:left="920" w:right="380" w:hanging="651"/>
        <w:spacing w:after="0" w:line="264"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Employment Agreement executed in March 2008 and effective April 25, 2008 between Euronet Worldwide, Inc. and Miro Bergman, Executive Vice President and Chief Operations Officer, Prepaid Processing Segment (filed as Exhibit 10.2 to the Company’s Quarterly Report on Form 10-Q filed on May 9, 2008 and incorporated by reference herein)</w:t>
      </w:r>
    </w:p>
    <w:p>
      <w:pPr>
        <w:spacing w:after="0" w:line="181" w:lineRule="exact"/>
        <w:rPr>
          <w:sz w:val="20"/>
          <w:szCs w:val="20"/>
          <w:color w:val="auto"/>
        </w:rPr>
      </w:pPr>
    </w:p>
    <w:p>
      <w:pPr>
        <w:ind w:left="920" w:right="260" w:hanging="651"/>
        <w:spacing w:after="0" w:line="264"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Employment Agreement dated April 10, 2008 between Euronet Worldwide, Inc. and Michael J. Brown, Chairman and Chief Executive Officer (filed as Exhibit 10.3 to the Company’s Quarterly Report on Form 10-Q filed on May 9, 2008 and incorporated by reference herein)</w:t>
      </w:r>
    </w:p>
    <w:p>
      <w:pPr>
        <w:spacing w:after="0" w:line="181" w:lineRule="exact"/>
        <w:rPr>
          <w:sz w:val="20"/>
          <w:szCs w:val="20"/>
          <w:color w:val="auto"/>
        </w:rPr>
      </w:pPr>
    </w:p>
    <w:p>
      <w:pPr>
        <w:ind w:left="920" w:right="420" w:hanging="651"/>
        <w:spacing w:after="0" w:line="264"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Employment Agreement dated April 10, 2008 between Euronet Worldwide, Inc. and Rick L. Weller, Executive Vice President and Chief Financial Officer (filed as Exhibit 10.4 to the Company’s Quarterly Report on Form 10-Q filed on May 9, 2008 and incorporated by reference herein)</w:t>
      </w:r>
    </w:p>
    <w:p>
      <w:pPr>
        <w:spacing w:after="0" w:line="181" w:lineRule="exact"/>
        <w:rPr>
          <w:sz w:val="20"/>
          <w:szCs w:val="20"/>
          <w:color w:val="auto"/>
        </w:rPr>
      </w:pPr>
    </w:p>
    <w:p>
      <w:pPr>
        <w:jc w:val="both"/>
        <w:ind w:left="920" w:hanging="651"/>
        <w:spacing w:after="0" w:line="264"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Employment Agreement dated April 10, 2008 between Euronet Worldwide, Inc. and Jeffrey B. Newman, Executive Vice President and General Counsel (filed as Exhibit 10.5 to the Company’s Quarterly Report on Form 10-Q filed on May 9, 2008 and incorporated by reference herein)</w:t>
      </w:r>
    </w:p>
    <w:p>
      <w:pPr>
        <w:spacing w:after="0" w:line="181" w:lineRule="exact"/>
        <w:rPr>
          <w:sz w:val="20"/>
          <w:szCs w:val="20"/>
          <w:color w:val="auto"/>
        </w:rPr>
      </w:pPr>
    </w:p>
    <w:p>
      <w:pPr>
        <w:jc w:val="both"/>
        <w:ind w:left="920" w:right="340" w:hanging="651"/>
        <w:spacing w:after="0" w:line="264"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Amended and Restated Employment Agreement dated April 10, 2008 between Euronet Worldwide, Inc. and Juan C. Bianchi, Executive Vice President and Managing Director, Money Transfer Segment (filed as Exhibit 10.6 to the Company’s Quarterly Report on Form 10-Q filed on May 9, 2008 and incorporated by reference herein)</w:t>
      </w:r>
    </w:p>
    <w:p>
      <w:pPr>
        <w:spacing w:after="0" w:line="181" w:lineRule="exact"/>
        <w:rPr>
          <w:sz w:val="20"/>
          <w:szCs w:val="20"/>
          <w:color w:val="auto"/>
        </w:rPr>
      </w:pPr>
    </w:p>
    <w:p>
      <w:pPr>
        <w:jc w:val="both"/>
        <w:ind w:left="920" w:right="320" w:hanging="651"/>
        <w:spacing w:after="0" w:line="277"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Employment Agreement dated May 11, 2008 between Euronet Worldwide, Inc. and Gareth Gumbley, Managing Director, Prepaid Processing Segment (1)</w:t>
      </w:r>
    </w:p>
    <w:p>
      <w:pPr>
        <w:spacing w:after="0" w:line="170"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 (1)</w:t>
      </w:r>
    </w:p>
    <w:p>
      <w:pPr>
        <w:spacing w:after="0" w:line="225"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 Certification of Chief Executive Officer (1)</w:t>
      </w:r>
    </w:p>
    <w:p>
      <w:pPr>
        <w:spacing w:after="0" w:line="225"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Section 302 – Certification of Chief Financial Officer (1)</w:t>
      </w:r>
    </w:p>
    <w:p>
      <w:pPr>
        <w:spacing w:after="0" w:line="225"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 of Chief Executive Officer and Chief Financial Officer (1)</w:t>
      </w:r>
    </w:p>
    <w:p>
      <w:pPr>
        <w:spacing w:after="0" w:line="225" w:lineRule="exact"/>
        <w:rPr>
          <w:sz w:val="20"/>
          <w:szCs w:val="20"/>
          <w:color w:val="auto"/>
        </w:rPr>
      </w:pPr>
    </w:p>
    <w:p>
      <w:pPr>
        <w:ind w:left="920" w:hanging="54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5" w:name="page36"/>
    <w:bookmarkEnd w:id="35"/>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7,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09"/>
        </w:trPr>
        <w:tc>
          <w:tcPr>
            <w:tcW w:w="3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30"/>
        </w:trPr>
        <w:tc>
          <w:tcPr>
            <w:tcW w:w="3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09"/>
        </w:trPr>
        <w:tc>
          <w:tcPr>
            <w:tcW w:w="3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30"/>
        </w:trPr>
        <w:tc>
          <w:tcPr>
            <w:tcW w:w="3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931"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5666105</wp:posOffset>
            </wp:positionH>
            <wp:positionV relativeFrom="paragraph">
              <wp:posOffset>152400</wp:posOffset>
            </wp:positionV>
            <wp:extent cx="823595" cy="548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35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LETTER OF SECONDMENT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[ON HEADED NOTEPAPER OF E-PAY AUSTRALIA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Gareth Gumbley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Northbridge, Sydney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NSW, 2063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th</w:t>
      </w:r>
      <w:r>
        <w:rPr>
          <w:rFonts w:ascii="Arial" w:cs="Arial" w:eastAsia="Arial" w:hAnsi="Arial"/>
          <w:sz w:val="18"/>
          <w:szCs w:val="18"/>
          <w:color w:val="auto"/>
        </w:rPr>
        <w:t xml:space="preserve"> May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Gareth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Secondment to E-Pay Ltd</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am writing to confirm the arrangements that have been agreed between us in connection with your secondment (the “Secondment”) to E-Pay Ltd (“E-Pay or the Company”).</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terms agreed between the E-Pay Australia Ltd (“EPAL”) and E-Pay in relation to the Secondment are set out in a separate secondment agreement (the “Secondment Agreement”).</w:t>
      </w:r>
    </w:p>
    <w:p>
      <w:pPr>
        <w:spacing w:after="0" w:line="58"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134" w:lineRule="exact"/>
        <w:rPr>
          <w:rFonts w:ascii="Arial" w:cs="Arial" w:eastAsia="Arial" w:hAnsi="Arial"/>
          <w:sz w:val="18"/>
          <w:szCs w:val="18"/>
          <w:b w:val="1"/>
          <w:bCs w:val="1"/>
          <w:color w:val="auto"/>
        </w:rPr>
      </w:pPr>
    </w:p>
    <w:p>
      <w:pPr>
        <w:ind w:left="48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You are and shall remain employed by EPAL during the Secondment and your current terms of employment shall remain unchanged, save as set out in this letter. In particular, your period of continuous employment will remain unbroken. At the end of the Secondment, EPAL currently intends that you will return to your current position on the terms applying prior to the Secondment, or a suitable alternative if that role no longer exists.</w:t>
      </w:r>
    </w:p>
    <w:p>
      <w:pPr>
        <w:spacing w:after="0" w:line="48" w:lineRule="exact"/>
        <w:rPr>
          <w:rFonts w:ascii="Arial" w:cs="Arial" w:eastAsia="Arial" w:hAnsi="Arial"/>
          <w:sz w:val="18"/>
          <w:szCs w:val="18"/>
          <w:b w:val="1"/>
          <w:bCs w:val="1"/>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SECONDMENT</w:t>
      </w:r>
    </w:p>
    <w:p>
      <w:pPr>
        <w:spacing w:after="0" w:line="135" w:lineRule="exact"/>
        <w:rPr>
          <w:sz w:val="20"/>
          <w:szCs w:val="20"/>
          <w:color w:val="auto"/>
        </w:rPr>
      </w:pPr>
    </w:p>
    <w:p>
      <w:pPr>
        <w:ind w:left="480" w:right="160" w:hanging="472"/>
        <w:spacing w:after="0" w:line="259" w:lineRule="auto"/>
        <w:tabs>
          <w:tab w:leader="none" w:pos="460" w:val="left"/>
        </w:tabs>
        <w:rPr>
          <w:sz w:val="20"/>
          <w:szCs w:val="20"/>
          <w:color w:val="auto"/>
        </w:rPr>
      </w:pPr>
      <w:r>
        <w:rPr>
          <w:rFonts w:ascii="Arial" w:cs="Arial" w:eastAsia="Arial" w:hAnsi="Arial"/>
          <w:sz w:val="18"/>
          <w:szCs w:val="18"/>
          <w:color w:val="auto"/>
        </w:rPr>
        <w:t>2.1</w:t>
        <w:tab/>
        <w:t>Your assignment to the UK is expected to last two years from 19</w:t>
      </w:r>
      <w:r>
        <w:rPr>
          <w:rFonts w:ascii="Arial" w:cs="Arial" w:eastAsia="Arial" w:hAnsi="Arial"/>
          <w:sz w:val="15"/>
          <w:szCs w:val="15"/>
          <w:color w:val="auto"/>
        </w:rPr>
        <w:t>th</w:t>
      </w:r>
      <w:r>
        <w:rPr>
          <w:rFonts w:ascii="Arial" w:cs="Arial" w:eastAsia="Arial" w:hAnsi="Arial"/>
          <w:sz w:val="18"/>
          <w:szCs w:val="18"/>
          <w:color w:val="auto"/>
        </w:rPr>
        <w:t xml:space="preserve"> May 2008 (the “Commencement date”) to 19</w:t>
      </w:r>
      <w:r>
        <w:rPr>
          <w:rFonts w:ascii="Arial" w:cs="Arial" w:eastAsia="Arial" w:hAnsi="Arial"/>
          <w:sz w:val="15"/>
          <w:szCs w:val="15"/>
          <w:color w:val="auto"/>
        </w:rPr>
        <w:t>th</w:t>
      </w:r>
      <w:r>
        <w:rPr>
          <w:rFonts w:ascii="Arial" w:cs="Arial" w:eastAsia="Arial" w:hAnsi="Arial"/>
          <w:sz w:val="18"/>
          <w:szCs w:val="18"/>
          <w:color w:val="auto"/>
        </w:rPr>
        <w:t xml:space="preserve"> May 2010”. At the end of your secondment period you may be requested to remain in the UK/Europe for an additional year where business needs dictate that you remain performing your role. Any extension or early conclusion to your assignment will be made by mutual agreement and in light of any changing requirements of the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2.1.1 on 3 months’ written notice from either EPAL or E-Pay; 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2.1.2 on the termination of your employment in accordance with the terms of your contract; 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2.1.3 on the termination of the Secondment Agreement between EPAL and E-Pay in accordance with its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2.1.4 as a necessary consequence of any legal requirement including, but not restricted to, any requirements under immigration legislation; 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2.1.5 as otherwise agreed between E-Pay, EPAL and yourself.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PAGE 3</w:t>
      </w:r>
    </w:p>
    <w:p>
      <w:pPr>
        <w:spacing w:after="0" w:line="117"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SECONDMENT</w:t>
      </w:r>
    </w:p>
    <w:p>
      <w:pPr>
        <w:spacing w:after="0" w:line="13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During the Secondment you shall: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3.1.1 continue to abide by the terms of your contract of employment with EPAL;</w:t>
      </w:r>
    </w:p>
    <w:p>
      <w:pPr>
        <w:spacing w:after="0" w:line="131" w:lineRule="exact"/>
        <w:rPr>
          <w:sz w:val="20"/>
          <w:szCs w:val="20"/>
          <w:color w:val="auto"/>
        </w:rPr>
      </w:pPr>
    </w:p>
    <w:p>
      <w:pPr>
        <w:ind w:left="480" w:right="220" w:hanging="472"/>
        <w:spacing w:after="0" w:line="277" w:lineRule="auto"/>
        <w:rPr>
          <w:sz w:val="20"/>
          <w:szCs w:val="20"/>
          <w:color w:val="auto"/>
        </w:rPr>
      </w:pPr>
      <w:r>
        <w:rPr>
          <w:rFonts w:ascii="Arial" w:cs="Arial" w:eastAsia="Arial" w:hAnsi="Arial"/>
          <w:sz w:val="18"/>
          <w:szCs w:val="18"/>
          <w:color w:val="auto"/>
        </w:rPr>
        <w:t>3.1.2 act as Director of E-Pay and carry out any work that is reasonably required of you for both E-Pay and for any associated company, including without restriction Euronet Worldwide inc (“EWI”), for which you will be acting as Managing Director, Prepaid Division;</w:t>
      </w:r>
    </w:p>
    <w:p>
      <w:pPr>
        <w:spacing w:after="0" w:line="76" w:lineRule="exact"/>
        <w:rPr>
          <w:sz w:val="20"/>
          <w:szCs w:val="20"/>
          <w:color w:val="auto"/>
        </w:rPr>
      </w:pPr>
    </w:p>
    <w:p>
      <w:pPr>
        <w:ind w:left="480" w:right="360" w:hanging="472"/>
        <w:spacing w:after="0" w:line="277" w:lineRule="auto"/>
        <w:rPr>
          <w:sz w:val="20"/>
          <w:szCs w:val="20"/>
          <w:color w:val="auto"/>
        </w:rPr>
      </w:pPr>
      <w:r>
        <w:rPr>
          <w:rFonts w:ascii="Arial" w:cs="Arial" w:eastAsia="Arial" w:hAnsi="Arial"/>
          <w:sz w:val="18"/>
          <w:szCs w:val="18"/>
          <w:color w:val="auto"/>
        </w:rPr>
        <w:t>3.1.3 work standard office hours at E-Pay, those being 9:00am to 5:30pm, as well as such other work as may reasonably be required for you to discharge your duties as Chief Executive Officer from time to time;</w:t>
      </w:r>
    </w:p>
    <w:p>
      <w:pPr>
        <w:spacing w:after="0" w:line="76" w:lineRule="exact"/>
        <w:rPr>
          <w:sz w:val="20"/>
          <w:szCs w:val="20"/>
          <w:color w:val="auto"/>
        </w:rPr>
      </w:pPr>
    </w:p>
    <w:p>
      <w:pPr>
        <w:ind w:left="480" w:right="20" w:hanging="472"/>
        <w:spacing w:after="0" w:line="277" w:lineRule="auto"/>
        <w:rPr>
          <w:sz w:val="20"/>
          <w:szCs w:val="20"/>
          <w:color w:val="auto"/>
        </w:rPr>
      </w:pPr>
      <w:r>
        <w:rPr>
          <w:rFonts w:ascii="Arial" w:cs="Arial" w:eastAsia="Arial" w:hAnsi="Arial"/>
          <w:sz w:val="18"/>
          <w:szCs w:val="18"/>
          <w:color w:val="auto"/>
        </w:rPr>
        <w:t>3.1.4 comply with any statutory or regulatory requirements applicable to you (in the United Kingdom or in any other jurisdiction, including the United States of America), as may apply to you in the performance of your duties from time to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3.1.5 report to the Board of E-Pay, or to any party nominated by the Board of E-Pay, from time to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3.1.6 report on day-to-day matters to Kevin Caponecchi, President of EWI;</w:t>
      </w:r>
    </w:p>
    <w:p>
      <w:pPr>
        <w:spacing w:after="0" w:line="131" w:lineRule="exact"/>
        <w:rPr>
          <w:sz w:val="20"/>
          <w:szCs w:val="20"/>
          <w:color w:val="auto"/>
        </w:rPr>
      </w:pPr>
    </w:p>
    <w:p>
      <w:pPr>
        <w:ind w:left="480" w:right="160" w:hanging="472"/>
        <w:spacing w:after="0" w:line="277" w:lineRule="auto"/>
        <w:rPr>
          <w:sz w:val="20"/>
          <w:szCs w:val="20"/>
          <w:color w:val="auto"/>
        </w:rPr>
      </w:pPr>
      <w:r>
        <w:rPr>
          <w:rFonts w:ascii="Arial" w:cs="Arial" w:eastAsia="Arial" w:hAnsi="Arial"/>
          <w:sz w:val="18"/>
          <w:szCs w:val="18"/>
          <w:color w:val="auto"/>
        </w:rPr>
        <w:t>3.1.7 work at E-Pay premises, in the United Kingdom currently located at 1</w:t>
      </w:r>
      <w:r>
        <w:rPr>
          <w:rFonts w:ascii="Arial" w:cs="Arial" w:eastAsia="Arial" w:hAnsi="Arial"/>
          <w:sz w:val="15"/>
          <w:szCs w:val="15"/>
          <w:color w:val="auto"/>
        </w:rPr>
        <w:t>st</w:t>
      </w:r>
      <w:r>
        <w:rPr>
          <w:rFonts w:ascii="Arial" w:cs="Arial" w:eastAsia="Arial" w:hAnsi="Arial"/>
          <w:sz w:val="18"/>
          <w:szCs w:val="18"/>
          <w:color w:val="auto"/>
        </w:rPr>
        <w:t xml:space="preserve"> Floor Devonshire House, Devonshire Street, London, W1W 5DS, and at such other location as E-Pay may require from time to time;</w:t>
      </w:r>
    </w:p>
    <w:p>
      <w:pPr>
        <w:spacing w:after="0" w:line="76" w:lineRule="exact"/>
        <w:rPr>
          <w:sz w:val="20"/>
          <w:szCs w:val="20"/>
          <w:color w:val="auto"/>
        </w:rPr>
      </w:pPr>
    </w:p>
    <w:p>
      <w:pPr>
        <w:ind w:left="480" w:right="580" w:hanging="472"/>
        <w:spacing w:after="0" w:line="277" w:lineRule="auto"/>
        <w:rPr>
          <w:sz w:val="20"/>
          <w:szCs w:val="20"/>
          <w:color w:val="auto"/>
        </w:rPr>
      </w:pPr>
      <w:r>
        <w:rPr>
          <w:rFonts w:ascii="Arial" w:cs="Arial" w:eastAsia="Arial" w:hAnsi="Arial"/>
          <w:sz w:val="18"/>
          <w:szCs w:val="18"/>
          <w:color w:val="auto"/>
        </w:rPr>
        <w:t>3.1.8 notify both E-Pay and EPAL of the proposed dates of your holiday at least 4 weeks in advance of any such proposed holiday, unless exceptional circumstances apply;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3.1.9 notify both E-Pay and EPAL at the earliest opportunity of any absence you require due to illness or injury.</w:t>
      </w:r>
    </w:p>
    <w:p>
      <w:pPr>
        <w:spacing w:after="0" w:line="127"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TERMS OF EMPLOYMENT</w:t>
      </w:r>
    </w:p>
    <w:p>
      <w:pPr>
        <w:spacing w:after="0" w:line="135" w:lineRule="exact"/>
        <w:rPr>
          <w:sz w:val="20"/>
          <w:szCs w:val="20"/>
          <w:color w:val="auto"/>
        </w:rPr>
      </w:pPr>
    </w:p>
    <w:p>
      <w:pPr>
        <w:ind w:left="480" w:right="180" w:hanging="472"/>
        <w:spacing w:after="0" w:line="277" w:lineRule="auto"/>
        <w:tabs>
          <w:tab w:leader="none" w:pos="460" w:val="left"/>
        </w:tabs>
        <w:rPr>
          <w:sz w:val="20"/>
          <w:szCs w:val="20"/>
          <w:color w:val="auto"/>
        </w:rPr>
      </w:pPr>
      <w:r>
        <w:rPr>
          <w:rFonts w:ascii="Arial" w:cs="Arial" w:eastAsia="Arial" w:hAnsi="Arial"/>
          <w:sz w:val="18"/>
          <w:szCs w:val="18"/>
          <w:color w:val="auto"/>
        </w:rPr>
        <w:t>4.1</w:t>
        <w:tab/>
        <w:t>Subject to the terms of this letter, the terms of your contract of employment will continue to apply. Where there is a conflict between the terms of this letter and your contract of employment, the terms of this letter will apply.</w:t>
      </w:r>
    </w:p>
    <w:p>
      <w:pPr>
        <w:spacing w:after="0" w:line="76" w:lineRule="exact"/>
        <w:rPr>
          <w:sz w:val="20"/>
          <w:szCs w:val="20"/>
          <w:color w:val="auto"/>
        </w:rPr>
      </w:pPr>
    </w:p>
    <w:p>
      <w:pPr>
        <w:ind w:left="480" w:right="60" w:hanging="472"/>
        <w:spacing w:after="0" w:line="312" w:lineRule="auto"/>
        <w:tabs>
          <w:tab w:leader="none" w:pos="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terms of your contract of employment and this secondment agreement will be subject to the laws of Australia. However, EPAL recognises that you will be based in the United Kingdom during the Secondment, subject to any change of work location. EPAL confirms that the Secondment will be subject to employment legislation in the United Kingdom for the duration of the period that you are based in the United Kingdom.</w:t>
      </w:r>
    </w:p>
    <w:p>
      <w:pPr>
        <w:spacing w:after="0" w:line="52" w:lineRule="exact"/>
        <w:rPr>
          <w:sz w:val="20"/>
          <w:szCs w:val="20"/>
          <w:color w:val="auto"/>
        </w:rPr>
      </w:pPr>
    </w:p>
    <w:p>
      <w:pPr>
        <w:ind w:left="480" w:right="80" w:hanging="472"/>
        <w:spacing w:after="0" w:line="264" w:lineRule="auto"/>
        <w:tabs>
          <w:tab w:leader="none" w:pos="460" w:val="left"/>
        </w:tabs>
        <w:rPr>
          <w:sz w:val="20"/>
          <w:szCs w:val="20"/>
          <w:color w:val="auto"/>
        </w:rPr>
      </w:pPr>
      <w:r>
        <w:rPr>
          <w:rFonts w:ascii="Arial" w:cs="Arial" w:eastAsia="Arial" w:hAnsi="Arial"/>
          <w:sz w:val="18"/>
          <w:szCs w:val="18"/>
          <w:color w:val="auto"/>
        </w:rPr>
        <w:t>4.3</w:t>
        <w:tab/>
        <w:t>In signing this Secondment letter, you confirm that in the performance of your duties pursuant to the terms of this letter, the limit on weekly working time specified in the Working Time Regulations 1998 (UK) shall not apply to your employment. You shall give the EPAL three months’ prior notice in the event that you wish the limit on weekly working time to apply to your employment.</w:t>
      </w:r>
    </w:p>
    <w:p>
      <w:pPr>
        <w:spacing w:after="0" w:line="87" w:lineRule="exact"/>
        <w:rPr>
          <w:sz w:val="20"/>
          <w:szCs w:val="20"/>
          <w:color w:val="auto"/>
        </w:rPr>
      </w:pPr>
    </w:p>
    <w:p>
      <w:pPr>
        <w:ind w:left="480" w:right="120" w:hanging="472"/>
        <w:spacing w:after="0" w:line="277" w:lineRule="auto"/>
        <w:tabs>
          <w:tab w:leader="none" w:pos="460" w:val="left"/>
        </w:tabs>
        <w:rPr>
          <w:sz w:val="20"/>
          <w:szCs w:val="20"/>
          <w:color w:val="auto"/>
        </w:rPr>
      </w:pPr>
      <w:r>
        <w:rPr>
          <w:rFonts w:ascii="Arial" w:cs="Arial" w:eastAsia="Arial" w:hAnsi="Arial"/>
          <w:sz w:val="18"/>
          <w:szCs w:val="18"/>
          <w:color w:val="auto"/>
        </w:rPr>
        <w:t>4.4</w:t>
        <w:tab/>
        <w:t>The Secondment Agreement contains provisions relating to the creation of intellectual property by you during the Secondment. You will indicate your acceptance of such terms by counter-signing the Secondment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9" w:name="page40"/>
    <w:bookmarkEnd w:id="39"/>
    <w:p>
      <w:pPr>
        <w:ind w:left="10800"/>
        <w:spacing w:after="0"/>
        <w:rPr>
          <w:sz w:val="20"/>
          <w:szCs w:val="20"/>
          <w:color w:val="auto"/>
        </w:rPr>
      </w:pPr>
      <w:r>
        <w:rPr>
          <w:rFonts w:ascii="Arial" w:cs="Arial" w:eastAsia="Arial" w:hAnsi="Arial"/>
          <w:sz w:val="16"/>
          <w:szCs w:val="16"/>
          <w:b w:val="1"/>
          <w:bCs w:val="1"/>
          <w:color w:val="auto"/>
        </w:rPr>
        <w:t>PAGE 4</w:t>
      </w:r>
    </w:p>
    <w:p>
      <w:pPr>
        <w:spacing w:after="0" w:line="144" w:lineRule="exact"/>
        <w:rPr>
          <w:sz w:val="20"/>
          <w:szCs w:val="20"/>
          <w:color w:val="auto"/>
        </w:rPr>
      </w:pPr>
    </w:p>
    <w:p>
      <w:pPr>
        <w:ind w:left="480" w:right="140" w:hanging="472"/>
        <w:spacing w:after="0" w:line="264" w:lineRule="auto"/>
        <w:tabs>
          <w:tab w:leader="none" w:pos="460" w:val="left"/>
        </w:tabs>
        <w:rPr>
          <w:sz w:val="20"/>
          <w:szCs w:val="20"/>
          <w:color w:val="auto"/>
        </w:rPr>
      </w:pPr>
      <w:r>
        <w:rPr>
          <w:rFonts w:ascii="Arial" w:cs="Arial" w:eastAsia="Arial" w:hAnsi="Arial"/>
          <w:sz w:val="18"/>
          <w:szCs w:val="18"/>
          <w:color w:val="auto"/>
        </w:rPr>
        <w:t>4.5</w:t>
        <w:tab/>
        <w:t>In accordance with statutory requirements in the United Kingdom, your particulars of employment during your secondment will be as per Schedule 2. Where your contractual rights under your contract of employment conflict with the particulars of employment at Schedule 2, the particulars of employment will prevail.</w:t>
      </w:r>
    </w:p>
    <w:p>
      <w:pPr>
        <w:spacing w:after="0" w:line="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 the event of a Change of Control, as defined in Schedule 3 occurs, the provisions of Schedule 3 will apply.</w:t>
      </w:r>
    </w:p>
    <w:p>
      <w:pPr>
        <w:spacing w:after="0" w:line="127"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YOUR OBLIGATIONS TO EPAL</w:t>
      </w:r>
    </w:p>
    <w:p>
      <w:pPr>
        <w:spacing w:after="0" w:line="13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During the Secondment:</w:t>
      </w:r>
    </w:p>
    <w:p>
      <w:pPr>
        <w:spacing w:after="0" w:line="131" w:lineRule="exact"/>
        <w:rPr>
          <w:sz w:val="20"/>
          <w:szCs w:val="20"/>
          <w:color w:val="auto"/>
        </w:rPr>
      </w:pPr>
    </w:p>
    <w:p>
      <w:pPr>
        <w:ind w:left="480" w:right="100" w:hanging="472"/>
        <w:spacing w:after="0" w:line="264" w:lineRule="auto"/>
        <w:rPr>
          <w:sz w:val="20"/>
          <w:szCs w:val="20"/>
          <w:color w:val="auto"/>
        </w:rPr>
      </w:pPr>
      <w:r>
        <w:rPr>
          <w:rFonts w:ascii="Arial" w:cs="Arial" w:eastAsia="Arial" w:hAnsi="Arial"/>
          <w:sz w:val="18"/>
          <w:szCs w:val="18"/>
          <w:color w:val="auto"/>
        </w:rPr>
        <w:t>5.1.1 You will remain an employee of EPAL at all times in the absence of any further agreement. You will therefore continue to be subject to your express and implied contractual obligations, and statutory obligations to EPAL in the course of your employment. You will also follow the lawful directions of EPAL as may be issued by EPAL from time to time, although:</w:t>
      </w:r>
    </w:p>
    <w:p>
      <w:pPr>
        <w:spacing w:after="0" w:line="87" w:lineRule="exact"/>
        <w:rPr>
          <w:sz w:val="20"/>
          <w:szCs w:val="20"/>
          <w:color w:val="auto"/>
        </w:rPr>
      </w:pPr>
    </w:p>
    <w:p>
      <w:pPr>
        <w:ind w:left="480" w:hanging="472"/>
        <w:spacing w:after="0" w:line="277" w:lineRule="auto"/>
        <w:rPr>
          <w:sz w:val="20"/>
          <w:szCs w:val="20"/>
          <w:color w:val="auto"/>
        </w:rPr>
      </w:pPr>
      <w:r>
        <w:rPr>
          <w:rFonts w:ascii="Arial" w:cs="Arial" w:eastAsia="Arial" w:hAnsi="Arial"/>
          <w:sz w:val="18"/>
          <w:szCs w:val="18"/>
          <w:color w:val="auto"/>
        </w:rPr>
        <w:t>5.1.2 EPAL has delegated authority to EWI and E-Pay, and specifically the Boards of EWI and E-Pay or any party nominated by the Boards of EWI or E-Pay to issue you with such lawful directions in relation to the performance of your duties on secondment from time to time;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5.1.3 any directions by EPAL to you during your secondment will be issued subject to consultation with E-Pay.</w:t>
      </w:r>
    </w:p>
    <w:p>
      <w:pPr>
        <w:spacing w:after="0" w:line="131" w:lineRule="exact"/>
        <w:rPr>
          <w:sz w:val="20"/>
          <w:szCs w:val="20"/>
          <w:color w:val="auto"/>
        </w:rPr>
      </w:pPr>
    </w:p>
    <w:p>
      <w:pPr>
        <w:ind w:left="480" w:right="120" w:hanging="472"/>
        <w:spacing w:after="0" w:line="277" w:lineRule="auto"/>
        <w:rPr>
          <w:sz w:val="20"/>
          <w:szCs w:val="20"/>
          <w:color w:val="auto"/>
        </w:rPr>
      </w:pPr>
      <w:r>
        <w:rPr>
          <w:rFonts w:ascii="Arial" w:cs="Arial" w:eastAsia="Arial" w:hAnsi="Arial"/>
          <w:sz w:val="18"/>
          <w:szCs w:val="18"/>
          <w:color w:val="auto"/>
        </w:rPr>
        <w:t>5.1.4 EWI will conduct any appraisals and pay reviews and will deal with any grievances or any concerns about your conduct or performance. In all cases it will consult EPAL and E-Pay prior to taking any action.</w:t>
      </w:r>
    </w:p>
    <w:p>
      <w:pPr>
        <w:spacing w:after="0" w:line="72"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135" w:lineRule="exact"/>
        <w:rPr>
          <w:sz w:val="20"/>
          <w:szCs w:val="20"/>
          <w:color w:val="auto"/>
        </w:rPr>
      </w:pPr>
    </w:p>
    <w:p>
      <w:pPr>
        <w:jc w:val="both"/>
        <w:ind w:left="480" w:right="140" w:hanging="472"/>
        <w:spacing w:after="0" w:line="264" w:lineRule="auto"/>
        <w:tabs>
          <w:tab w:leader="none" w:pos="460" w:val="left"/>
        </w:tabs>
        <w:rPr>
          <w:sz w:val="20"/>
          <w:szCs w:val="20"/>
          <w:color w:val="auto"/>
        </w:rPr>
      </w:pPr>
      <w:r>
        <w:rPr>
          <w:rFonts w:ascii="Arial" w:cs="Arial" w:eastAsia="Arial" w:hAnsi="Arial"/>
          <w:sz w:val="18"/>
          <w:szCs w:val="18"/>
          <w:color w:val="auto"/>
        </w:rPr>
        <w:t>6.1</w:t>
        <w:tab/>
        <w:t>Your remuneration during the Secondment, will be as set out at Schedule 1. Your remuneration is payable by EPAL, although E-Pay will process such payments. Tax and statutory charges will be deducted in accordance with statutory requirements. Your remuneration may from time to time be subject to review by EPAL in consultation with E-Pay and in accordance with EPAL procedures.</w:t>
      </w:r>
    </w:p>
    <w:p>
      <w:pPr>
        <w:spacing w:after="0" w:line="83"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34" w:lineRule="exact"/>
        <w:rPr>
          <w:rFonts w:ascii="Arial" w:cs="Arial" w:eastAsia="Arial" w:hAnsi="Arial"/>
          <w:sz w:val="18"/>
          <w:szCs w:val="18"/>
          <w:b w:val="1"/>
          <w:bCs w:val="1"/>
          <w:color w:val="auto"/>
        </w:rPr>
      </w:pPr>
    </w:p>
    <w:p>
      <w:pPr>
        <w:ind w:left="48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EPAL will provide you with reimbursement for 1 economy class return flight to Australia each year from the Commencement Date for yourself and each of your family during the period of the Secondment. Such time in Australia should be during any period of annual leave unless otherwise agreed with the Company.</w:t>
      </w:r>
    </w:p>
    <w:p>
      <w:pPr>
        <w:spacing w:after="0" w:line="86" w:lineRule="exact"/>
        <w:rPr>
          <w:rFonts w:ascii="Arial" w:cs="Arial" w:eastAsia="Arial" w:hAnsi="Arial"/>
          <w:sz w:val="18"/>
          <w:szCs w:val="18"/>
          <w:b w:val="1"/>
          <w:bCs w:val="1"/>
          <w:color w:val="auto"/>
        </w:rPr>
      </w:pPr>
    </w:p>
    <w:p>
      <w:pPr>
        <w:ind w:left="48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expenses claims arising during the Secondment must be submitted to the Finance Director of the Prepaid Division in accordance with E-Pay’s normal procedures.</w:t>
      </w:r>
    </w:p>
    <w:p>
      <w:pPr>
        <w:spacing w:after="0" w:line="71" w:lineRule="exact"/>
        <w:rPr>
          <w:rFonts w:ascii="Arial" w:cs="Arial" w:eastAsia="Arial" w:hAnsi="Arial"/>
          <w:sz w:val="18"/>
          <w:szCs w:val="18"/>
          <w:b w:val="1"/>
          <w:bCs w:val="1"/>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RELOCATION EXPENSES</w:t>
      </w:r>
    </w:p>
    <w:p>
      <w:pPr>
        <w:spacing w:after="0" w:line="135" w:lineRule="exact"/>
        <w:rPr>
          <w:sz w:val="20"/>
          <w:szCs w:val="20"/>
          <w:color w:val="auto"/>
        </w:rPr>
      </w:pPr>
    </w:p>
    <w:p>
      <w:pPr>
        <w:jc w:val="both"/>
        <w:ind w:left="480" w:right="80" w:hanging="472"/>
        <w:spacing w:after="0" w:line="264" w:lineRule="auto"/>
        <w:rPr>
          <w:sz w:val="20"/>
          <w:szCs w:val="20"/>
          <w:color w:val="auto"/>
        </w:rPr>
      </w:pPr>
      <w:r>
        <w:rPr>
          <w:rFonts w:ascii="Arial" w:cs="Arial" w:eastAsia="Arial" w:hAnsi="Arial"/>
          <w:sz w:val="18"/>
          <w:szCs w:val="18"/>
          <w:color w:val="auto"/>
        </w:rPr>
        <w:t>8.1.1 EPAL will provide you with reimbursement for costs actually incurred by you in relocating you and your family to the United Kingdom for the period of your Secondment to a maximum of US$50,000, at the exchange date that applies on the date you submit your consolidated claim for reimbursement to EPAL, which shall be no later than 2 months from the Commencement Date.;</w:t>
      </w:r>
    </w:p>
    <w:p>
      <w:pPr>
        <w:spacing w:after="0" w:line="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EPAL will only provide reimbursement pursuant to clause 8.1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PAGE 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8.2.1 you take reasonable steps to ensure that relocation costs are not excessive;</w:t>
      </w:r>
    </w:p>
    <w:p>
      <w:pPr>
        <w:spacing w:after="0" w:line="131" w:lineRule="exact"/>
        <w:rPr>
          <w:sz w:val="20"/>
          <w:szCs w:val="20"/>
          <w:color w:val="auto"/>
        </w:rPr>
      </w:pPr>
    </w:p>
    <w:p>
      <w:pPr>
        <w:ind w:left="480" w:right="20" w:hanging="472"/>
        <w:spacing w:after="0" w:line="277" w:lineRule="auto"/>
        <w:rPr>
          <w:sz w:val="20"/>
          <w:szCs w:val="20"/>
          <w:color w:val="auto"/>
        </w:rPr>
      </w:pPr>
      <w:r>
        <w:rPr>
          <w:rFonts w:ascii="Arial" w:cs="Arial" w:eastAsia="Arial" w:hAnsi="Arial"/>
          <w:sz w:val="18"/>
          <w:szCs w:val="18"/>
          <w:color w:val="auto"/>
        </w:rPr>
        <w:t>8.2.2 you provide evidence of at least 2 quotes for the removal of personal possessions and furniture and, if the lowest quote or quotes is/are not used by you, a justifiable explanation for why;</w:t>
      </w:r>
    </w:p>
    <w:p>
      <w:pPr>
        <w:spacing w:after="0" w:line="76" w:lineRule="exact"/>
        <w:rPr>
          <w:sz w:val="20"/>
          <w:szCs w:val="20"/>
          <w:color w:val="auto"/>
        </w:rPr>
      </w:pPr>
    </w:p>
    <w:p>
      <w:pPr>
        <w:ind w:left="480" w:right="20"/>
        <w:spacing w:after="0" w:line="264" w:lineRule="auto"/>
        <w:rPr>
          <w:sz w:val="20"/>
          <w:szCs w:val="20"/>
          <w:color w:val="auto"/>
        </w:rPr>
      </w:pPr>
      <w:r>
        <w:rPr>
          <w:rFonts w:ascii="Arial" w:cs="Arial" w:eastAsia="Arial" w:hAnsi="Arial"/>
          <w:sz w:val="18"/>
          <w:szCs w:val="18"/>
          <w:color w:val="auto"/>
        </w:rPr>
        <w:t>and is entitled to require you to repay such relocation costs if you leave your employment in breach of the terms of this Secondment Agreement or your contract of employment, or if you are dismissed for gross misconduct in the performance of your duties within 6 months of the Commencement Date. Any such repayment is recoverable by EPAL as a debt.</w:t>
      </w:r>
    </w:p>
    <w:p>
      <w:pPr>
        <w:spacing w:after="0" w:line="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8.3</w:t>
        <w:tab/>
        <w:t>If:</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8.3.1 the Secondment is terminated by EPAL or E-Pay for any reason other than misconduct;</w:t>
      </w:r>
    </w:p>
    <w:p>
      <w:pPr>
        <w:spacing w:after="0" w:line="131" w:lineRule="exact"/>
        <w:rPr>
          <w:sz w:val="20"/>
          <w:szCs w:val="20"/>
          <w:color w:val="auto"/>
        </w:rPr>
      </w:pPr>
    </w:p>
    <w:p>
      <w:pPr>
        <w:ind w:left="480" w:right="620" w:hanging="472"/>
        <w:spacing w:after="0" w:line="277" w:lineRule="auto"/>
        <w:rPr>
          <w:sz w:val="20"/>
          <w:szCs w:val="20"/>
          <w:color w:val="auto"/>
        </w:rPr>
      </w:pPr>
      <w:r>
        <w:rPr>
          <w:rFonts w:ascii="Arial" w:cs="Arial" w:eastAsia="Arial" w:hAnsi="Arial"/>
          <w:sz w:val="18"/>
          <w:szCs w:val="18"/>
          <w:color w:val="auto"/>
        </w:rPr>
        <w:t>8.3.2 your employment is terminated by EPAL for any reason other than misconduct, failure of performance or any other reason that is recognized as forming a fair basis of dismissal under UK law; 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8.3.3 you otherwise agree with EPAL and E-Pay that you will return to Australia;</w:t>
      </w:r>
    </w:p>
    <w:p>
      <w:pPr>
        <w:spacing w:after="0" w:line="131" w:lineRule="exact"/>
        <w:rPr>
          <w:sz w:val="20"/>
          <w:szCs w:val="20"/>
          <w:color w:val="auto"/>
        </w:rPr>
      </w:pPr>
    </w:p>
    <w:p>
      <w:pPr>
        <w:ind w:left="480" w:right="20"/>
        <w:spacing w:after="0" w:line="290" w:lineRule="auto"/>
        <w:rPr>
          <w:sz w:val="20"/>
          <w:szCs w:val="20"/>
          <w:color w:val="auto"/>
        </w:rPr>
      </w:pPr>
      <w:r>
        <w:rPr>
          <w:rFonts w:ascii="Arial" w:cs="Arial" w:eastAsia="Arial" w:hAnsi="Arial"/>
          <w:sz w:val="16"/>
          <w:szCs w:val="16"/>
          <w:color w:val="auto"/>
        </w:rPr>
        <w:t>EPAL will provide you with reimbursement for removal costs incurred by you in moving back to Australia up to a maximum of US$50,000. The costs may include costs incurred for matters listed at clause 8.1 herein, and will be subject to the conditions set out herein at clause 8.2. In order to be entitled to reimbursement pursuant to this clause 8.4, your claim for reimbursement must be submitted within 2 months of your relocation to Australia. If your employment is terminated for a reason other than as described in clause 8.3.2, or you resign from your employment within 6 months of the Commencement Date or if you act in breach of the restrictive covenants applicable under the terms of this letter, you will not be entitled to reimbursement for removal costs incurred by you in moving back to Australia or to any other location. If any breach of your restrictive covenants or misconduct that if, had it been discovered, would have been in repudiatory breach of your contract of employment, is discovered after the payment to you of your reimbursement pursuant to this clause 8.4, the Company will be entitled to recover the reimbursement from you as a debt.</w:t>
      </w:r>
    </w:p>
    <w:p>
      <w:pPr>
        <w:spacing w:after="0" w:line="68"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4" w:lineRule="exact"/>
        <w:rPr>
          <w:rFonts w:ascii="Arial" w:cs="Arial" w:eastAsia="Arial" w:hAnsi="Arial"/>
          <w:sz w:val="18"/>
          <w:szCs w:val="18"/>
          <w:b w:val="1"/>
          <w:bCs w:val="1"/>
          <w:color w:val="auto"/>
        </w:rPr>
      </w:pPr>
    </w:p>
    <w:p>
      <w:pPr>
        <w:ind w:left="48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consent to the EPAL providing relevant information about you to E-Pay or any other company in the Group in connection with the Secondment and, in particular, to providing any sensitive personal data as defined in the Data Protection Act 1998 which may be made available to those organisations who provide products or services to E-Pay or to any other company in the Group (such as advisers and insurers), regulatory authorities, governmental or quasi governmental organisations, or be transferred to E-Pay’s or any company in the Group’s business contacts outside the European Economic Area in order to further the Group’s business interests.</w:t>
      </w:r>
    </w:p>
    <w:p>
      <w:pPr>
        <w:spacing w:after="0" w:line="89" w:lineRule="exact"/>
        <w:rPr>
          <w:rFonts w:ascii="Arial" w:cs="Arial" w:eastAsia="Arial" w:hAnsi="Arial"/>
          <w:sz w:val="18"/>
          <w:szCs w:val="18"/>
          <w:b w:val="1"/>
          <w:bCs w:val="1"/>
          <w:color w:val="auto"/>
        </w:rPr>
      </w:pPr>
    </w:p>
    <w:p>
      <w:pPr>
        <w:ind w:left="480" w:hanging="472"/>
        <w:spacing w:after="0"/>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34" w:lineRule="exact"/>
        <w:rPr>
          <w:rFonts w:ascii="Arial" w:cs="Arial" w:eastAsia="Arial" w:hAnsi="Arial"/>
          <w:sz w:val="18"/>
          <w:szCs w:val="18"/>
          <w:b w:val="1"/>
          <w:bCs w:val="1"/>
          <w:color w:val="auto"/>
        </w:rPr>
      </w:pPr>
    </w:p>
    <w:p>
      <w:pPr>
        <w:ind w:left="48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Your contract currently requires you to keep the EPAL’s and the Group’s confidential information and trade and business secrets confidential. You should also respect the confidentiality of any similar information relating to E-Pay to which you have access during the Secondment.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PAGE 6</w:t>
      </w:r>
    </w:p>
    <w:p>
      <w:pPr>
        <w:spacing w:after="0" w:line="117"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POST TERMINATION RESTRICTIONS</w:t>
      </w:r>
    </w:p>
    <w:p>
      <w:pPr>
        <w:spacing w:after="0" w:line="135" w:lineRule="exact"/>
        <w:rPr>
          <w:sz w:val="20"/>
          <w:szCs w:val="20"/>
          <w:color w:val="auto"/>
        </w:rPr>
      </w:pPr>
    </w:p>
    <w:p>
      <w:pPr>
        <w:ind w:left="560" w:right="100" w:hanging="553"/>
        <w:spacing w:after="0" w:line="286" w:lineRule="auto"/>
        <w:tabs>
          <w:tab w:leader="none" w:pos="5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During the term of your Secondment to E-Pay and for the period of 3 months following the termination of your Secondment, howsoever that termination arises, you covenant with EPAL and E-Pay that you will not, whether alone or jointly with any other person or whether as agent, director, shareholder, partner, manager, employee, consultant or independent contractor of any other person, firm, company or partnership:</w:t>
      </w:r>
    </w:p>
    <w:p>
      <w:pPr>
        <w:spacing w:after="0" w:line="71" w:lineRule="exact"/>
        <w:rPr>
          <w:sz w:val="20"/>
          <w:szCs w:val="20"/>
          <w:color w:val="auto"/>
        </w:rPr>
      </w:pPr>
    </w:p>
    <w:p>
      <w:pPr>
        <w:ind w:left="560" w:right="140" w:hanging="553"/>
        <w:spacing w:after="0" w:line="264" w:lineRule="auto"/>
        <w:rPr>
          <w:sz w:val="20"/>
          <w:szCs w:val="20"/>
          <w:color w:val="auto"/>
        </w:rPr>
      </w:pPr>
      <w:r>
        <w:rPr>
          <w:rFonts w:ascii="Arial" w:cs="Arial" w:eastAsia="Arial" w:hAnsi="Arial"/>
          <w:sz w:val="18"/>
          <w:szCs w:val="18"/>
          <w:color w:val="auto"/>
        </w:rPr>
        <w:t>11.1.1 carry on or be engaged, concerned or interested in carrying on or providing advice to any business which is the same as or similar to or competitive with any business carried on by E-Pay or any other company in the Group during your Secondment where you have had personal dealings in relation to that business in the 12 months prior to the termination of the Secondment; or</w:t>
      </w:r>
    </w:p>
    <w:p>
      <w:pPr>
        <w:spacing w:after="0" w:line="87" w:lineRule="exact"/>
        <w:rPr>
          <w:sz w:val="20"/>
          <w:szCs w:val="20"/>
          <w:color w:val="auto"/>
        </w:rPr>
      </w:pPr>
    </w:p>
    <w:p>
      <w:pPr>
        <w:ind w:left="560" w:right="140" w:hanging="553"/>
        <w:spacing w:after="0" w:line="264" w:lineRule="auto"/>
        <w:rPr>
          <w:sz w:val="20"/>
          <w:szCs w:val="20"/>
          <w:color w:val="auto"/>
        </w:rPr>
      </w:pPr>
      <w:r>
        <w:rPr>
          <w:rFonts w:ascii="Arial" w:cs="Arial" w:eastAsia="Arial" w:hAnsi="Arial"/>
          <w:sz w:val="18"/>
          <w:szCs w:val="18"/>
          <w:color w:val="auto"/>
        </w:rPr>
        <w:t>11.1.2 solicit or seek to entice any customer of E-Pay or employee of E-Pay or of any other company in the Group where you have had material personal dealings with that party or person during the Secondment in the course of the performance of your duties in the 12 months prior to the termination of the Secondment.</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Please execute the enclosed copy of this letter and return it to Jeff Newman by 1 May 2008 to indicate your agreement to the terms in this letter.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WESTLAKE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07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E-Pay Australia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letter, I hereby agree to the above changes to the terms of my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GARETH GUMBLEY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077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Gareth Gumbley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Secondment of Gareth Gumbley on the terms set out above and subject to the terms of the Secondment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WESTLAKE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077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E-Pay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PAGE 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 – REMUNERATION</w:t>
      </w:r>
    </w:p>
    <w:p>
      <w:pPr>
        <w:spacing w:after="0" w:line="121" w:lineRule="exact"/>
        <w:rPr>
          <w:sz w:val="20"/>
          <w:szCs w:val="20"/>
          <w:color w:val="auto"/>
        </w:rPr>
      </w:pPr>
    </w:p>
    <w:p>
      <w:pPr>
        <w:ind w:left="460" w:right="80" w:hanging="452"/>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Unless otherwise stated, your remuneration for the period of the Secondment will be as per the terms of this Schedule 1, and will be in substitution for, and not in addition to, your rights as to remuneration as previously applicable in the course of your employment with EPAL under the terms of your contract of employment. These remuneration entitlements will apply for the duration of your secondment, after which your rights will revert to your rights as to remuneration under the terms applicable to you immediately prior to the Commencement Date (unless otherwise agreed with EPAL). You acknowledge that by virtue of your position as Managing Director of the Prepaid Division of EWI, you will become subject to EWI’s governance provisions as they related to compensation of executives, and that EWI’s Compensation Committee (the “Compensation Committee”) will have authority in the determination of your compensation. In particular, the annual bonus and equity award elements of your compensation are subject to the approval of, and will be administered in accordance with procedures established by, the Compensation Committee.</w:t>
      </w:r>
    </w:p>
    <w:p>
      <w:pPr>
        <w:spacing w:after="0" w:line="71" w:lineRule="exact"/>
        <w:rPr>
          <w:rFonts w:ascii="Arial" w:cs="Arial" w:eastAsia="Arial" w:hAnsi="Arial"/>
          <w:sz w:val="16"/>
          <w:szCs w:val="16"/>
          <w:color w:val="auto"/>
        </w:rPr>
      </w:pPr>
    </w:p>
    <w:p>
      <w:pPr>
        <w:ind w:left="460" w:right="1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EPAL remains responsible and liable for your remuneration, although where appropriate, the payment and disbursement of your remuneration may be administered by E-Pay or another Group Company.</w:t>
      </w:r>
    </w:p>
    <w:p>
      <w:pPr>
        <w:spacing w:after="0" w:line="75" w:lineRule="exact"/>
        <w:rPr>
          <w:rFonts w:ascii="Arial" w:cs="Arial" w:eastAsia="Arial" w:hAnsi="Arial"/>
          <w:sz w:val="18"/>
          <w:szCs w:val="18"/>
          <w:color w:val="auto"/>
        </w:rPr>
      </w:pPr>
    </w:p>
    <w:p>
      <w:pPr>
        <w:ind w:left="460" w:right="54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Salary: £170,000 per annum payable monthly in arrears. You may choose to take this amount in cash or salary sacrifice a component for housing allowance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Car Allowance: £7,070.00 per annum, payable monthly in arrears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Relocation Expenses: As per clause 8 of this letter</w:t>
      </w:r>
    </w:p>
    <w:p>
      <w:pPr>
        <w:spacing w:after="0" w:line="130"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Pension/Superannuation: Per Australian Superannuation laws an additional amount of 9% of your cash compensation paid to a Super fund of your choice.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Home Visits: As per clause 7 of this letter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Bonus and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Cash Bonus: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Bonus potential as a percentage of Base Salary:</w:t>
      </w:r>
    </w:p>
    <w:p>
      <w:pPr>
        <w:spacing w:after="0" w:line="117"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Threshold: 33%</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Target: 66%</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Maximum 100%</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2008, bonus will be payable 50% based on the performance of our Australian and New Zealand subsidiaries, and 50% based on overall group Prepaid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2009, 2010 bonus will be paid entirely based on performance of the entire Prepaid Division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Bonus will be paid each year in March/April following a determination by the Compensation Committee that targets have been met, based upon the financial statements of EWI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PAGE 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target for 2008 is based on Operating Income before interest Income. The targets for years 2009 and thereafter will include a factor for interest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gridSpan w:val="2"/>
            <w:vMerge w:val="restart"/>
          </w:tcPr>
          <w:p>
            <w:pPr>
              <w:spacing w:after="0"/>
              <w:rPr>
                <w:sz w:val="20"/>
                <w:szCs w:val="20"/>
                <w:color w:val="auto"/>
              </w:rPr>
            </w:pPr>
            <w:r>
              <w:rPr>
                <w:rFonts w:ascii="Arial" w:cs="Arial" w:eastAsia="Arial" w:hAnsi="Arial"/>
                <w:sz w:val="18"/>
                <w:szCs w:val="18"/>
                <w:color w:val="auto"/>
              </w:rPr>
              <w:t>Prepaid</w:t>
            </w:r>
          </w:p>
        </w:tc>
        <w:tc>
          <w:tcPr>
            <w:tcW w:w="2320" w:type="dxa"/>
            <w:vAlign w:val="bottom"/>
          </w:tcPr>
          <w:p>
            <w:pPr>
              <w:spacing w:after="0"/>
              <w:rPr>
                <w:sz w:val="20"/>
                <w:szCs w:val="20"/>
                <w:color w:val="auto"/>
              </w:rPr>
            </w:pPr>
          </w:p>
        </w:tc>
        <w:tc>
          <w:tcPr>
            <w:tcW w:w="2720" w:type="dxa"/>
            <w:vAlign w:val="bottom"/>
            <w:gridSpan w:val="2"/>
          </w:tcPr>
          <w:p>
            <w:pPr>
              <w:ind w:left="720"/>
              <w:spacing w:after="0"/>
              <w:rPr>
                <w:sz w:val="20"/>
                <w:szCs w:val="20"/>
                <w:color w:val="auto"/>
              </w:rPr>
            </w:pPr>
            <w:r>
              <w:rPr>
                <w:rFonts w:ascii="Arial" w:cs="Arial" w:eastAsia="Arial" w:hAnsi="Arial"/>
                <w:sz w:val="18"/>
                <w:szCs w:val="18"/>
                <w:color w:val="auto"/>
              </w:rPr>
              <w:t>Australia/New Zealand</w:t>
            </w:r>
          </w:p>
        </w:tc>
        <w:tc>
          <w:tcPr>
            <w:tcW w:w="1640" w:type="dxa"/>
            <w:vAlign w:val="bottom"/>
          </w:tcPr>
          <w:p>
            <w:pPr>
              <w:spacing w:after="0"/>
              <w:rPr>
                <w:sz w:val="20"/>
                <w:szCs w:val="20"/>
                <w:color w:val="auto"/>
              </w:rPr>
            </w:pPr>
          </w:p>
        </w:tc>
        <w:tc>
          <w:tcPr>
            <w:tcW w:w="1600" w:type="dxa"/>
            <w:vAlign w:val="bottom"/>
          </w:tcPr>
          <w:p>
            <w:pPr>
              <w:ind w:left="860"/>
              <w:spacing w:after="0"/>
              <w:rPr>
                <w:sz w:val="20"/>
                <w:szCs w:val="20"/>
                <w:color w:val="auto"/>
              </w:rPr>
            </w:pPr>
            <w:r>
              <w:rPr>
                <w:rFonts w:ascii="Arial" w:cs="Arial" w:eastAsia="Arial" w:hAnsi="Arial"/>
                <w:sz w:val="18"/>
                <w:szCs w:val="18"/>
                <w:color w:val="auto"/>
              </w:rPr>
              <w:t>Overall</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20" w:type="dxa"/>
            <w:vAlign w:val="bottom"/>
          </w:tcPr>
          <w:p>
            <w:pPr>
              <w:ind w:left="1260"/>
              <w:spacing w:after="0"/>
              <w:rPr>
                <w:sz w:val="20"/>
                <w:szCs w:val="20"/>
                <w:color w:val="auto"/>
              </w:rPr>
            </w:pPr>
            <w:r>
              <w:rPr>
                <w:rFonts w:ascii="Arial" w:cs="Arial" w:eastAsia="Arial" w:hAnsi="Arial"/>
                <w:sz w:val="14"/>
                <w:szCs w:val="14"/>
                <w:color w:val="auto"/>
              </w:rPr>
              <w:t>Threshold</w:t>
            </w:r>
          </w:p>
        </w:tc>
        <w:tc>
          <w:tcPr>
            <w:tcW w:w="1280" w:type="dxa"/>
            <w:vAlign w:val="bottom"/>
          </w:tcPr>
          <w:p>
            <w:pPr>
              <w:ind w:left="240"/>
              <w:spacing w:after="0"/>
              <w:rPr>
                <w:sz w:val="20"/>
                <w:szCs w:val="20"/>
                <w:color w:val="auto"/>
              </w:rPr>
            </w:pPr>
            <w:r>
              <w:rPr>
                <w:rFonts w:ascii="Arial" w:cs="Arial" w:eastAsia="Arial" w:hAnsi="Arial"/>
                <w:sz w:val="14"/>
                <w:szCs w:val="14"/>
                <w:color w:val="auto"/>
              </w:rPr>
              <w:t>Target</w:t>
            </w:r>
          </w:p>
        </w:tc>
        <w:tc>
          <w:tcPr>
            <w:tcW w:w="1440" w:type="dxa"/>
            <w:vAlign w:val="bottom"/>
          </w:tcPr>
          <w:p>
            <w:pPr>
              <w:ind w:left="240"/>
              <w:spacing w:after="0"/>
              <w:rPr>
                <w:sz w:val="20"/>
                <w:szCs w:val="20"/>
                <w:color w:val="auto"/>
              </w:rPr>
            </w:pPr>
            <w:r>
              <w:rPr>
                <w:rFonts w:ascii="Arial" w:cs="Arial" w:eastAsia="Arial" w:hAnsi="Arial"/>
                <w:sz w:val="14"/>
                <w:szCs w:val="14"/>
                <w:color w:val="auto"/>
              </w:rPr>
              <w:t>Maximum</w:t>
            </w:r>
          </w:p>
        </w:tc>
        <w:tc>
          <w:tcPr>
            <w:tcW w:w="1640" w:type="dxa"/>
            <w:vAlign w:val="bottom"/>
          </w:tcPr>
          <w:p>
            <w:pPr>
              <w:ind w:left="300"/>
              <w:spacing w:after="0"/>
              <w:rPr>
                <w:sz w:val="20"/>
                <w:szCs w:val="20"/>
                <w:color w:val="auto"/>
              </w:rPr>
            </w:pPr>
            <w:r>
              <w:rPr>
                <w:rFonts w:ascii="Arial" w:cs="Arial" w:eastAsia="Arial" w:hAnsi="Arial"/>
                <w:sz w:val="14"/>
                <w:szCs w:val="14"/>
                <w:color w:val="auto"/>
              </w:rPr>
              <w:t>Threshold</w:t>
            </w:r>
          </w:p>
        </w:tc>
        <w:tc>
          <w:tcPr>
            <w:tcW w:w="1600" w:type="dxa"/>
            <w:vAlign w:val="bottom"/>
          </w:tcPr>
          <w:p>
            <w:pPr>
              <w:ind w:left="240"/>
              <w:spacing w:after="0"/>
              <w:rPr>
                <w:sz w:val="20"/>
                <w:szCs w:val="20"/>
                <w:color w:val="auto"/>
              </w:rPr>
            </w:pPr>
            <w:r>
              <w:rPr>
                <w:rFonts w:ascii="Arial" w:cs="Arial" w:eastAsia="Arial" w:hAnsi="Arial"/>
                <w:sz w:val="14"/>
                <w:szCs w:val="14"/>
                <w:color w:val="auto"/>
              </w:rPr>
              <w:t>Target</w:t>
            </w:r>
          </w:p>
        </w:tc>
        <w:tc>
          <w:tcPr>
            <w:tcW w:w="1320" w:type="dxa"/>
            <w:vAlign w:val="bottom"/>
          </w:tcPr>
          <w:p>
            <w:pPr>
              <w:ind w:left="220"/>
              <w:spacing w:after="0"/>
              <w:rPr>
                <w:sz w:val="20"/>
                <w:szCs w:val="20"/>
                <w:color w:val="auto"/>
              </w:rPr>
            </w:pPr>
            <w:r>
              <w:rPr>
                <w:rFonts w:ascii="Arial" w:cs="Arial" w:eastAsia="Arial" w:hAnsi="Arial"/>
                <w:sz w:val="14"/>
                <w:szCs w:val="14"/>
                <w:color w:val="auto"/>
              </w:rPr>
              <w:t>Maximum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AUD</w:t>
            </w: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AUD</w:t>
            </w: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AUD</w:t>
            </w: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USD</w:t>
            </w:r>
          </w:p>
        </w:tc>
        <w:tc>
          <w:tcPr>
            <w:tcW w:w="16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USD</w:t>
            </w: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USD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2008</w:t>
            </w:r>
          </w:p>
        </w:tc>
        <w:tc>
          <w:tcPr>
            <w:tcW w:w="2320" w:type="dxa"/>
            <w:vAlign w:val="bottom"/>
          </w:tcPr>
          <w:p>
            <w:pPr>
              <w:ind w:left="1260"/>
              <w:spacing w:after="0"/>
              <w:rPr>
                <w:sz w:val="20"/>
                <w:szCs w:val="20"/>
                <w:color w:val="auto"/>
              </w:rPr>
            </w:pPr>
            <w:r>
              <w:rPr>
                <w:rFonts w:ascii="Arial" w:cs="Arial" w:eastAsia="Arial" w:hAnsi="Arial"/>
                <w:sz w:val="18"/>
                <w:szCs w:val="18"/>
                <w:color w:val="auto"/>
              </w:rPr>
              <w:t>14,237,617</w:t>
            </w:r>
          </w:p>
        </w:tc>
        <w:tc>
          <w:tcPr>
            <w:tcW w:w="1280" w:type="dxa"/>
            <w:vAlign w:val="bottom"/>
          </w:tcPr>
          <w:p>
            <w:pPr>
              <w:ind w:left="240"/>
              <w:spacing w:after="0"/>
              <w:rPr>
                <w:sz w:val="20"/>
                <w:szCs w:val="20"/>
                <w:color w:val="auto"/>
              </w:rPr>
            </w:pPr>
            <w:r>
              <w:rPr>
                <w:rFonts w:ascii="Arial" w:cs="Arial" w:eastAsia="Arial" w:hAnsi="Arial"/>
                <w:sz w:val="18"/>
                <w:szCs w:val="18"/>
                <w:color w:val="auto"/>
              </w:rPr>
              <w:t>14,883,832</w:t>
            </w:r>
          </w:p>
        </w:tc>
        <w:tc>
          <w:tcPr>
            <w:tcW w:w="1440" w:type="dxa"/>
            <w:vAlign w:val="bottom"/>
          </w:tcPr>
          <w:p>
            <w:pPr>
              <w:ind w:left="340"/>
              <w:spacing w:after="0"/>
              <w:rPr>
                <w:sz w:val="20"/>
                <w:szCs w:val="20"/>
                <w:color w:val="auto"/>
              </w:rPr>
            </w:pPr>
            <w:r>
              <w:rPr>
                <w:rFonts w:ascii="Arial" w:cs="Arial" w:eastAsia="Arial" w:hAnsi="Arial"/>
                <w:sz w:val="18"/>
                <w:szCs w:val="18"/>
                <w:color w:val="auto"/>
              </w:rPr>
              <w:t>15,569,288</w:t>
            </w:r>
          </w:p>
        </w:tc>
        <w:tc>
          <w:tcPr>
            <w:tcW w:w="1640" w:type="dxa"/>
            <w:vAlign w:val="bottom"/>
          </w:tcPr>
          <w:p>
            <w:pPr>
              <w:jc w:val="right"/>
              <w:ind w:right="159"/>
              <w:spacing w:after="0"/>
              <w:rPr>
                <w:sz w:val="20"/>
                <w:szCs w:val="20"/>
                <w:color w:val="auto"/>
              </w:rPr>
            </w:pPr>
            <w:r>
              <w:rPr>
                <w:rFonts w:ascii="Arial" w:cs="Arial" w:eastAsia="Arial" w:hAnsi="Arial"/>
                <w:sz w:val="18"/>
                <w:szCs w:val="18"/>
                <w:color w:val="auto"/>
              </w:rPr>
              <w:t>45,475,000**</w:t>
            </w:r>
          </w:p>
        </w:tc>
        <w:tc>
          <w:tcPr>
            <w:tcW w:w="1600" w:type="dxa"/>
            <w:vAlign w:val="bottom"/>
          </w:tcPr>
          <w:p>
            <w:pPr>
              <w:jc w:val="right"/>
              <w:ind w:right="177"/>
              <w:spacing w:after="0"/>
              <w:rPr>
                <w:sz w:val="20"/>
                <w:szCs w:val="20"/>
                <w:color w:val="auto"/>
              </w:rPr>
            </w:pPr>
            <w:r>
              <w:rPr>
                <w:rFonts w:ascii="Arial" w:cs="Arial" w:eastAsia="Arial" w:hAnsi="Arial"/>
                <w:sz w:val="18"/>
                <w:szCs w:val="18"/>
                <w:color w:val="auto"/>
              </w:rPr>
              <w:t>46,287,000**</w:t>
            </w:r>
          </w:p>
        </w:tc>
        <w:tc>
          <w:tcPr>
            <w:tcW w:w="1320" w:type="dxa"/>
            <w:vAlign w:val="bottom"/>
          </w:tcPr>
          <w:p>
            <w:pPr>
              <w:jc w:val="right"/>
              <w:spacing w:after="0"/>
              <w:rPr>
                <w:sz w:val="20"/>
                <w:szCs w:val="20"/>
                <w:color w:val="auto"/>
              </w:rPr>
            </w:pPr>
            <w:r>
              <w:rPr>
                <w:rFonts w:ascii="Arial" w:cs="Arial" w:eastAsia="Arial" w:hAnsi="Arial"/>
                <w:sz w:val="18"/>
                <w:szCs w:val="18"/>
                <w:color w:val="auto"/>
              </w:rPr>
              <w:t>47,099,000**</w:t>
            </w: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2009</w:t>
            </w:r>
          </w:p>
        </w:tc>
        <w:tc>
          <w:tcPr>
            <w:tcW w:w="2320" w:type="dxa"/>
            <w:vAlign w:val="bottom"/>
          </w:tcPr>
          <w:p>
            <w:pPr>
              <w:ind w:left="1260"/>
              <w:spacing w:after="0"/>
              <w:rPr>
                <w:sz w:val="20"/>
                <w:szCs w:val="20"/>
                <w:color w:val="auto"/>
              </w:rPr>
            </w:pPr>
            <w:r>
              <w:rPr>
                <w:rFonts w:ascii="Arial" w:cs="Arial" w:eastAsia="Arial" w:hAnsi="Arial"/>
                <w:sz w:val="18"/>
                <w:szCs w:val="18"/>
                <w:color w:val="auto"/>
              </w:rPr>
              <w:t>N/A</w:t>
            </w:r>
          </w:p>
        </w:tc>
        <w:tc>
          <w:tcPr>
            <w:tcW w:w="1280" w:type="dxa"/>
            <w:vAlign w:val="bottom"/>
          </w:tcPr>
          <w:p>
            <w:pPr>
              <w:ind w:left="240"/>
              <w:spacing w:after="0"/>
              <w:rPr>
                <w:sz w:val="20"/>
                <w:szCs w:val="20"/>
                <w:color w:val="auto"/>
              </w:rPr>
            </w:pPr>
            <w:r>
              <w:rPr>
                <w:rFonts w:ascii="Arial" w:cs="Arial" w:eastAsia="Arial" w:hAnsi="Arial"/>
                <w:sz w:val="18"/>
                <w:szCs w:val="18"/>
                <w:color w:val="auto"/>
              </w:rPr>
              <w:t>N/A</w:t>
            </w:r>
          </w:p>
        </w:tc>
        <w:tc>
          <w:tcPr>
            <w:tcW w:w="1440" w:type="dxa"/>
            <w:vAlign w:val="bottom"/>
          </w:tcPr>
          <w:p>
            <w:pPr>
              <w:ind w:left="340"/>
              <w:spacing w:after="0"/>
              <w:rPr>
                <w:sz w:val="20"/>
                <w:szCs w:val="20"/>
                <w:color w:val="auto"/>
              </w:rPr>
            </w:pPr>
            <w:r>
              <w:rPr>
                <w:rFonts w:ascii="Arial" w:cs="Arial" w:eastAsia="Arial" w:hAnsi="Arial"/>
                <w:sz w:val="18"/>
                <w:szCs w:val="18"/>
                <w:color w:val="auto"/>
              </w:rPr>
              <w:t>N/A</w:t>
            </w:r>
          </w:p>
        </w:tc>
        <w:tc>
          <w:tcPr>
            <w:tcW w:w="1640" w:type="dxa"/>
            <w:vAlign w:val="bottom"/>
          </w:tcPr>
          <w:p>
            <w:pPr>
              <w:jc w:val="right"/>
              <w:ind w:right="459"/>
              <w:spacing w:after="0"/>
              <w:rPr>
                <w:sz w:val="20"/>
                <w:szCs w:val="20"/>
                <w:color w:val="auto"/>
              </w:rPr>
            </w:pPr>
            <w:r>
              <w:rPr>
                <w:rFonts w:ascii="Arial" w:cs="Arial" w:eastAsia="Arial" w:hAnsi="Arial"/>
                <w:sz w:val="18"/>
                <w:szCs w:val="18"/>
                <w:color w:val="auto"/>
              </w:rPr>
              <w:t>12%***</w:t>
            </w:r>
          </w:p>
        </w:tc>
        <w:tc>
          <w:tcPr>
            <w:tcW w:w="1600" w:type="dxa"/>
            <w:vAlign w:val="bottom"/>
          </w:tcPr>
          <w:p>
            <w:pPr>
              <w:jc w:val="right"/>
              <w:ind w:right="477"/>
              <w:spacing w:after="0"/>
              <w:rPr>
                <w:sz w:val="20"/>
                <w:szCs w:val="20"/>
                <w:color w:val="auto"/>
              </w:rPr>
            </w:pPr>
            <w:r>
              <w:rPr>
                <w:rFonts w:ascii="Arial" w:cs="Arial" w:eastAsia="Arial" w:hAnsi="Arial"/>
                <w:sz w:val="18"/>
                <w:szCs w:val="18"/>
                <w:color w:val="auto"/>
              </w:rPr>
              <w:t>14%***</w:t>
            </w: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NZD for the purpose of consolidation is converted at 1NZD = 0.9 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$1 million of pre-approved investments made in 2008 will be backed out of the determination of whether 2008 targets are met.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2009 target is based on growth over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 the first meeting of the Compensation Committee following the date of this letter, you will be awarded 44,000 shares of restricted stock of Euronet: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24,000 shares will be time- vest and will vest over three years.</w:t>
      </w:r>
    </w:p>
    <w:p>
      <w:pPr>
        <w:spacing w:after="0" w:line="117" w:lineRule="exact"/>
        <w:rPr>
          <w:sz w:val="20"/>
          <w:szCs w:val="20"/>
          <w:color w:val="auto"/>
        </w:rPr>
      </w:pPr>
    </w:p>
    <w:p>
      <w:pPr>
        <w:ind w:left="460" w:right="300"/>
        <w:spacing w:after="0" w:line="342" w:lineRule="auto"/>
        <w:rPr>
          <w:sz w:val="20"/>
          <w:szCs w:val="20"/>
          <w:color w:val="auto"/>
        </w:rPr>
      </w:pPr>
      <w:r>
        <w:rPr>
          <w:rFonts w:ascii="Arial" w:cs="Arial" w:eastAsia="Arial" w:hAnsi="Arial"/>
          <w:sz w:val="16"/>
          <w:szCs w:val="16"/>
          <w:color w:val="auto"/>
        </w:rPr>
        <w:t>— 20,000 will be performance vest and will vest only upon fulfillment of the performance targets set out in the following table. Once the applicable performance target is met, one half of the shares will vest immediately and the other half will vest on the anniversary of the first vesting date.</w:t>
      </w:r>
    </w:p>
    <w:p>
      <w:pPr>
        <w:spacing w:after="0" w:line="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Compensation Committee will determine whether performance targets have been met at its first meeting following the close of the fiscal year for which such target has been set. The date of vesting for any performance based shares will be the date of such meeting.</w:t>
      </w:r>
    </w:p>
    <w:p>
      <w:pPr>
        <w:spacing w:after="0" w:line="6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For each of 2009 and 2010 (upon the annual grant of equity awards to other executives by the Compensation Committee) you will be eligible for 20,000 shares of restricted stock, which will be entirely performance vest and will also vest upon fulfillment of the performance targets set forth on the above table. Once the applicable performance target is met, one half of the shares will vest immediately and the other half will vest 12 months after such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Targets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Based on Euronet Prepaid Division operating income, , subject to the following adjustments:</w:t>
      </w:r>
    </w:p>
    <w:p>
      <w:pPr>
        <w:spacing w:after="0" w:line="117" w:lineRule="exact"/>
        <w:rPr>
          <w:sz w:val="20"/>
          <w:szCs w:val="20"/>
          <w:color w:val="auto"/>
        </w:rPr>
      </w:pPr>
    </w:p>
    <w:p>
      <w:pPr>
        <w:ind w:left="660" w:right="340" w:hanging="436"/>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impact of foreign exchange fluctuations will be eliminated, with the rates of foreign exchange being determined by reference to the rate as of 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PAGE 9</w:t>
      </w:r>
    </w:p>
    <w:p>
      <w:pPr>
        <w:spacing w:after="0" w:line="121" w:lineRule="exact"/>
        <w:rPr>
          <w:sz w:val="20"/>
          <w:szCs w:val="20"/>
          <w:color w:val="auto"/>
        </w:rPr>
      </w:pPr>
    </w:p>
    <w:p>
      <w:pPr>
        <w:ind w:left="440" w:right="300" w:hanging="436"/>
        <w:spacing w:after="0" w:line="277" w:lineRule="auto"/>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if the cross border acquiring division is moved in to the prepaid division then targets will be amended to remove the impact of cross border in the first year.</w:t>
      </w:r>
    </w:p>
    <w:p>
      <w:pPr>
        <w:spacing w:after="0" w:line="75" w:lineRule="exact"/>
        <w:rPr>
          <w:rFonts w:ascii="Arial" w:cs="Arial" w:eastAsia="Arial" w:hAnsi="Arial"/>
          <w:sz w:val="18"/>
          <w:szCs w:val="18"/>
          <w:b w:val="1"/>
          <w:bCs w:val="1"/>
          <w:color w:val="auto"/>
        </w:rPr>
      </w:pPr>
    </w:p>
    <w:p>
      <w:pPr>
        <w:ind w:left="440" w:hanging="436"/>
        <w:spacing w:after="0" w:line="277" w:lineRule="auto"/>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If any acquisitions are made, performance targets will be increased in an amount determined by the Compensation Committee to be reasonable based upon the anticipated impact of the acquisition;</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extraordinary items will be excluded</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any impairment charge against goodwill for Movilcarga and Telerecarga that is made before March 31, 2009 will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14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PAGE 10</w:t>
            </w:r>
          </w:p>
        </w:tc>
      </w:tr>
      <w:tr>
        <w:trPr>
          <w:trHeight w:val="346"/>
        </w:trPr>
        <w:tc>
          <w:tcPr>
            <w:tcW w:w="8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0" w:type="dxa"/>
            <w:vAlign w:val="bottom"/>
            <w:gridSpan w:val="5"/>
          </w:tcPr>
          <w:p>
            <w:pPr>
              <w:ind w:left="660"/>
              <w:spacing w:after="0"/>
              <w:rPr>
                <w:sz w:val="20"/>
                <w:szCs w:val="20"/>
                <w:color w:val="auto"/>
              </w:rPr>
            </w:pPr>
            <w:r>
              <w:rPr>
                <w:rFonts w:ascii="Arial" w:cs="Arial" w:eastAsia="Arial" w:hAnsi="Arial"/>
                <w:sz w:val="14"/>
                <w:szCs w:val="14"/>
                <w:color w:val="auto"/>
                <w:w w:val="95"/>
              </w:rPr>
              <w:t>Shares vesting per year if growth is: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8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&lt; 12%</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12%</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14%</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r>
      <w:tr>
        <w:trPr>
          <w:trHeight w:val="210"/>
        </w:trPr>
        <w:tc>
          <w:tcPr>
            <w:tcW w:w="840" w:type="dxa"/>
            <w:vAlign w:val="bottom"/>
            <w:shd w:val="clear" w:color="auto" w:fill="CCEEFF"/>
          </w:tcPr>
          <w:p>
            <w:pPr>
              <w:spacing w:after="0"/>
              <w:rPr>
                <w:sz w:val="18"/>
                <w:szCs w:val="18"/>
                <w:color w:val="auto"/>
              </w:rPr>
            </w:pPr>
          </w:p>
        </w:tc>
        <w:tc>
          <w:tcPr>
            <w:tcW w:w="3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2008 performance</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3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based award **</w:t>
            </w:r>
          </w:p>
        </w:tc>
        <w:tc>
          <w:tcPr>
            <w:tcW w:w="2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20,000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8,000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28,000</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28,000</w:t>
            </w:r>
          </w:p>
        </w:tc>
      </w:tr>
      <w:tr>
        <w:trPr>
          <w:trHeight w:val="418"/>
        </w:trPr>
        <w:tc>
          <w:tcPr>
            <w:tcW w:w="840" w:type="dxa"/>
            <w:vAlign w:val="bottom"/>
          </w:tcPr>
          <w:p>
            <w:pPr>
              <w:spacing w:after="0"/>
              <w:rPr>
                <w:sz w:val="24"/>
                <w:szCs w:val="24"/>
                <w:color w:val="auto"/>
              </w:rPr>
            </w:pPr>
          </w:p>
        </w:tc>
        <w:tc>
          <w:tcPr>
            <w:tcW w:w="3680" w:type="dxa"/>
            <w:vAlign w:val="bottom"/>
          </w:tcPr>
          <w:p>
            <w:pPr>
              <w:ind w:left="580"/>
              <w:spacing w:after="0"/>
              <w:rPr>
                <w:sz w:val="20"/>
                <w:szCs w:val="20"/>
                <w:color w:val="auto"/>
              </w:rPr>
            </w:pPr>
            <w:r>
              <w:rPr>
                <w:rFonts w:ascii="Arial" w:cs="Arial" w:eastAsia="Arial" w:hAnsi="Arial"/>
                <w:sz w:val="18"/>
                <w:szCs w:val="18"/>
                <w:color w:val="auto"/>
              </w:rPr>
              <w:t>2009 performance</w:t>
            </w:r>
          </w:p>
        </w:tc>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40" w:type="dxa"/>
            <w:vAlign w:val="bottom"/>
          </w:tcPr>
          <w:p>
            <w:pPr>
              <w:ind w:left="180"/>
              <w:spacing w:after="0"/>
              <w:rPr>
                <w:sz w:val="20"/>
                <w:szCs w:val="20"/>
                <w:color w:val="auto"/>
              </w:rPr>
            </w:pPr>
            <w:r>
              <w:rPr>
                <w:rFonts w:ascii="Arial" w:cs="Arial" w:eastAsia="Arial" w:hAnsi="Arial"/>
                <w:sz w:val="18"/>
                <w:szCs w:val="18"/>
                <w:color w:val="auto"/>
              </w:rPr>
              <w:t>Award</w:t>
            </w:r>
          </w:p>
        </w:tc>
        <w:tc>
          <w:tcPr>
            <w:tcW w:w="3680" w:type="dxa"/>
            <w:vAlign w:val="bottom"/>
          </w:tcPr>
          <w:p>
            <w:pPr>
              <w:ind w:left="580"/>
              <w:spacing w:after="0"/>
              <w:rPr>
                <w:sz w:val="20"/>
                <w:szCs w:val="20"/>
                <w:color w:val="auto"/>
              </w:rPr>
            </w:pPr>
            <w:r>
              <w:rPr>
                <w:rFonts w:ascii="Arial" w:cs="Arial" w:eastAsia="Arial" w:hAnsi="Arial"/>
                <w:sz w:val="18"/>
                <w:szCs w:val="18"/>
                <w:color w:val="auto"/>
              </w:rPr>
              <w:t>based award</w:t>
            </w:r>
          </w:p>
        </w:tc>
        <w:tc>
          <w:tcPr>
            <w:tcW w:w="2060" w:type="dxa"/>
            <w:vAlign w:val="bottom"/>
          </w:tcPr>
          <w:p>
            <w:pPr>
              <w:jc w:val="right"/>
              <w:ind w:right="590"/>
              <w:spacing w:after="0"/>
              <w:rPr>
                <w:sz w:val="20"/>
                <w:szCs w:val="20"/>
                <w:color w:val="auto"/>
              </w:rPr>
            </w:pPr>
            <w:r>
              <w:rPr>
                <w:rFonts w:ascii="Arial" w:cs="Arial" w:eastAsia="Arial" w:hAnsi="Arial"/>
                <w:sz w:val="18"/>
                <w:szCs w:val="18"/>
                <w:color w:val="auto"/>
              </w:rPr>
              <w:t>20,000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8,000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19,500</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0"/>
              </w:rPr>
              <w:t>28,000</w:t>
            </w:r>
          </w:p>
        </w:tc>
      </w:tr>
      <w:tr>
        <w:trPr>
          <w:trHeight w:val="216"/>
        </w:trPr>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3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2010 performance</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3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based award</w:t>
            </w:r>
          </w:p>
        </w:tc>
        <w:tc>
          <w:tcPr>
            <w:tcW w:w="2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20,000</w:t>
            </w:r>
          </w:p>
        </w:tc>
        <w:tc>
          <w:tcPr>
            <w:tcW w:w="136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8,000</w:t>
            </w:r>
          </w:p>
        </w:tc>
        <w:tc>
          <w:tcPr>
            <w:tcW w:w="134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19,500</w:t>
            </w: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28,000</w:t>
            </w:r>
          </w:p>
        </w:tc>
      </w:tr>
      <w:tr>
        <w:trPr>
          <w:trHeight w:val="642"/>
        </w:trPr>
        <w:tc>
          <w:tcPr>
            <w:tcW w:w="840" w:type="dxa"/>
            <w:vAlign w:val="bottom"/>
          </w:tcPr>
          <w:p>
            <w:pPr>
              <w:spacing w:after="0"/>
              <w:rPr>
                <w:sz w:val="24"/>
                <w:szCs w:val="24"/>
                <w:color w:val="auto"/>
              </w:rPr>
            </w:pPr>
          </w:p>
        </w:tc>
        <w:tc>
          <w:tcPr>
            <w:tcW w:w="3680" w:type="dxa"/>
            <w:vAlign w:val="bottom"/>
          </w:tcPr>
          <w:p>
            <w:pPr>
              <w:ind w:left="580"/>
              <w:spacing w:after="0"/>
              <w:rPr>
                <w:sz w:val="20"/>
                <w:szCs w:val="20"/>
                <w:color w:val="auto"/>
              </w:rPr>
            </w:pPr>
            <w:r>
              <w:rPr>
                <w:rFonts w:ascii="Arial" w:cs="Arial" w:eastAsia="Arial" w:hAnsi="Arial"/>
                <w:sz w:val="18"/>
                <w:szCs w:val="18"/>
                <w:color w:val="auto"/>
              </w:rPr>
              <w:t>Total performance opportunity</w:t>
            </w:r>
          </w:p>
        </w:tc>
        <w:tc>
          <w:tcPr>
            <w:tcW w:w="206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24,000</w:t>
            </w:r>
          </w:p>
        </w:tc>
        <w:tc>
          <w:tcPr>
            <w:tcW w:w="13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45,500</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67,000</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84,000</w:t>
            </w:r>
          </w:p>
        </w:tc>
      </w:tr>
      <w:tr>
        <w:trPr>
          <w:trHeight w:val="20"/>
        </w:trPr>
        <w:tc>
          <w:tcPr>
            <w:tcW w:w="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3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Three year time based</w:t>
            </w:r>
          </w:p>
        </w:tc>
        <w:tc>
          <w:tcPr>
            <w:tcW w:w="2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24,000</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When a performance target is met, half of the shares concerned will vest, while the other half will vest 12 months after the target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 to $1 million of pre-approved investments made in 2008 will be backed out of the determination of whether 2008 targets are met. The 2008 performance award will be based on the combined performance of Australia and NZ and the prepaid division operating results as defined in the bonus calculation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PAGE 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 – EMPLOYMENT PARTICULARS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Name of employer: E-Pay Australia Pty Ltd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Employer’s address: Level 9, 131 York Street, Sydney NSW 2000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Telephone number: 02 8297 2800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Basic Details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Name of employee: Gareth Gumbley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Start Date:1 November 2004</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Commencement date if different from 1.2 (if transferred under TUPE Regulations):......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Your job title: Managing Director, Prepaid Division (Seconded to E-Pay Ltd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Primary work location: 1</w:t>
      </w:r>
      <w:r>
        <w:rPr>
          <w:rFonts w:ascii="Arial" w:cs="Arial" w:eastAsia="Arial" w:hAnsi="Arial"/>
          <w:sz w:val="15"/>
          <w:szCs w:val="15"/>
          <w:color w:val="auto"/>
        </w:rPr>
        <w:t>st</w:t>
      </w:r>
      <w:r>
        <w:rPr>
          <w:rFonts w:ascii="Arial" w:cs="Arial" w:eastAsia="Arial" w:hAnsi="Arial"/>
          <w:sz w:val="18"/>
          <w:szCs w:val="18"/>
          <w:color w:val="auto"/>
        </w:rPr>
        <w:t xml:space="preserve"> Floor Devonshire House, Devonshire Street, London, W1W 5DS.</w:t>
      </w:r>
    </w:p>
    <w:p>
      <w:pPr>
        <w:spacing w:after="0" w:line="131" w:lineRule="exact"/>
        <w:rPr>
          <w:sz w:val="20"/>
          <w:szCs w:val="20"/>
          <w:color w:val="auto"/>
        </w:rPr>
      </w:pPr>
    </w:p>
    <w:p>
      <w:pPr>
        <w:ind w:left="840" w:right="20" w:hanging="377"/>
        <w:spacing w:after="0" w:line="277" w:lineRule="auto"/>
        <w:rPr>
          <w:sz w:val="20"/>
          <w:szCs w:val="20"/>
          <w:color w:val="auto"/>
        </w:rPr>
      </w:pPr>
      <w:r>
        <w:rPr>
          <w:rFonts w:ascii="Arial" w:cs="Arial" w:eastAsia="Arial" w:hAnsi="Arial"/>
          <w:sz w:val="18"/>
          <w:szCs w:val="18"/>
          <w:color w:val="auto"/>
        </w:rPr>
        <w:t>1.6. Your rate of pay is £170,000 per annum, or £14,167.67 per month before tax and statutory deductions. You may choose to take this amount in cash or salary sacrifice a component for housing allowance.</w:t>
      </w:r>
    </w:p>
    <w:p>
      <w:pPr>
        <w:spacing w:after="0" w:line="76" w:lineRule="exact"/>
        <w:rPr>
          <w:sz w:val="20"/>
          <w:szCs w:val="20"/>
          <w:color w:val="auto"/>
        </w:rPr>
      </w:pPr>
    </w:p>
    <w:p>
      <w:pPr>
        <w:ind w:left="840" w:right="780" w:hanging="377"/>
        <w:spacing w:after="0" w:line="277" w:lineRule="auto"/>
        <w:tabs>
          <w:tab w:leader="none" w:pos="820" w:val="left"/>
        </w:tabs>
        <w:rPr>
          <w:sz w:val="20"/>
          <w:szCs w:val="20"/>
          <w:color w:val="auto"/>
        </w:rPr>
      </w:pPr>
      <w:r>
        <w:rPr>
          <w:rFonts w:ascii="Arial" w:cs="Arial" w:eastAsia="Arial" w:hAnsi="Arial"/>
          <w:sz w:val="18"/>
          <w:szCs w:val="18"/>
          <w:color w:val="auto"/>
        </w:rPr>
        <w:t>1.7</w:t>
        <w:tab/>
        <w:t>You are employed on a permanent basis subject to your contractual terms, and current secondment arrangements are subject to the terms applicable to the secondment.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Commencement of employment and continuous employment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Your employment with E-Pay Australia Pty Ltd began is recorded at paragraph 1.2.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Your period of continuous employment began on this 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Job description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Undertake work consistent with your job title, as stated in paragraph 1.4 above, or any other task as reasonably directed by your manager.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Job location(s)</w:t>
      </w:r>
    </w:p>
    <w:p>
      <w:pPr>
        <w:spacing w:after="0" w:line="121"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color w:val="auto"/>
        </w:rPr>
        <w:t>You will be required to work at the location identified in paragraph 1.5, and such other locations as may reasonably be required by the Company and E-Pay Ltd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Working overseas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 are currently relocated on secondment to the United Kingdom.</w:t>
      </w:r>
    </w:p>
    <w:p>
      <w:pPr>
        <w:spacing w:after="0" w:line="117" w:lineRule="exact"/>
        <w:rPr>
          <w:sz w:val="20"/>
          <w:szCs w:val="20"/>
          <w:color w:val="auto"/>
        </w:rPr>
      </w:pPr>
    </w:p>
    <w:p>
      <w:pPr>
        <w:ind w:left="240" w:right="400"/>
        <w:spacing w:after="0" w:line="308" w:lineRule="auto"/>
        <w:rPr>
          <w:sz w:val="20"/>
          <w:szCs w:val="20"/>
          <w:color w:val="auto"/>
        </w:rPr>
      </w:pPr>
      <w:r>
        <w:rPr>
          <w:rFonts w:ascii="Arial" w:cs="Arial" w:eastAsia="Arial" w:hAnsi="Arial"/>
          <w:sz w:val="17"/>
          <w:szCs w:val="17"/>
          <w:color w:val="auto"/>
        </w:rPr>
        <w:t>You will be required to travel overseas from time to time while deployed in the United Kingdom. You will receive travel expenses in accordance with Group policies, but you will receive no additional remuneration with the exception of benefits set out in your Secondment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Pay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Your rate of pay is specified in paragraph 1.6.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This will be paid monthly in arrears, and such payments will be subject to tax and statutory contributions.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Your benefits are otherwise as per the terms of your Secondment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PAGE 12</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 will not be paid for any period of unauthorised absence.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Hours of work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 are employed to work on a full-time basis.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Your normal working hours will be 40 hours per week, Monday to Friday.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 will normally work between the hours of 9:00am and 5:30pm.</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 will be required to work such hours as are required for the discharge of your duties.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Holidays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 are entitled to 20 days’ holiday per year, plus public holidays.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 may occasionally be required to work public holidays.</w:t>
      </w:r>
    </w:p>
    <w:p>
      <w:pPr>
        <w:spacing w:after="0" w:line="117" w:lineRule="exact"/>
        <w:rPr>
          <w:sz w:val="20"/>
          <w:szCs w:val="20"/>
          <w:color w:val="auto"/>
        </w:rPr>
      </w:pPr>
    </w:p>
    <w:p>
      <w:pPr>
        <w:jc w:val="both"/>
        <w:ind w:left="240" w:right="500"/>
        <w:spacing w:after="0" w:line="264" w:lineRule="auto"/>
        <w:rPr>
          <w:sz w:val="20"/>
          <w:szCs w:val="20"/>
          <w:color w:val="auto"/>
        </w:rPr>
      </w:pPr>
      <w:r>
        <w:rPr>
          <w:rFonts w:ascii="Arial" w:cs="Arial" w:eastAsia="Arial" w:hAnsi="Arial"/>
          <w:sz w:val="18"/>
          <w:szCs w:val="18"/>
          <w:color w:val="auto"/>
        </w:rPr>
        <w:t>The Company’s holiday year runs from 1 January of each year. If your employment starts or finishes part way through the holiday year your holiday entitlement will be calculated on a pro-rata basis. Deductions from final wages due to you on termination of employment will be made in respect of holidays taken in excess of entitlement.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Sickness absence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You will be entitled to sick pay in accordance with the terms of your contract of employment and in accordance with minimum statutory requirements.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scheme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 of cash based compensation per Australian Super regulations paid in to an Australian Super fund of your choice.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Collective agreements with trade unions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are no collective agreements with trade unions or other employee groups affecting this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Application of terms and ending the employment</w:t>
      </w:r>
    </w:p>
    <w:p>
      <w:pPr>
        <w:spacing w:after="0" w:line="121"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color w:val="auto"/>
        </w:rPr>
        <w:t>These terms will cease to apply upon amendment by agreement between the parties or upon the cessation of your secondment arrangements in the United Kingdom.</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Your employment may otherwise be ended in accordance with the terms of your contract of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Disciplinary and grievance procedure</w:t>
      </w:r>
    </w:p>
    <w:p>
      <w:pPr>
        <w:spacing w:after="0" w:line="121" w:lineRule="exact"/>
        <w:rPr>
          <w:sz w:val="20"/>
          <w:szCs w:val="20"/>
          <w:color w:val="auto"/>
        </w:rPr>
      </w:pPr>
    </w:p>
    <w:p>
      <w:pPr>
        <w:jc w:val="both"/>
        <w:ind w:left="240" w:right="100"/>
        <w:spacing w:after="0" w:line="264" w:lineRule="auto"/>
        <w:rPr>
          <w:sz w:val="20"/>
          <w:szCs w:val="20"/>
          <w:color w:val="auto"/>
        </w:rPr>
      </w:pPr>
      <w:r>
        <w:rPr>
          <w:rFonts w:ascii="Arial" w:cs="Arial" w:eastAsia="Arial" w:hAnsi="Arial"/>
          <w:sz w:val="18"/>
          <w:szCs w:val="18"/>
          <w:color w:val="auto"/>
        </w:rPr>
        <w:t>The Company operates a disciplinary policy which complies with the statutory dismissal and disciplinary procedure under Schedule 2 of the Employment Act 2002. A copy of this policy is in the Company Handbook and can otherwise be obtained on request. We reserve the right to suspend you with pay for the purpose of investigating any allegation of misconduct against you.</w:t>
      </w:r>
    </w:p>
    <w:p>
      <w:pPr>
        <w:spacing w:after="0" w:line="73" w:lineRule="exact"/>
        <w:rPr>
          <w:sz w:val="20"/>
          <w:szCs w:val="20"/>
          <w:color w:val="auto"/>
        </w:rPr>
      </w:pPr>
    </w:p>
    <w:p>
      <w:pPr>
        <w:ind w:left="240" w:right="300"/>
        <w:spacing w:after="0" w:line="312" w:lineRule="auto"/>
        <w:rPr>
          <w:sz w:val="20"/>
          <w:szCs w:val="20"/>
          <w:color w:val="auto"/>
        </w:rPr>
      </w:pPr>
      <w:r>
        <w:rPr>
          <w:rFonts w:ascii="Arial" w:cs="Arial" w:eastAsia="Arial" w:hAnsi="Arial"/>
          <w:sz w:val="16"/>
          <w:szCs w:val="16"/>
          <w:color w:val="auto"/>
        </w:rPr>
        <w:t>If you have a grievance relating to your employment you should raise it in writing with Jeffrey Newman. A copy of our grievance policy is in the Company Handbook and can otherwise be obtained on request from our Human Resources Department. Where applicable, the Company will deal with your grievance in accordance with the requirements of the statutory grievance procedures set out at Schedule 2 to the Employment Act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PAGE 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14. I acknowledge receipt of my particulars of employment</w:t>
      </w:r>
    </w:p>
    <w:p>
      <w:pPr>
        <w:spacing w:after="0" w:line="225" w:lineRule="exact"/>
        <w:rPr>
          <w:sz w:val="20"/>
          <w:szCs w:val="20"/>
          <w:color w:val="auto"/>
        </w:rPr>
      </w:pPr>
    </w:p>
    <w:p>
      <w:pPr>
        <w:spacing w:after="0"/>
        <w:tabs>
          <w:tab w:leader="none" w:pos="820" w:val="left"/>
          <w:tab w:leader="none" w:pos="6860" w:val="left"/>
          <w:tab w:leader="none" w:pos="754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/s/ GARETH GUMBLEY</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6360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360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PAGE 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UPON CHANGE OF CONTROL</w:t>
      </w:r>
    </w:p>
    <w:p>
      <w:pPr>
        <w:spacing w:after="0" w:line="121" w:lineRule="exact"/>
        <w:rPr>
          <w:sz w:val="20"/>
          <w:szCs w:val="20"/>
          <w:color w:val="auto"/>
        </w:rPr>
      </w:pPr>
    </w:p>
    <w:p>
      <w:pPr>
        <w:ind w:left="680" w:hanging="447"/>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For the purposes of this Schedule 3, a “Change of Control” occurs if:</w:t>
      </w:r>
    </w:p>
    <w:p>
      <w:pPr>
        <w:spacing w:after="0" w:line="131" w:lineRule="exact"/>
        <w:rPr>
          <w:sz w:val="20"/>
          <w:szCs w:val="20"/>
          <w:color w:val="auto"/>
        </w:rPr>
      </w:pPr>
    </w:p>
    <w:p>
      <w:pPr>
        <w:ind w:left="680" w:right="460" w:hanging="449"/>
        <w:spacing w:after="0" w:line="277" w:lineRule="auto"/>
        <w:tabs>
          <w:tab w:leader="none" w:pos="660" w:val="left"/>
        </w:tabs>
        <w:rPr>
          <w:sz w:val="20"/>
          <w:szCs w:val="20"/>
          <w:color w:val="auto"/>
        </w:rPr>
      </w:pPr>
      <w:r>
        <w:rPr>
          <w:rFonts w:ascii="Arial" w:cs="Arial" w:eastAsia="Arial" w:hAnsi="Arial"/>
          <w:sz w:val="18"/>
          <w:szCs w:val="18"/>
          <w:color w:val="auto"/>
        </w:rPr>
        <w:t>1.1</w:t>
        <w:tab/>
        <w:t>a merger, consolidation or dissolution of Euronet Worldwide, Inc. (“EWI”) or a sale, lease, exchange or disposition of all or substantially all of EWI’s assets has been completed;</w:t>
      </w:r>
    </w:p>
    <w:p>
      <w:pPr>
        <w:spacing w:after="0" w:line="76" w:lineRule="exact"/>
        <w:rPr>
          <w:sz w:val="20"/>
          <w:szCs w:val="20"/>
          <w:color w:val="auto"/>
        </w:rPr>
      </w:pPr>
    </w:p>
    <w:p>
      <w:pPr>
        <w:ind w:left="680" w:right="200" w:hanging="449"/>
        <w:spacing w:after="0" w:line="264" w:lineRule="auto"/>
        <w:tabs>
          <w:tab w:leader="none" w:pos="660" w:val="left"/>
        </w:tabs>
        <w:rPr>
          <w:sz w:val="20"/>
          <w:szCs w:val="20"/>
          <w:color w:val="auto"/>
        </w:rPr>
      </w:pPr>
      <w:r>
        <w:rPr>
          <w:rFonts w:ascii="Arial" w:cs="Arial" w:eastAsia="Arial" w:hAnsi="Arial"/>
          <w:sz w:val="18"/>
          <w:szCs w:val="18"/>
          <w:color w:val="auto"/>
        </w:rPr>
        <w:t>1.2</w:t>
        <w:tab/>
        <w:t>less than 75% of the members of the Board of EWI are individuals who were either members of the Board on the date of this Agreement or whose election or nomination was approved by a vote of at least 75% of the members of the Board then still in office who were either members of the Board on the date of this Agreement or whose election or nomination was so approved; or</w:t>
      </w:r>
    </w:p>
    <w:p>
      <w:pPr>
        <w:spacing w:after="0" w:line="87" w:lineRule="exact"/>
        <w:rPr>
          <w:sz w:val="20"/>
          <w:szCs w:val="20"/>
          <w:color w:val="auto"/>
        </w:rPr>
      </w:pPr>
    </w:p>
    <w:p>
      <w:pPr>
        <w:ind w:left="680" w:hanging="449"/>
        <w:spacing w:after="0" w:line="312" w:lineRule="auto"/>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any person (as such term is defined at sections 13(d) and 14(d) of the U.S. Securities Exchange Act of 1934 (“the Exchange Act”) shall have become “beneficial owner” (as defined in Rule 13d-3 under the Exchange Act) directly or indirectly of securities of EWI representing 40% or more (calculated in accordance with Rule 13d-3 of the Exchange Act) of the aggregate voting power of EWI’s then outstanding voting securities.</w:t>
      </w:r>
    </w:p>
    <w:p>
      <w:pPr>
        <w:spacing w:after="0" w:line="52" w:lineRule="exact"/>
        <w:rPr>
          <w:sz w:val="20"/>
          <w:szCs w:val="20"/>
          <w:color w:val="auto"/>
        </w:rPr>
      </w:pPr>
    </w:p>
    <w:p>
      <w:pPr>
        <w:ind w:left="680" w:right="120" w:hanging="672"/>
        <w:spacing w:after="0" w:line="272" w:lineRule="auto"/>
        <w:tabs>
          <w:tab w:leader="none" w:pos="68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Subject to the terms and conditions of this Schedule 3 and in particular clause 6, in the event of a Change of Control at any time during your secondment, you will be entitled to remain either in your seconded position on the terms of this Agreement or, at the election of the E-Pay or EPAL under this Agreement or the Secondment Agreement (as applicable), in your position of employment with EPAL, for a cumulative period of an additional three years from the date of such Change of Control (the “Change Control Date”), at not less than the capacity you held with EPAL immediately prior to the commencement of your secondment under this Agreement. During the Three-Year Period, you shall be entitled to a salary at a rate not less than that paid you at the Control Change Date, at the same intervals. Any termination of your employment following a Control Change Date will occur in accordance with the terms of this Schedule 3.</w:t>
      </w:r>
    </w:p>
    <w:p>
      <w:pPr>
        <w:spacing w:after="0" w:line="83" w:lineRule="exact"/>
        <w:rPr>
          <w:rFonts w:ascii="Arial" w:cs="Arial" w:eastAsia="Arial" w:hAnsi="Arial"/>
          <w:sz w:val="17"/>
          <w:szCs w:val="17"/>
          <w:b w:val="1"/>
          <w:bCs w:val="1"/>
          <w:color w:val="auto"/>
        </w:rPr>
      </w:pPr>
    </w:p>
    <w:p>
      <w:pPr>
        <w:ind w:left="680" w:right="40" w:hanging="672"/>
        <w:spacing w:after="0" w:line="277" w:lineRule="auto"/>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During the Three Year Period, you shall be entitled to participate in each of the following plans (together, the “Specified Benefits”) in existence, and in accordance with the terms thereof, at the Control Change Date:</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any incentive compensation plans;</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any benefit plan and trust fund associated therewith, related to (A) life, health, dental, disability, or accidental death and dismemberment insurance,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employee stock or share ownership (such as under the EWI ESPP and other stock option plans); and</w:t>
      </w:r>
    </w:p>
    <w:p>
      <w:pPr>
        <w:spacing w:after="0" w:line="116"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any other benefit plans hereafter made generally available to employees at your level of responsibility within EWI.</w:t>
      </w:r>
    </w:p>
    <w:p>
      <w:pPr>
        <w:spacing w:after="0" w:line="117" w:lineRule="exact"/>
        <w:rPr>
          <w:sz w:val="20"/>
          <w:szCs w:val="20"/>
          <w:color w:val="auto"/>
        </w:rPr>
      </w:pPr>
    </w:p>
    <w:p>
      <w:pPr>
        <w:ind w:left="460" w:right="140" w:hanging="452"/>
        <w:spacing w:after="0" w:line="264" w:lineRule="auto"/>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All outstanding options or restricted stock by you under any stock or share option plan of the Group shall become immediately vested on the Control Change Date, provided that any performance based equity awards will be deemed vested as if the middle level of performance (14% growth) had been met.</w:t>
      </w:r>
    </w:p>
    <w:p>
      <w:pPr>
        <w:spacing w:after="0" w:line="86" w:lineRule="exact"/>
        <w:rPr>
          <w:rFonts w:ascii="Arial" w:cs="Arial" w:eastAsia="Arial" w:hAnsi="Arial"/>
          <w:sz w:val="18"/>
          <w:szCs w:val="18"/>
          <w:b w:val="1"/>
          <w:bCs w:val="1"/>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You shall receive payment of any amounts to which you are entitled within five business days of the Control Change Date.</w:t>
      </w:r>
    </w:p>
    <w:p>
      <w:pPr>
        <w:spacing w:after="0" w:line="130" w:lineRule="exact"/>
        <w:rPr>
          <w:rFonts w:ascii="Arial" w:cs="Arial" w:eastAsia="Arial" w:hAnsi="Arial"/>
          <w:sz w:val="18"/>
          <w:szCs w:val="18"/>
          <w:b w:val="1"/>
          <w:bCs w:val="1"/>
          <w:color w:val="auto"/>
        </w:rPr>
      </w:pPr>
    </w:p>
    <w:p>
      <w:pPr>
        <w:ind w:left="460" w:right="400" w:hanging="452"/>
        <w:spacing w:after="0" w:line="277" w:lineRule="auto"/>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Schedule 3, at any time after the Control Change Date, EPAL may terminate your employment for any reason, (the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PAGE 15</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but within five days of the termination of your employment, EPAL or a nominee shall pay to you:</w:t>
      </w:r>
    </w:p>
    <w:p>
      <w:pPr>
        <w:spacing w:after="0" w:line="131" w:lineRule="exact"/>
        <w:rPr>
          <w:sz w:val="20"/>
          <w:szCs w:val="20"/>
          <w:color w:val="auto"/>
        </w:rPr>
      </w:pPr>
    </w:p>
    <w:p>
      <w:pPr>
        <w:ind w:left="460" w:right="40" w:hanging="445"/>
        <w:spacing w:after="0" w:line="277" w:lineRule="auto"/>
        <w:tabs>
          <w:tab w:leader="none" w:pos="440" w:val="left"/>
        </w:tabs>
        <w:rPr>
          <w:sz w:val="20"/>
          <w:szCs w:val="20"/>
          <w:color w:val="auto"/>
        </w:rPr>
      </w:pPr>
      <w:r>
        <w:rPr>
          <w:rFonts w:ascii="Arial" w:cs="Arial" w:eastAsia="Arial" w:hAnsi="Arial"/>
          <w:sz w:val="18"/>
          <w:szCs w:val="18"/>
          <w:color w:val="auto"/>
        </w:rPr>
        <w:t>6.1</w:t>
        <w:tab/>
        <w:t>your salary (as specified at Item 3 of Schedule 1, as varied by EPAL at its discretion from time to time) (“Salary”) and accrued leave entitlements to the date of the termination of your employment, and</w:t>
      </w:r>
    </w:p>
    <w:p>
      <w:pPr>
        <w:spacing w:after="0" w:line="76" w:lineRule="exact"/>
        <w:rPr>
          <w:sz w:val="20"/>
          <w:szCs w:val="20"/>
          <w:color w:val="auto"/>
        </w:rPr>
      </w:pPr>
    </w:p>
    <w:p>
      <w:pPr>
        <w:ind w:left="460" w:right="260" w:hanging="445"/>
        <w:spacing w:after="0" w:line="264" w:lineRule="auto"/>
        <w:tabs>
          <w:tab w:leader="none" w:pos="440" w:val="left"/>
        </w:tabs>
        <w:rPr>
          <w:sz w:val="20"/>
          <w:szCs w:val="20"/>
          <w:color w:val="auto"/>
        </w:rPr>
      </w:pPr>
      <w:r>
        <w:rPr>
          <w:rFonts w:ascii="Arial" w:cs="Arial" w:eastAsia="Arial" w:hAnsi="Arial"/>
          <w:sz w:val="18"/>
          <w:szCs w:val="18"/>
          <w:color w:val="auto"/>
        </w:rPr>
        <w:t>6.2</w:t>
        <w:tab/>
        <w:t>a lump sum amount (the “Special Severance Payment”) equal to the product (discounted to the then present value on the basis of a rate of 7.5% per annum) of your Salary multiplied by the number of years and any portion thereof remaining in the Three-Year Period (or if the remaining term in the Three-Year Period after the Termination is less than two years, for two years — the “Extended Period”);</w:t>
      </w:r>
    </w:p>
    <w:p>
      <w:pPr>
        <w:spacing w:after="0" w:line="87" w:lineRule="exact"/>
        <w:rPr>
          <w:sz w:val="20"/>
          <w:szCs w:val="20"/>
          <w:color w:val="auto"/>
        </w:rPr>
      </w:pPr>
    </w:p>
    <w:p>
      <w:pPr>
        <w:ind w:left="460" w:right="200" w:hanging="452"/>
        <w:spacing w:after="0" w:line="308" w:lineRule="auto"/>
        <w:tabs>
          <w:tab w:leader="none" w:pos="4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In the event of a termination of your employment under clause 6 of this Schedule 3, Specified Benefits to which you are entitled immediately prior to Termination shall continue until the end of the Three Year Period (or the Extended Period, if applicable); provided that:</w:t>
      </w:r>
    </w:p>
    <w:p>
      <w:pPr>
        <w:spacing w:after="0" w:line="52" w:lineRule="exact"/>
        <w:rPr>
          <w:sz w:val="20"/>
          <w:szCs w:val="20"/>
          <w:color w:val="auto"/>
        </w:rPr>
      </w:pPr>
    </w:p>
    <w:p>
      <w:pPr>
        <w:jc w:val="both"/>
        <w:ind w:left="460" w:right="100" w:hanging="445"/>
        <w:spacing w:after="0" w:line="259" w:lineRule="auto"/>
        <w:tabs>
          <w:tab w:leader="none" w:pos="440" w:val="left"/>
        </w:tabs>
        <w:rPr>
          <w:sz w:val="20"/>
          <w:szCs w:val="20"/>
          <w:color w:val="auto"/>
        </w:rPr>
      </w:pPr>
      <w:r>
        <w:rPr>
          <w:rFonts w:ascii="Arial" w:cs="Arial" w:eastAsia="Arial" w:hAnsi="Arial"/>
          <w:sz w:val="18"/>
          <w:szCs w:val="18"/>
          <w:color w:val="auto"/>
        </w:rPr>
        <w:t>7.1</w:t>
        <w:tab/>
        <w:t>if any plan pursuant to which Specified Benefits are provided immediately prior to Termination would not permit continued participation by Employee after the termination of your employment, EPAL or a nominee shall pay to you within five days after the date of the termination of your employment a lump sum payment equal to the amount of Specified Benefits you would have received if you had been fully vested an a continuing participant in such plan to the end of the Three-Year Period or the Extended Period, if applicable; and</w:t>
      </w:r>
    </w:p>
    <w:p>
      <w:pPr>
        <w:spacing w:after="0" w:line="92"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7.2</w:t>
        <w:tab/>
        <w:t>if you obtain new employment following the termination of your employment, then following any waiting period applicable to participation in any plan of the new employer, you shall continue to be entitled to receive the Specified Benefits (of equivalent benefits in accordance with clause 7.1 of this Schedule 3) only to the extent such benefits would exceed those available to you under comparable plans made available by your new employer (but you shall not be required to repay any amounts then already received by you).</w:t>
      </w:r>
    </w:p>
    <w:p>
      <w:pPr>
        <w:spacing w:after="0" w:line="92" w:lineRule="exact"/>
        <w:rPr>
          <w:sz w:val="20"/>
          <w:szCs w:val="20"/>
          <w:color w:val="auto"/>
        </w:rPr>
      </w:pPr>
    </w:p>
    <w:p>
      <w:pPr>
        <w:ind w:left="460" w:right="40" w:hanging="452"/>
        <w:spacing w:after="0" w:line="270" w:lineRule="auto"/>
        <w:tabs>
          <w:tab w:leader="none" w:pos="4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In the event of a Change of Control, thereafter, for “good reason” (as defined below), you may, at any time during the Three Year Period, in your sole discretion, on not less than thirty (30) days’ written notice and effective at the end of such notice period, resign your employment with EPAL (the “Resignation”). Within five days of your Resignation, EPAL (or a nominee) shall pay to you your full Salary through to the effective date of your Resignation, plus a lump sum amount equal to the Special Severance Payment calculated in accordance with clause 6 of this Schedule 3, except that for purposes of such calculations, all references to “Termination” shall be deemed to be references to “Resignation”). Upon your Resignation, Specified Benefits to which you are entitled immediately prior to Resignation shall continue on the same terms and conditions as provided in clause 7 of this Schedule 3, as applicable in the event of a termination of your employment by the Company (including equivalent payments provided in circumstances described at clause 7). For purposes of this Agreement, a “good reason” is where the employee is entitled at law to treat himself as having been constructively dismissed by EPAL.</w:t>
      </w:r>
    </w:p>
    <w:p>
      <w:pPr>
        <w:spacing w:after="0" w:line="87" w:lineRule="exact"/>
        <w:rPr>
          <w:rFonts w:ascii="Arial" w:cs="Arial" w:eastAsia="Arial" w:hAnsi="Arial"/>
          <w:sz w:val="17"/>
          <w:szCs w:val="17"/>
          <w:b w:val="1"/>
          <w:bCs w:val="1"/>
          <w:color w:val="auto"/>
        </w:rPr>
      </w:pPr>
    </w:p>
    <w:p>
      <w:pPr>
        <w:ind w:left="460" w:right="520" w:hanging="452"/>
        <w:spacing w:after="0" w:line="259" w:lineRule="auto"/>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After the Control Change Date, you shall not be required to mitigate the amount of any payment provided for in this Schedule 3 by seeking other employment or otherwise and except as expressly set forth herein no such other employment, if obtained, or compensation or benefits payable in connection therewith shall reduce any amounts or benefits to which you are entitled under the terms of this Schedule 3, with the exception of circumstances referred to at clause 7 of this 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PAGE 16</w:t>
      </w:r>
    </w:p>
    <w:p>
      <w:pPr>
        <w:spacing w:after="0" w:line="121" w:lineRule="exact"/>
        <w:rPr>
          <w:sz w:val="20"/>
          <w:szCs w:val="20"/>
          <w:color w:val="auto"/>
        </w:rPr>
      </w:pPr>
    </w:p>
    <w:p>
      <w:pPr>
        <w:ind w:left="460" w:right="140" w:hanging="452"/>
        <w:spacing w:after="0" w:line="276" w:lineRule="auto"/>
        <w:tabs>
          <w:tab w:leader="none" w:pos="4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If any dispute should arise under this Agreement after the Control Change Date involving an effort by you to protect, enforce or secure rights or benefits claimed by you hereunder, EPAL (or any nominee) shall pay (promptly upon demand by you accompanied by reasonable evidence of incurrence) all reasonable expenses (including solicitor’s fees) incurred by you in connection with such dispute, without regard to whether you prevail in such a dispute except that you shall repay EPAL (or any nominee) any amounts so received if a court having jurisdiction shall make a final, non-appealable determination that you acted frivolously or in bad faith by initiating and/or pursuing such a dispute</w:t>
      </w:r>
    </w:p>
    <w:p>
      <w:pPr>
        <w:spacing w:after="0" w:line="77" w:lineRule="exact"/>
        <w:rPr>
          <w:rFonts w:ascii="Arial" w:cs="Arial" w:eastAsia="Arial" w:hAnsi="Arial"/>
          <w:sz w:val="17"/>
          <w:szCs w:val="17"/>
          <w:b w:val="1"/>
          <w:bCs w:val="1"/>
          <w:color w:val="auto"/>
        </w:rPr>
      </w:pPr>
    </w:p>
    <w:p>
      <w:pPr>
        <w:ind w:left="460" w:right="80" w:hanging="452"/>
        <w:spacing w:after="0" w:line="293" w:lineRule="auto"/>
        <w:tabs>
          <w:tab w:leader="none" w:pos="46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rights and obligations of you and EPAL under this Section 3 shall inure to the benefit of and be binding in each and every respect upon the direct and indirect successors and assigns of EPAL and yourself, regardless of the manner in which such successors or assigns shall succeed to the interest of EPAL or yourself hereunder and this Schedule 3 shall not be terminated by the voluntary or involuntary dissolution by EWI or EPAL or any merger or consolidation or acquisition involving EWI or EPAL, or upon any transfer of all or substantially all of EWI’s or EPAL’s assets, or terminated otherwise than in accordance with its terms. In the event of any such merger or consolidation or transfer of assets, this Schedule 3 shall be binding upon and shall inure to the benefit of the surviving corporation or the corporation or other person to which such assets shall be transferred.</w:t>
      </w:r>
    </w:p>
    <w:p>
      <w:pPr>
        <w:sectPr>
          <w:pgSz w:w="11900" w:h="16838" w:orient="portrait"/>
          <w:cols w:equalWidth="0" w:num="1">
            <w:col w:w="11420"/>
          </w:cols>
          <w:pgMar w:left="240" w:top="114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ind w:left="28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0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rPr>
              <w:t>EURONET WORLDWIDE, INC.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10"/>
          </w:tcPr>
          <w:p>
            <w:pPr>
              <w:jc w:val="center"/>
              <w:ind w:left="203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8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2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2"/>
              </w:rPr>
              <w:t>Pretax income from continuing operations before adjustment for minority interest</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 income from unconsolidated subsidiaries</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11,626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12,977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17,229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Add:</w:t>
            </w: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8,600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15,087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Dividends received</w:t>
            </w: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Adjusted pretax income</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19,079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21,577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32,578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39,993</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8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12,893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2,194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15,087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12,674</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88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3500" w:firstLine="3491"/>
        <w:spacing w:after="0" w:line="378"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ind w:left="200" w:hanging="192"/>
        <w:spacing w:after="0"/>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25" w:lineRule="exact"/>
        <w:rPr>
          <w:sz w:val="20"/>
          <w:szCs w:val="20"/>
          <w:color w:val="auto"/>
        </w:rPr>
      </w:pPr>
    </w:p>
    <w:p>
      <w:pPr>
        <w:ind w:left="1000"/>
        <w:spacing w:after="0"/>
        <w:tabs>
          <w:tab w:leader="none" w:pos="1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certify that:</w:t>
      </w: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25" w:lineRule="exact"/>
        <w:rPr>
          <w:sz w:val="20"/>
          <w:szCs w:val="20"/>
          <w:color w:val="auto"/>
        </w:rPr>
      </w:pPr>
    </w:p>
    <w:p>
      <w:pPr>
        <w:ind w:left="1100"/>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1"/>
          <w:szCs w:val="11"/>
          <w:color w:val="auto"/>
        </w:rPr>
        <w:t>ICK</w:t>
      </w:r>
      <w:r>
        <w:rPr>
          <w:rFonts w:ascii="Arial" w:cs="Arial" w:eastAsia="Arial" w:hAnsi="Arial"/>
          <w:sz w:val="17"/>
          <w:szCs w:val="17"/>
          <w:color w:val="auto"/>
        </w:rPr>
        <w:t xml:space="preserve"> L. W</w:t>
      </w:r>
      <w:r>
        <w:rPr>
          <w:rFonts w:ascii="Arial" w:cs="Arial" w:eastAsia="Arial" w:hAnsi="Arial"/>
          <w:sz w:val="11"/>
          <w:szCs w:val="11"/>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2008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000"/>
        <w:spacing w:after="0"/>
        <w:tabs>
          <w:tab w:leader="none" w:pos="1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7, 2008</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2008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100"/>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1"/>
          <w:szCs w:val="11"/>
          <w:color w:val="auto"/>
        </w:rPr>
        <w:t>ICK</w:t>
      </w:r>
      <w:r>
        <w:rPr>
          <w:rFonts w:ascii="Arial" w:cs="Arial" w:eastAsia="Arial" w:hAnsi="Arial"/>
          <w:sz w:val="17"/>
          <w:szCs w:val="17"/>
          <w:color w:val="auto"/>
        </w:rPr>
        <w:t xml:space="preserve"> L. W</w:t>
      </w:r>
      <w:r>
        <w:rPr>
          <w:rFonts w:ascii="Arial" w:cs="Arial" w:eastAsia="Arial" w:hAnsi="Arial"/>
          <w:sz w:val="11"/>
          <w:szCs w:val="11"/>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7,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3"/>
    </w:lvl>
  </w:abstractNum>
  <w:abstractNum w:abstractNumId="14">
    <w:nsid w:val="189A769B"/>
    <w:multiLevelType w:val="hybridMultilevel"/>
    <w:lvl w:ilvl="0">
      <w:lvlJc w:val="left"/>
      <w:lvlText w:val="%1."/>
      <w:numFmt w:val="decimal"/>
      <w:start w:val="4"/>
    </w:lvl>
  </w:abstractNum>
  <w:abstractNum w:abstractNumId="15">
    <w:nsid w:val="54E49EB4"/>
    <w:multiLevelType w:val="hybridMultilevel"/>
    <w:lvl w:ilvl="0">
      <w:lvlJc w:val="left"/>
      <w:lvlText w:val="%1."/>
      <w:numFmt w:val="decimal"/>
      <w:start w:val="5"/>
    </w:lvl>
  </w:abstractNum>
  <w:abstractNum w:abstractNumId="16">
    <w:nsid w:val="71F32454"/>
    <w:multiLevelType w:val="hybridMultilevel"/>
    <w:lvl w:ilvl="0">
      <w:lvlJc w:val="left"/>
      <w:lvlText w:val="%1."/>
      <w:numFmt w:val="decimal"/>
      <w:start w:val="6"/>
    </w:lvl>
  </w:abstractNum>
  <w:abstractNum w:abstractNumId="17">
    <w:nsid w:val="2CA88611"/>
    <w:multiLevelType w:val="hybridMultilevel"/>
    <w:lvl w:ilvl="0">
      <w:lvlJc w:val="left"/>
      <w:lvlText w:val="%1."/>
      <w:numFmt w:val="decimal"/>
      <w:start w:val="7"/>
    </w:lvl>
  </w:abstractNum>
  <w:abstractNum w:abstractNumId="18">
    <w:nsid w:val="836C40E"/>
    <w:multiLevelType w:val="hybridMultilevel"/>
    <w:lvl w:ilvl="0">
      <w:lvlJc w:val="left"/>
      <w:lvlText w:val="%1."/>
      <w:numFmt w:val="decimal"/>
      <w:start w:val="9"/>
    </w:lvl>
  </w:abstractNum>
  <w:abstractNum w:abstractNumId="19">
    <w:nsid w:val="2901D82"/>
    <w:multiLevelType w:val="hybridMultilevel"/>
    <w:lvl w:ilvl="0">
      <w:lvlJc w:val="left"/>
      <w:lvlText w:val="%1."/>
      <w:numFmt w:val="decimal"/>
      <w:start w:val="1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emdash "/>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2"/>
    </w:lvl>
  </w:abstractNum>
  <w:abstractNum w:abstractNumId="30">
    <w:nsid w:val="419AC241"/>
    <w:multiLevelType w:val="hybridMultilevel"/>
    <w:lvl w:ilvl="0">
      <w:lvlJc w:val="left"/>
      <w:lvlText w:val="%1."/>
      <w:numFmt w:val="decimal"/>
      <w:start w:val="4"/>
    </w:lvl>
  </w:abstractNum>
  <w:abstractNum w:abstractNumId="31">
    <w:nsid w:val="5577F8E1"/>
    <w:multiLevelType w:val="hybridMultilevel"/>
    <w:lvl w:ilvl="0">
      <w:lvlJc w:val="left"/>
      <w:lvlText w:val="%1."/>
      <w:numFmt w:val="decimal"/>
      <w:start w:val="7"/>
    </w:lvl>
  </w:abstractNum>
  <w:abstractNum w:abstractNumId="32">
    <w:nsid w:val="440BADFC"/>
    <w:multiLevelType w:val="hybridMultilevel"/>
    <w:lvl w:ilvl="0">
      <w:lvlJc w:val="left"/>
      <w:lvlText w:val="%1."/>
      <w:numFmt w:val="decimal"/>
      <w:start w:val="8"/>
    </w:lvl>
  </w:abstractNum>
  <w:abstractNum w:abstractNumId="33">
    <w:nsid w:val="5072367"/>
    <w:multiLevelType w:val="hybridMultilevel"/>
    <w:lvl w:ilvl="0">
      <w:lvlJc w:val="left"/>
      <w:lvlText w:val="%1."/>
      <w:numFmt w:val="decimal"/>
      <w:start w:val="10"/>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2019-12-14T13:56:49Z</dcterms:created>
  <dcterms:modified xsi:type="dcterms:W3CDTF">2019-12-14T13:56:49Z</dcterms:modified>
</cp:coreProperties>
</file>