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189" w:lineRule="exact"/>
        <w:rPr>
          <w:sz w:val="24"/>
          <w:szCs w:val="24"/>
          <w:color w:val="auto"/>
        </w:rPr>
      </w:pPr>
    </w:p>
    <w:p>
      <w:pPr>
        <w:ind w:left="4060" w:right="2220" w:hanging="3458"/>
        <w:spacing w:after="0" w:line="361" w:lineRule="auto"/>
        <w:tabs>
          <w:tab w:leader="none" w:pos="806"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2020</w:t>
      </w: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181" w:lineRule="exact"/>
        <w:rPr>
          <w:sz w:val="24"/>
          <w:szCs w:val="24"/>
          <w:color w:val="auto"/>
        </w:rPr>
      </w:pPr>
    </w:p>
    <w:p>
      <w:pPr>
        <w:ind w:left="840" w:hanging="211"/>
        <w:spacing w:after="0"/>
        <w:tabs>
          <w:tab w:leader="none" w:pos="8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8"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For the</w:t>
      </w:r>
    </w:p>
    <w:p>
      <w:pPr>
        <w:spacing w:after="0" w:line="26" w:lineRule="exact"/>
        <w:rPr>
          <w:sz w:val="24"/>
          <w:szCs w:val="24"/>
          <w:color w:val="auto"/>
        </w:rPr>
      </w:pPr>
    </w:p>
    <w:p>
      <w:pPr>
        <w:ind w:left="3760"/>
        <w:spacing w:after="0"/>
        <w:tabs>
          <w:tab w:leader="none" w:pos="6260" w:val="left"/>
        </w:tabs>
        <w:rPr>
          <w:sz w:val="20"/>
          <w:szCs w:val="20"/>
          <w:color w:val="auto"/>
        </w:rPr>
      </w:pPr>
      <w:r>
        <w:rPr>
          <w:rFonts w:ascii="Arial" w:cs="Arial" w:eastAsia="Arial" w:hAnsi="Arial"/>
          <w:sz w:val="16"/>
          <w:szCs w:val="16"/>
          <w:b w:val="1"/>
          <w:bCs w:val="1"/>
          <w:color w:val="auto"/>
        </w:rPr>
        <w:t>transition period from</w:t>
      </w:r>
      <w:r>
        <w:rPr>
          <w:sz w:val="20"/>
          <w:szCs w:val="20"/>
          <w:color w:val="auto"/>
        </w:rPr>
        <w:tab/>
      </w:r>
      <w:r>
        <w:rPr>
          <w:rFonts w:ascii="Arial" w:cs="Arial" w:eastAsia="Arial" w:hAnsi="Arial"/>
          <w:sz w:val="12"/>
          <w:szCs w:val="12"/>
          <w:b w:val="1"/>
          <w:bCs w:val="1"/>
          <w:color w:val="auto"/>
        </w:rPr>
        <w:t>to</w:t>
      </w:r>
    </w:p>
    <w:p>
      <w:pPr>
        <w:spacing w:after="0" w:line="10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Commission File Number: 001-31648</w:t>
      </w:r>
    </w:p>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EURONET WORLDWIDE, INC.</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35" w:lineRule="exact"/>
        <w:rPr>
          <w:sz w:val="24"/>
          <w:szCs w:val="24"/>
          <w:color w:val="auto"/>
        </w:rPr>
      </w:pPr>
    </w:p>
    <w:tbl>
      <w:tblPr>
        <w:tblLayout w:type="fixed"/>
        <w:tblInd w:w="720" w:type="dxa"/>
        <w:tblCellMar>
          <w:top w:w="0" w:type="dxa"/>
          <w:left w:w="0" w:type="dxa"/>
          <w:bottom w:w="0" w:type="dxa"/>
          <w:right w:w="0" w:type="dxa"/>
        </w:tblCellMar>
      </w:tblPr>
      <w:tr>
        <w:trPr>
          <w:trHeight w:val="210"/>
        </w:trPr>
        <w:tc>
          <w:tcPr>
            <w:tcW w:w="5320" w:type="dxa"/>
            <w:vAlign w:val="bottom"/>
          </w:tcPr>
          <w:p>
            <w:pPr>
              <w:jc w:val="center"/>
              <w:ind w:right="1059"/>
              <w:spacing w:after="0"/>
              <w:rPr>
                <w:sz w:val="20"/>
                <w:szCs w:val="20"/>
                <w:color w:val="auto"/>
              </w:rPr>
            </w:pPr>
            <w:r>
              <w:rPr>
                <w:rFonts w:ascii="Arial" w:cs="Arial" w:eastAsia="Arial" w:hAnsi="Arial"/>
                <w:sz w:val="16"/>
                <w:szCs w:val="16"/>
                <w:b w:val="1"/>
                <w:bCs w:val="1"/>
                <w:color w:val="auto"/>
                <w:w w:val="93"/>
              </w:rPr>
              <w:t>Delaware</w:t>
            </w:r>
          </w:p>
        </w:tc>
        <w:tc>
          <w:tcPr>
            <w:tcW w:w="3640" w:type="dxa"/>
            <w:vAlign w:val="bottom"/>
          </w:tcPr>
          <w:p>
            <w:pPr>
              <w:jc w:val="right"/>
              <w:ind w:right="779"/>
              <w:spacing w:after="0"/>
              <w:rPr>
                <w:sz w:val="20"/>
                <w:szCs w:val="20"/>
                <w:color w:val="auto"/>
              </w:rPr>
            </w:pPr>
            <w:r>
              <w:rPr>
                <w:rFonts w:ascii="Arial" w:cs="Arial" w:eastAsia="Arial" w:hAnsi="Arial"/>
                <w:sz w:val="16"/>
                <w:szCs w:val="16"/>
                <w:b w:val="1"/>
                <w:bCs w:val="1"/>
                <w:color w:val="auto"/>
              </w:rPr>
              <w:t>74-2806888</w:t>
            </w:r>
          </w:p>
        </w:tc>
      </w:tr>
      <w:tr>
        <w:trPr>
          <w:trHeight w:val="283"/>
        </w:trPr>
        <w:tc>
          <w:tcPr>
            <w:tcW w:w="5320" w:type="dxa"/>
            <w:vAlign w:val="bottom"/>
          </w:tcPr>
          <w:p>
            <w:pPr>
              <w:jc w:val="center"/>
              <w:ind w:right="1059"/>
              <w:spacing w:after="0"/>
              <w:rPr>
                <w:sz w:val="20"/>
                <w:szCs w:val="20"/>
                <w:color w:val="auto"/>
              </w:rPr>
            </w:pPr>
            <w:r>
              <w:rPr>
                <w:rFonts w:ascii="Arial" w:cs="Arial" w:eastAsia="Arial" w:hAnsi="Arial"/>
                <w:sz w:val="16"/>
                <w:szCs w:val="16"/>
                <w:b w:val="1"/>
                <w:bCs w:val="1"/>
                <w:color w:val="auto"/>
                <w:w w:val="92"/>
              </w:rPr>
              <w:t>(State or other jurisdiction of incorporation or organization)</w:t>
            </w:r>
          </w:p>
        </w:tc>
        <w:tc>
          <w:tcPr>
            <w:tcW w:w="3640" w:type="dxa"/>
            <w:vAlign w:val="bottom"/>
          </w:tcPr>
          <w:p>
            <w:pPr>
              <w:jc w:val="center"/>
              <w:ind w:left="1079"/>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283"/>
        </w:trPr>
        <w:tc>
          <w:tcPr>
            <w:tcW w:w="5320" w:type="dxa"/>
            <w:vAlign w:val="bottom"/>
          </w:tcPr>
          <w:p>
            <w:pPr>
              <w:jc w:val="center"/>
              <w:ind w:right="1039"/>
              <w:spacing w:after="0"/>
              <w:rPr>
                <w:sz w:val="20"/>
                <w:szCs w:val="20"/>
                <w:color w:val="auto"/>
              </w:rPr>
            </w:pPr>
            <w:r>
              <w:rPr>
                <w:rFonts w:ascii="Arial" w:cs="Arial" w:eastAsia="Arial" w:hAnsi="Arial"/>
                <w:sz w:val="16"/>
                <w:szCs w:val="16"/>
                <w:b w:val="1"/>
                <w:bCs w:val="1"/>
                <w:color w:val="auto"/>
                <w:w w:val="92"/>
              </w:rPr>
              <w:t>11400 Tomahawk Creek Parkway, Suite 300</w:t>
            </w:r>
          </w:p>
        </w:tc>
        <w:tc>
          <w:tcPr>
            <w:tcW w:w="3640" w:type="dxa"/>
            <w:vAlign w:val="bottom"/>
          </w:tcPr>
          <w:p>
            <w:pPr>
              <w:spacing w:after="0"/>
              <w:rPr>
                <w:sz w:val="24"/>
                <w:szCs w:val="24"/>
                <w:color w:val="auto"/>
              </w:rPr>
            </w:pPr>
          </w:p>
        </w:tc>
      </w:tr>
      <w:tr>
        <w:trPr>
          <w:trHeight w:val="283"/>
        </w:trPr>
        <w:tc>
          <w:tcPr>
            <w:tcW w:w="5320" w:type="dxa"/>
            <w:vAlign w:val="bottom"/>
          </w:tcPr>
          <w:p>
            <w:pPr>
              <w:ind w:left="1420"/>
              <w:spacing w:after="0"/>
              <w:rPr>
                <w:sz w:val="20"/>
                <w:szCs w:val="20"/>
                <w:color w:val="auto"/>
              </w:rPr>
            </w:pPr>
            <w:r>
              <w:rPr>
                <w:rFonts w:ascii="Arial" w:cs="Arial" w:eastAsia="Arial" w:hAnsi="Arial"/>
                <w:sz w:val="16"/>
                <w:szCs w:val="16"/>
                <w:b w:val="1"/>
                <w:bCs w:val="1"/>
                <w:color w:val="auto"/>
              </w:rPr>
              <w:t>Leawood, Kansas</w:t>
            </w:r>
          </w:p>
        </w:tc>
        <w:tc>
          <w:tcPr>
            <w:tcW w:w="3640" w:type="dxa"/>
            <w:vAlign w:val="bottom"/>
          </w:tcPr>
          <w:p>
            <w:pPr>
              <w:jc w:val="right"/>
              <w:ind w:right="959"/>
              <w:spacing w:after="0"/>
              <w:rPr>
                <w:sz w:val="20"/>
                <w:szCs w:val="20"/>
                <w:color w:val="auto"/>
              </w:rPr>
            </w:pPr>
            <w:r>
              <w:rPr>
                <w:rFonts w:ascii="Arial" w:cs="Arial" w:eastAsia="Arial" w:hAnsi="Arial"/>
                <w:sz w:val="16"/>
                <w:szCs w:val="16"/>
                <w:b w:val="1"/>
                <w:bCs w:val="1"/>
                <w:color w:val="auto"/>
              </w:rPr>
              <w:t>66211</w:t>
            </w:r>
          </w:p>
        </w:tc>
      </w:tr>
      <w:tr>
        <w:trPr>
          <w:trHeight w:val="284"/>
        </w:trPr>
        <w:tc>
          <w:tcPr>
            <w:tcW w:w="5320" w:type="dxa"/>
            <w:vAlign w:val="bottom"/>
          </w:tcPr>
          <w:p>
            <w:pPr>
              <w:jc w:val="center"/>
              <w:ind w:right="103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3640" w:type="dxa"/>
            <w:vAlign w:val="bottom"/>
          </w:tcPr>
          <w:p>
            <w:pPr>
              <w:jc w:val="center"/>
              <w:ind w:left="1059"/>
              <w:spacing w:after="0"/>
              <w:rPr>
                <w:sz w:val="20"/>
                <w:szCs w:val="20"/>
                <w:color w:val="auto"/>
              </w:rPr>
            </w:pPr>
            <w:r>
              <w:rPr>
                <w:rFonts w:ascii="Arial" w:cs="Arial" w:eastAsia="Arial" w:hAnsi="Arial"/>
                <w:sz w:val="16"/>
                <w:szCs w:val="16"/>
                <w:b w:val="1"/>
                <w:bCs w:val="1"/>
                <w:color w:val="auto"/>
                <w:w w:val="93"/>
              </w:rPr>
              <w:t>(Zip Code)</w:t>
            </w:r>
          </w:p>
        </w:tc>
      </w:tr>
    </w:tbl>
    <w:p>
      <w:pPr>
        <w:spacing w:after="0" w:line="8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(913) 327-4200</w:t>
      </w:r>
    </w:p>
    <w:p>
      <w:pPr>
        <w:spacing w:after="0" w:line="8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8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3500 College Boulevard, Leawood, Kansas 66211</w:t>
      </w:r>
    </w:p>
    <w:p>
      <w:pPr>
        <w:spacing w:after="0" w:line="86" w:lineRule="exact"/>
        <w:rPr>
          <w:sz w:val="24"/>
          <w:szCs w:val="24"/>
          <w:color w:val="auto"/>
        </w:rPr>
      </w:pPr>
    </w:p>
    <w:p>
      <w:pPr>
        <w:ind w:left="2780"/>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spacing w:after="0" w:line="9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68"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3640" w:type="dxa"/>
            <w:vAlign w:val="bottom"/>
            <w:gridSpan w:val="3"/>
          </w:tcPr>
          <w:p>
            <w:pPr>
              <w:ind w:left="1320"/>
              <w:spacing w:after="0"/>
              <w:rPr>
                <w:sz w:val="20"/>
                <w:szCs w:val="20"/>
                <w:color w:val="auto"/>
              </w:rPr>
            </w:pPr>
            <w:r>
              <w:rPr>
                <w:rFonts w:ascii="Arial" w:cs="Arial" w:eastAsia="Arial" w:hAnsi="Arial"/>
                <w:sz w:val="16"/>
                <w:szCs w:val="16"/>
                <w:b w:val="1"/>
                <w:bCs w:val="1"/>
                <w:color w:val="auto"/>
              </w:rPr>
              <w:t>Title of each class</w:t>
            </w:r>
          </w:p>
        </w:tc>
        <w:tc>
          <w:tcPr>
            <w:tcW w:w="500" w:type="dxa"/>
            <w:vAlign w:val="bottom"/>
          </w:tcPr>
          <w:p>
            <w:pPr>
              <w:spacing w:after="0"/>
              <w:rPr>
                <w:sz w:val="16"/>
                <w:szCs w:val="16"/>
                <w:color w:val="auto"/>
              </w:rPr>
            </w:pPr>
          </w:p>
        </w:tc>
        <w:tc>
          <w:tcPr>
            <w:tcW w:w="182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1"/>
              </w:rPr>
              <w:t>Trading Symbol(s)</w:t>
            </w:r>
          </w:p>
        </w:tc>
        <w:tc>
          <w:tcPr>
            <w:tcW w:w="1120" w:type="dxa"/>
            <w:vAlign w:val="bottom"/>
          </w:tcPr>
          <w:p>
            <w:pPr>
              <w:spacing w:after="0"/>
              <w:rPr>
                <w:sz w:val="16"/>
                <w:szCs w:val="16"/>
                <w:color w:val="auto"/>
              </w:rPr>
            </w:pPr>
          </w:p>
        </w:tc>
        <w:tc>
          <w:tcPr>
            <w:tcW w:w="4180" w:type="dxa"/>
            <w:vAlign w:val="bottom"/>
            <w:gridSpan w:val="2"/>
          </w:tcPr>
          <w:p>
            <w:pPr>
              <w:jc w:val="center"/>
              <w:ind w:right="1160"/>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48"/>
        </w:trPr>
        <w:tc>
          <w:tcPr>
            <w:tcW w:w="1320" w:type="dxa"/>
            <w:vAlign w:val="bottom"/>
            <w:tcBorders>
              <w:bottom w:val="single" w:sz="8" w:color="auto"/>
            </w:tcBorders>
          </w:tcPr>
          <w:p>
            <w:pPr>
              <w:spacing w:after="0"/>
              <w:rPr>
                <w:sz w:val="4"/>
                <w:szCs w:val="4"/>
                <w:color w:val="auto"/>
              </w:rPr>
            </w:pPr>
          </w:p>
        </w:tc>
        <w:tc>
          <w:tcPr>
            <w:tcW w:w="1220" w:type="dxa"/>
            <w:vAlign w:val="bottom"/>
            <w:tcBorders>
              <w:top w:val="single" w:sz="8" w:color="auto"/>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80" w:type="dxa"/>
            <w:vAlign w:val="bottom"/>
            <w:tcBorders>
              <w:top w:val="single" w:sz="8" w:color="auto"/>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020" w:type="dxa"/>
            <w:vAlign w:val="bottom"/>
            <w:tcBorders>
              <w:top w:val="single" w:sz="8" w:color="auto"/>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17"/>
        </w:trPr>
        <w:tc>
          <w:tcPr>
            <w:tcW w:w="3640" w:type="dxa"/>
            <w:vAlign w:val="bottom"/>
            <w:tcBorders>
              <w:left w:val="single" w:sz="8" w:color="auto"/>
              <w:right w:val="single" w:sz="8" w:color="auto"/>
            </w:tcBorders>
            <w:gridSpan w:val="3"/>
          </w:tcPr>
          <w:p>
            <w:pPr>
              <w:ind w:left="1320"/>
              <w:spacing w:after="0"/>
              <w:rPr>
                <w:sz w:val="20"/>
                <w:szCs w:val="20"/>
                <w:color w:val="auto"/>
              </w:rPr>
            </w:pPr>
            <w:r>
              <w:rPr>
                <w:rFonts w:ascii="Arial" w:cs="Arial" w:eastAsia="Arial" w:hAnsi="Arial"/>
                <w:sz w:val="16"/>
                <w:szCs w:val="16"/>
                <w:color w:val="auto"/>
              </w:rPr>
              <w:t>Common Stock</w:t>
            </w:r>
          </w:p>
        </w:tc>
        <w:tc>
          <w:tcPr>
            <w:tcW w:w="500" w:type="dxa"/>
            <w:vAlign w:val="bottom"/>
          </w:tcPr>
          <w:p>
            <w:pPr>
              <w:spacing w:after="0"/>
              <w:rPr>
                <w:sz w:val="18"/>
                <w:szCs w:val="18"/>
                <w:color w:val="auto"/>
              </w:rPr>
            </w:pPr>
          </w:p>
        </w:tc>
        <w:tc>
          <w:tcPr>
            <w:tcW w:w="182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16"/>
                <w:szCs w:val="16"/>
                <w:color w:val="auto"/>
                <w:w w:val="97"/>
              </w:rPr>
              <w:t>EEFT</w:t>
            </w:r>
          </w:p>
        </w:tc>
        <w:tc>
          <w:tcPr>
            <w:tcW w:w="1120" w:type="dxa"/>
            <w:vAlign w:val="bottom"/>
          </w:tcPr>
          <w:p>
            <w:pPr>
              <w:spacing w:after="0"/>
              <w:rPr>
                <w:sz w:val="18"/>
                <w:szCs w:val="18"/>
                <w:color w:val="auto"/>
              </w:rPr>
            </w:pPr>
          </w:p>
        </w:tc>
        <w:tc>
          <w:tcPr>
            <w:tcW w:w="4180" w:type="dxa"/>
            <w:vAlign w:val="bottom"/>
            <w:tcBorders>
              <w:right w:val="single" w:sz="8" w:color="auto"/>
            </w:tcBorders>
            <w:gridSpan w:val="2"/>
          </w:tcPr>
          <w:p>
            <w:pPr>
              <w:jc w:val="center"/>
              <w:ind w:right="1140"/>
              <w:spacing w:after="0"/>
              <w:rPr>
                <w:sz w:val="20"/>
                <w:szCs w:val="20"/>
                <w:color w:val="auto"/>
              </w:rPr>
            </w:pPr>
            <w:r>
              <w:rPr>
                <w:rFonts w:ascii="Arial" w:cs="Arial" w:eastAsia="Arial" w:hAnsi="Arial"/>
                <w:sz w:val="16"/>
                <w:szCs w:val="16"/>
                <w:color w:val="auto"/>
                <w:w w:val="92"/>
              </w:rPr>
              <w:t>Nasdaq Global Select Market</w:t>
            </w:r>
          </w:p>
        </w:tc>
      </w:tr>
      <w:tr>
        <w:trPr>
          <w:trHeight w:val="33"/>
        </w:trPr>
        <w:tc>
          <w:tcPr>
            <w:tcW w:w="1320" w:type="dxa"/>
            <w:vAlign w:val="bottom"/>
            <w:tcBorders>
              <w:left w:val="single" w:sz="8" w:color="auto"/>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r>
      <w:tr>
        <w:trPr>
          <w:trHeight w:val="217"/>
        </w:trPr>
        <w:tc>
          <w:tcPr>
            <w:tcW w:w="3640" w:type="dxa"/>
            <w:vAlign w:val="bottom"/>
            <w:tcBorders>
              <w:left w:val="single" w:sz="8" w:color="auto"/>
              <w:right w:val="single" w:sz="8" w:color="auto"/>
            </w:tcBorders>
            <w:gridSpan w:val="3"/>
          </w:tcPr>
          <w:p>
            <w:pPr>
              <w:ind w:left="800"/>
              <w:spacing w:after="0"/>
              <w:rPr>
                <w:sz w:val="20"/>
                <w:szCs w:val="20"/>
                <w:color w:val="auto"/>
              </w:rPr>
            </w:pPr>
            <w:r>
              <w:rPr>
                <w:rFonts w:ascii="Arial" w:cs="Arial" w:eastAsia="Arial" w:hAnsi="Arial"/>
                <w:sz w:val="16"/>
                <w:szCs w:val="16"/>
                <w:color w:val="auto"/>
              </w:rPr>
              <w:t>1.375% Senior Notes due 2026</w:t>
            </w:r>
          </w:p>
        </w:tc>
        <w:tc>
          <w:tcPr>
            <w:tcW w:w="500" w:type="dxa"/>
            <w:vAlign w:val="bottom"/>
          </w:tcPr>
          <w:p>
            <w:pPr>
              <w:spacing w:after="0"/>
              <w:rPr>
                <w:sz w:val="18"/>
                <w:szCs w:val="18"/>
                <w:color w:val="auto"/>
              </w:rPr>
            </w:pPr>
          </w:p>
        </w:tc>
        <w:tc>
          <w:tcPr>
            <w:tcW w:w="182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16"/>
                <w:szCs w:val="16"/>
                <w:color w:val="auto"/>
                <w:w w:val="95"/>
              </w:rPr>
              <w:t>EEFT26</w:t>
            </w:r>
          </w:p>
        </w:tc>
        <w:tc>
          <w:tcPr>
            <w:tcW w:w="1120" w:type="dxa"/>
            <w:vAlign w:val="bottom"/>
          </w:tcPr>
          <w:p>
            <w:pPr>
              <w:spacing w:after="0"/>
              <w:rPr>
                <w:sz w:val="18"/>
                <w:szCs w:val="18"/>
                <w:color w:val="auto"/>
              </w:rPr>
            </w:pPr>
          </w:p>
        </w:tc>
        <w:tc>
          <w:tcPr>
            <w:tcW w:w="4180" w:type="dxa"/>
            <w:vAlign w:val="bottom"/>
            <w:tcBorders>
              <w:right w:val="single" w:sz="8" w:color="auto"/>
            </w:tcBorders>
            <w:gridSpan w:val="2"/>
          </w:tcPr>
          <w:p>
            <w:pPr>
              <w:jc w:val="center"/>
              <w:ind w:right="1140"/>
              <w:spacing w:after="0"/>
              <w:rPr>
                <w:sz w:val="20"/>
                <w:szCs w:val="20"/>
                <w:color w:val="auto"/>
              </w:rPr>
            </w:pPr>
            <w:r>
              <w:rPr>
                <w:rFonts w:ascii="Arial" w:cs="Arial" w:eastAsia="Arial" w:hAnsi="Arial"/>
                <w:sz w:val="16"/>
                <w:szCs w:val="16"/>
                <w:color w:val="auto"/>
                <w:w w:val="92"/>
              </w:rPr>
              <w:t>Nasdaq Global Market</w:t>
            </w:r>
          </w:p>
        </w:tc>
      </w:tr>
      <w:tr>
        <w:trPr>
          <w:trHeight w:val="33"/>
        </w:trPr>
        <w:tc>
          <w:tcPr>
            <w:tcW w:w="1320" w:type="dxa"/>
            <w:vAlign w:val="bottom"/>
            <w:tcBorders>
              <w:left w:val="single" w:sz="8" w:color="auto"/>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r>
    </w:tbl>
    <w:p>
      <w:pPr>
        <w:spacing w:after="0" w:line="58" w:lineRule="exact"/>
        <w:rPr>
          <w:sz w:val="24"/>
          <w:szCs w:val="24"/>
          <w:color w:val="auto"/>
        </w:rPr>
      </w:pPr>
    </w:p>
    <w:p>
      <w:pPr>
        <w:ind w:right="20"/>
        <w:spacing w:after="0" w:line="22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00" w:lineRule="exact"/>
        <w:rPr>
          <w:sz w:val="24"/>
          <w:szCs w:val="24"/>
          <w:color w:val="auto"/>
        </w:rPr>
      </w:pPr>
    </w:p>
    <w:p>
      <w:pPr>
        <w:ind w:right="260"/>
        <w:spacing w:after="0" w:line="22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101" w:lineRule="exact"/>
        <w:rPr>
          <w:sz w:val="24"/>
          <w:szCs w:val="24"/>
          <w:color w:val="auto"/>
        </w:rPr>
      </w:pPr>
    </w:p>
    <w:p>
      <w:pPr>
        <w:ind w:right="140"/>
        <w:spacing w:after="0" w:line="29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9"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3680" w:type="dxa"/>
            <w:vAlign w:val="bottom"/>
          </w:tcPr>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tc>
        <w:tc>
          <w:tcPr>
            <w:tcW w:w="4820" w:type="dxa"/>
            <w:vAlign w:val="bottom"/>
          </w:tcPr>
          <w:p>
            <w:pPr>
              <w:ind w:left="2020"/>
              <w:spacing w:after="0"/>
              <w:rPr>
                <w:sz w:val="20"/>
                <w:szCs w:val="20"/>
                <w:color w:val="auto"/>
              </w:rPr>
            </w:pPr>
            <w:r>
              <w:rPr>
                <w:rFonts w:ascii="Arial" w:cs="Arial" w:eastAsia="Arial" w:hAnsi="Arial"/>
                <w:sz w:val="16"/>
                <w:szCs w:val="16"/>
                <w:color w:val="auto"/>
              </w:rPr>
              <w:t>Accelerated filer</w:t>
            </w:r>
          </w:p>
        </w:tc>
        <w:tc>
          <w:tcPr>
            <w:tcW w:w="1160" w:type="dxa"/>
            <w:vAlign w:val="bottom"/>
          </w:tcPr>
          <w:p>
            <w:pPr>
              <w:ind w:left="1020"/>
              <w:spacing w:after="0"/>
              <w:rPr>
                <w:sz w:val="20"/>
                <w:szCs w:val="20"/>
                <w:color w:val="auto"/>
              </w:rPr>
            </w:pPr>
            <w:r>
              <w:rPr>
                <w:rFonts w:ascii="Arial" w:cs="Arial" w:eastAsia="Arial" w:hAnsi="Arial"/>
                <w:sz w:val="16"/>
                <w:szCs w:val="16"/>
                <w:color w:val="auto"/>
              </w:rPr>
              <w:t>o</w:t>
            </w:r>
          </w:p>
        </w:tc>
      </w:tr>
      <w:tr>
        <w:trPr>
          <w:trHeight w:val="270"/>
        </w:trPr>
        <w:tc>
          <w:tcPr>
            <w:tcW w:w="3680" w:type="dxa"/>
            <w:vAlign w:val="bottom"/>
          </w:tcPr>
          <w:p>
            <w:pPr>
              <w:spacing w:after="0"/>
              <w:rPr>
                <w:sz w:val="20"/>
                <w:szCs w:val="20"/>
                <w:color w:val="auto"/>
              </w:rPr>
            </w:pPr>
            <w:r>
              <w:rPr>
                <w:rFonts w:ascii="Arial" w:cs="Arial" w:eastAsia="Arial" w:hAnsi="Arial"/>
                <w:sz w:val="16"/>
                <w:szCs w:val="16"/>
                <w:color w:val="auto"/>
              </w:rPr>
              <w:t>Non-accelerated filer o</w:t>
            </w:r>
          </w:p>
        </w:tc>
        <w:tc>
          <w:tcPr>
            <w:tcW w:w="4820" w:type="dxa"/>
            <w:vAlign w:val="bottom"/>
          </w:tcPr>
          <w:p>
            <w:pPr>
              <w:ind w:left="2020"/>
              <w:spacing w:after="0"/>
              <w:rPr>
                <w:sz w:val="20"/>
                <w:szCs w:val="20"/>
                <w:color w:val="auto"/>
              </w:rPr>
            </w:pPr>
            <w:r>
              <w:rPr>
                <w:rFonts w:ascii="Arial" w:cs="Arial" w:eastAsia="Arial" w:hAnsi="Arial"/>
                <w:sz w:val="16"/>
                <w:szCs w:val="16"/>
                <w:color w:val="auto"/>
              </w:rPr>
              <w:t>Smaller reporting company</w:t>
            </w:r>
          </w:p>
        </w:tc>
        <w:tc>
          <w:tcPr>
            <w:tcW w:w="1160" w:type="dxa"/>
            <w:vAlign w:val="bottom"/>
          </w:tcPr>
          <w:p>
            <w:pPr>
              <w:ind w:left="10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3680" w:type="dxa"/>
            <w:vAlign w:val="bottom"/>
          </w:tcPr>
          <w:p>
            <w:pPr>
              <w:spacing w:after="0"/>
              <w:rPr>
                <w:sz w:val="23"/>
                <w:szCs w:val="23"/>
                <w:color w:val="auto"/>
              </w:rPr>
            </w:pPr>
          </w:p>
        </w:tc>
        <w:tc>
          <w:tcPr>
            <w:tcW w:w="4820" w:type="dxa"/>
            <w:vAlign w:val="bottom"/>
          </w:tcPr>
          <w:p>
            <w:pPr>
              <w:ind w:left="2020"/>
              <w:spacing w:after="0"/>
              <w:rPr>
                <w:sz w:val="20"/>
                <w:szCs w:val="20"/>
                <w:color w:val="auto"/>
              </w:rPr>
            </w:pPr>
            <w:r>
              <w:rPr>
                <w:rFonts w:ascii="Arial" w:cs="Arial" w:eastAsia="Arial" w:hAnsi="Arial"/>
                <w:sz w:val="16"/>
                <w:szCs w:val="16"/>
                <w:color w:val="auto"/>
              </w:rPr>
              <w:t>Emerging growth company</w:t>
            </w:r>
          </w:p>
        </w:tc>
        <w:tc>
          <w:tcPr>
            <w:tcW w:w="1160" w:type="dxa"/>
            <w:vAlign w:val="bottom"/>
          </w:tcPr>
          <w:p>
            <w:pPr>
              <w:ind w:left="10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2" w:lineRule="exact"/>
        <w:rPr>
          <w:sz w:val="24"/>
          <w:szCs w:val="24"/>
          <w:color w:val="auto"/>
        </w:rPr>
      </w:pPr>
    </w:p>
    <w:p>
      <w:pPr>
        <w:ind w:left="40" w:right="580"/>
        <w:spacing w:after="0" w:line="271"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ind w:right="3000"/>
        <w:spacing w:after="0" w:line="29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On August 5, 2020, Euronet Worldwide, Inc. had 52,289,019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60"/>
          </w:cols>
          <w:pgMar w:left="320" w:top="1080"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u w:val="single" w:color="auto"/>
          <w:color w:val="auto"/>
        </w:rPr>
        <w:t>Page</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9800" w:type="dxa"/>
            <w:vAlign w:val="bottom"/>
            <w:gridSpan w:val="3"/>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I—FINANCIAL INFORMATION</w:t>
              </w:r>
            </w:hyperlink>
          </w:p>
        </w:tc>
        <w:tc>
          <w:tcPr>
            <w:tcW w:w="1400" w:type="dxa"/>
            <w:vAlign w:val="bottom"/>
          </w:tcPr>
          <w:p>
            <w:pPr>
              <w:spacing w:after="0"/>
              <w:rPr>
                <w:sz w:val="20"/>
                <w:szCs w:val="20"/>
                <w:color w:val="auto"/>
              </w:rPr>
            </w:pPr>
          </w:p>
        </w:tc>
      </w:tr>
      <w:tr>
        <w:trPr>
          <w:trHeight w:val="203"/>
        </w:trPr>
        <w:tc>
          <w:tcPr>
            <w:tcW w:w="40" w:type="dxa"/>
            <w:vAlign w:val="bottom"/>
          </w:tcPr>
          <w:p>
            <w:pPr>
              <w:spacing w:after="0"/>
              <w:rPr>
                <w:sz w:val="17"/>
                <w:szCs w:val="17"/>
                <w:color w:val="auto"/>
              </w:rPr>
            </w:pPr>
          </w:p>
        </w:tc>
        <w:tc>
          <w:tcPr>
            <w:tcW w:w="640" w:type="dxa"/>
            <w:vAlign w:val="bottom"/>
            <w:gridSpan w:val="2"/>
          </w:tcPr>
          <w:p>
            <w:pPr>
              <w:spacing w:after="0" w:line="202" w:lineRule="exact"/>
              <w:rPr>
                <w:sz w:val="20"/>
                <w:szCs w:val="20"/>
                <w:color w:val="auto"/>
              </w:rPr>
            </w:pPr>
            <w:r>
              <w:rPr>
                <w:rFonts w:ascii="Arial" w:cs="Arial" w:eastAsia="Arial" w:hAnsi="Arial"/>
                <w:sz w:val="18"/>
                <w:szCs w:val="18"/>
                <w:color w:val="auto"/>
              </w:rPr>
              <w:t>Item 1.</w:t>
            </w:r>
          </w:p>
        </w:tc>
        <w:tc>
          <w:tcPr>
            <w:tcW w:w="9160" w:type="dxa"/>
            <w:vAlign w:val="bottom"/>
          </w:tcPr>
          <w:p>
            <w:pPr>
              <w:ind w:left="400"/>
              <w:spacing w:after="0" w:line="202" w:lineRule="exact"/>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 (unaudited)</w:t>
              </w:r>
            </w:hyperlink>
          </w:p>
        </w:tc>
        <w:tc>
          <w:tcPr>
            <w:tcW w:w="1400" w:type="dxa"/>
            <w:vAlign w:val="bottom"/>
          </w:tcPr>
          <w:p>
            <w:pPr>
              <w:ind w:left="600"/>
              <w:spacing w:after="0" w:line="202" w:lineRule="exact"/>
              <w:rPr>
                <w:sz w:val="20"/>
                <w:szCs w:val="20"/>
                <w:color w:val="auto"/>
              </w:rPr>
            </w:pPr>
            <w:r>
              <w:rPr>
                <w:rFonts w:ascii="Arial" w:cs="Arial" w:eastAsia="Arial" w:hAnsi="Arial"/>
                <w:sz w:val="18"/>
                <w:szCs w:val="18"/>
                <w:color w:val="auto"/>
              </w:rPr>
              <w:t>1</w:t>
            </w:r>
          </w:p>
        </w:tc>
      </w:tr>
      <w:tr>
        <w:trPr>
          <w:trHeight w:val="263"/>
        </w:trPr>
        <w:tc>
          <w:tcPr>
            <w:tcW w:w="4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9160" w:type="dxa"/>
            <w:vAlign w:val="bottom"/>
          </w:tcPr>
          <w:p>
            <w:pPr>
              <w:ind w:left="4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Balance Sheets as of June 30, 2020 and December 31, 2019</w:t>
              </w:r>
            </w:hyperlink>
          </w:p>
        </w:tc>
        <w:tc>
          <w:tcPr>
            <w:tcW w:w="1400" w:type="dxa"/>
            <w:vAlign w:val="bottom"/>
          </w:tcPr>
          <w:p>
            <w:pPr>
              <w:ind w:left="600"/>
              <w:spacing w:after="0"/>
              <w:rPr>
                <w:sz w:val="20"/>
                <w:szCs w:val="20"/>
                <w:color w:val="auto"/>
              </w:rPr>
            </w:pPr>
            <w:r>
              <w:rPr>
                <w:rFonts w:ascii="Arial" w:cs="Arial" w:eastAsia="Arial" w:hAnsi="Arial"/>
                <w:sz w:val="18"/>
                <w:szCs w:val="18"/>
                <w:color w:val="auto"/>
              </w:rPr>
              <w:t>1</w:t>
            </w:r>
          </w:p>
        </w:tc>
      </w:tr>
      <w:tr>
        <w:trPr>
          <w:trHeight w:val="243"/>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160" w:type="dxa"/>
            <w:vAlign w:val="bottom"/>
          </w:tcPr>
          <w:p>
            <w:pPr>
              <w:ind w:left="4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Operations for the Three and Six Months Ended June 30, 2020 and 2019</w:t>
              </w:r>
            </w:hyperlink>
          </w:p>
        </w:tc>
        <w:tc>
          <w:tcPr>
            <w:tcW w:w="1400" w:type="dxa"/>
            <w:vAlign w:val="bottom"/>
          </w:tcPr>
          <w:p>
            <w:pPr>
              <w:ind w:left="600"/>
              <w:spacing w:after="0"/>
              <w:rPr>
                <w:sz w:val="20"/>
                <w:szCs w:val="20"/>
                <w:color w:val="auto"/>
              </w:rPr>
            </w:pPr>
            <w:r>
              <w:rPr>
                <w:rFonts w:ascii="Arial" w:cs="Arial" w:eastAsia="Arial" w:hAnsi="Arial"/>
                <w:sz w:val="18"/>
                <w:szCs w:val="18"/>
                <w:color w:val="auto"/>
              </w:rPr>
              <w:t>2</w:t>
            </w:r>
          </w:p>
        </w:tc>
      </w:tr>
      <w:tr>
        <w:trPr>
          <w:trHeight w:val="243"/>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160" w:type="dxa"/>
            <w:vAlign w:val="bottom"/>
          </w:tcPr>
          <w:p>
            <w:pPr>
              <w:ind w:left="400"/>
              <w:spacing w:after="0"/>
              <w:rPr>
                <w:rFonts w:ascii="Arial" w:cs="Arial" w:eastAsia="Arial" w:hAnsi="Arial"/>
                <w:sz w:val="18"/>
                <w:szCs w:val="18"/>
                <w:u w:val="single" w:color="auto"/>
                <w:color w:val="0000EE"/>
                <w:w w:val="96"/>
              </w:rPr>
            </w:pPr>
            <w:hyperlink w:anchor="page5">
              <w:r>
                <w:rPr>
                  <w:rFonts w:ascii="Arial" w:cs="Arial" w:eastAsia="Arial" w:hAnsi="Arial"/>
                  <w:sz w:val="18"/>
                  <w:szCs w:val="18"/>
                  <w:u w:val="single" w:color="auto"/>
                  <w:color w:val="0000EE"/>
                  <w:w w:val="96"/>
                </w:rPr>
                <w:t>Consolidated Statements of Comprehensive Income for the Three and Six Months Ended June 30, 2020 and 2019</w:t>
              </w:r>
            </w:hyperlink>
          </w:p>
        </w:tc>
        <w:tc>
          <w:tcPr>
            <w:tcW w:w="1400" w:type="dxa"/>
            <w:vAlign w:val="bottom"/>
          </w:tcPr>
          <w:p>
            <w:pPr>
              <w:ind w:left="600"/>
              <w:spacing w:after="0"/>
              <w:rPr>
                <w:sz w:val="20"/>
                <w:szCs w:val="20"/>
                <w:color w:val="auto"/>
              </w:rPr>
            </w:pPr>
            <w:r>
              <w:rPr>
                <w:rFonts w:ascii="Arial" w:cs="Arial" w:eastAsia="Arial" w:hAnsi="Arial"/>
                <w:sz w:val="18"/>
                <w:szCs w:val="18"/>
                <w:color w:val="auto"/>
              </w:rPr>
              <w:t>3</w:t>
            </w:r>
          </w:p>
        </w:tc>
      </w:tr>
      <w:tr>
        <w:trPr>
          <w:trHeight w:val="243"/>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160" w:type="dxa"/>
            <w:vAlign w:val="bottom"/>
          </w:tcPr>
          <w:p>
            <w:pPr>
              <w:ind w:left="4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Changes in Equity for the Three and Six Months Ended June 30, 2020 and 2019</w:t>
              </w:r>
            </w:hyperlink>
          </w:p>
        </w:tc>
        <w:tc>
          <w:tcPr>
            <w:tcW w:w="1400" w:type="dxa"/>
            <w:vAlign w:val="bottom"/>
          </w:tcPr>
          <w:p>
            <w:pPr>
              <w:ind w:left="600"/>
              <w:spacing w:after="0"/>
              <w:rPr>
                <w:sz w:val="20"/>
                <w:szCs w:val="20"/>
                <w:color w:val="auto"/>
              </w:rPr>
            </w:pPr>
            <w:r>
              <w:rPr>
                <w:rFonts w:ascii="Arial" w:cs="Arial" w:eastAsia="Arial" w:hAnsi="Arial"/>
                <w:sz w:val="18"/>
                <w:szCs w:val="18"/>
                <w:color w:val="auto"/>
              </w:rPr>
              <w:t>4</w:t>
            </w:r>
          </w:p>
        </w:tc>
      </w:tr>
      <w:tr>
        <w:trPr>
          <w:trHeight w:val="243"/>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160" w:type="dxa"/>
            <w:vAlign w:val="bottom"/>
          </w:tcPr>
          <w:p>
            <w:pPr>
              <w:ind w:left="40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Consolidated Statements of Cash Flows for the Six Months Ended June 30, 2020 and 2019</w:t>
              </w:r>
            </w:hyperlink>
          </w:p>
        </w:tc>
        <w:tc>
          <w:tcPr>
            <w:tcW w:w="1400" w:type="dxa"/>
            <w:vAlign w:val="bottom"/>
          </w:tcPr>
          <w:p>
            <w:pPr>
              <w:ind w:left="600"/>
              <w:spacing w:after="0"/>
              <w:rPr>
                <w:sz w:val="20"/>
                <w:szCs w:val="20"/>
                <w:color w:val="auto"/>
              </w:rPr>
            </w:pPr>
            <w:r>
              <w:rPr>
                <w:rFonts w:ascii="Arial" w:cs="Arial" w:eastAsia="Arial" w:hAnsi="Arial"/>
                <w:sz w:val="18"/>
                <w:szCs w:val="18"/>
                <w:color w:val="auto"/>
              </w:rPr>
              <w:t>6</w:t>
            </w:r>
          </w:p>
        </w:tc>
      </w:tr>
      <w:tr>
        <w:trPr>
          <w:trHeight w:val="243"/>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160" w:type="dxa"/>
            <w:vAlign w:val="bottom"/>
          </w:tcPr>
          <w:p>
            <w:pPr>
              <w:ind w:left="40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the Unaudited Consolidated Financial Statements</w:t>
              </w:r>
            </w:hyperlink>
          </w:p>
        </w:tc>
        <w:tc>
          <w:tcPr>
            <w:tcW w:w="1400" w:type="dxa"/>
            <w:vAlign w:val="bottom"/>
          </w:tcPr>
          <w:p>
            <w:pPr>
              <w:ind w:left="600"/>
              <w:spacing w:after="0"/>
              <w:rPr>
                <w:sz w:val="20"/>
                <w:szCs w:val="20"/>
                <w:color w:val="auto"/>
              </w:rPr>
            </w:pPr>
            <w:r>
              <w:rPr>
                <w:rFonts w:ascii="Arial" w:cs="Arial" w:eastAsia="Arial" w:hAnsi="Arial"/>
                <w:sz w:val="18"/>
                <w:szCs w:val="18"/>
                <w:color w:val="auto"/>
              </w:rPr>
              <w:t>7</w:t>
            </w:r>
          </w:p>
        </w:tc>
      </w:tr>
      <w:tr>
        <w:trPr>
          <w:trHeight w:val="203"/>
        </w:trPr>
        <w:tc>
          <w:tcPr>
            <w:tcW w:w="40" w:type="dxa"/>
            <w:vAlign w:val="bottom"/>
          </w:tcPr>
          <w:p>
            <w:pPr>
              <w:spacing w:after="0"/>
              <w:rPr>
                <w:sz w:val="17"/>
                <w:szCs w:val="17"/>
                <w:color w:val="auto"/>
              </w:rPr>
            </w:pPr>
          </w:p>
        </w:tc>
        <w:tc>
          <w:tcPr>
            <w:tcW w:w="640" w:type="dxa"/>
            <w:vAlign w:val="bottom"/>
            <w:gridSpan w:val="2"/>
          </w:tcPr>
          <w:p>
            <w:pPr>
              <w:spacing w:after="0" w:line="202" w:lineRule="exact"/>
              <w:rPr>
                <w:sz w:val="20"/>
                <w:szCs w:val="20"/>
                <w:color w:val="auto"/>
              </w:rPr>
            </w:pPr>
            <w:r>
              <w:rPr>
                <w:rFonts w:ascii="Arial" w:cs="Arial" w:eastAsia="Arial" w:hAnsi="Arial"/>
                <w:sz w:val="18"/>
                <w:szCs w:val="18"/>
                <w:color w:val="auto"/>
              </w:rPr>
              <w:t>Item 2.</w:t>
            </w:r>
          </w:p>
        </w:tc>
        <w:tc>
          <w:tcPr>
            <w:tcW w:w="9160" w:type="dxa"/>
            <w:vAlign w:val="bottom"/>
          </w:tcPr>
          <w:p>
            <w:pPr>
              <w:ind w:left="400"/>
              <w:spacing w:after="0" w:line="202" w:lineRule="exact"/>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Management's Discussion and Analysis of Financial Condition and Results of Operations</w:t>
              </w:r>
            </w:hyperlink>
          </w:p>
        </w:tc>
        <w:tc>
          <w:tcPr>
            <w:tcW w:w="1400" w:type="dxa"/>
            <w:vAlign w:val="bottom"/>
          </w:tcPr>
          <w:p>
            <w:pPr>
              <w:ind w:left="600"/>
              <w:spacing w:after="0" w:line="202" w:lineRule="exact"/>
              <w:rPr>
                <w:sz w:val="20"/>
                <w:szCs w:val="20"/>
                <w:color w:val="auto"/>
              </w:rPr>
            </w:pPr>
            <w:r>
              <w:rPr>
                <w:rFonts w:ascii="Arial" w:cs="Arial" w:eastAsia="Arial" w:hAnsi="Arial"/>
                <w:sz w:val="18"/>
                <w:szCs w:val="18"/>
                <w:color w:val="auto"/>
              </w:rPr>
              <w:t>23</w:t>
            </w: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160" w:type="dxa"/>
            <w:vAlign w:val="bottom"/>
          </w:tcPr>
          <w:p>
            <w:pPr>
              <w:ind w:left="40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Quantitative and Qualitative Disclosures About Market Risk</w:t>
              </w:r>
            </w:hyperlink>
          </w:p>
        </w:tc>
        <w:tc>
          <w:tcPr>
            <w:tcW w:w="1400" w:type="dxa"/>
            <w:vAlign w:val="bottom"/>
          </w:tcPr>
          <w:p>
            <w:pPr>
              <w:ind w:left="600"/>
              <w:spacing w:after="0"/>
              <w:rPr>
                <w:sz w:val="20"/>
                <w:szCs w:val="20"/>
                <w:color w:val="auto"/>
              </w:rPr>
            </w:pPr>
            <w:r>
              <w:rPr>
                <w:rFonts w:ascii="Arial" w:cs="Arial" w:eastAsia="Arial" w:hAnsi="Arial"/>
                <w:sz w:val="18"/>
                <w:szCs w:val="18"/>
                <w:color w:val="auto"/>
              </w:rPr>
              <w:t>41</w:t>
            </w: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160" w:type="dxa"/>
            <w:vAlign w:val="bottom"/>
          </w:tcPr>
          <w:p>
            <w:pPr>
              <w:ind w:left="40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Controls and Procedures</w:t>
              </w:r>
            </w:hyperlink>
          </w:p>
        </w:tc>
        <w:tc>
          <w:tcPr>
            <w:tcW w:w="1400" w:type="dxa"/>
            <w:vAlign w:val="bottom"/>
          </w:tcPr>
          <w:p>
            <w:pPr>
              <w:ind w:left="600"/>
              <w:spacing w:after="0"/>
              <w:rPr>
                <w:sz w:val="20"/>
                <w:szCs w:val="20"/>
                <w:color w:val="auto"/>
              </w:rPr>
            </w:pPr>
            <w:r>
              <w:rPr>
                <w:rFonts w:ascii="Arial" w:cs="Arial" w:eastAsia="Arial" w:hAnsi="Arial"/>
                <w:sz w:val="18"/>
                <w:szCs w:val="18"/>
                <w:color w:val="auto"/>
              </w:rPr>
              <w:t>42</w:t>
            </w: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3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9800" w:type="dxa"/>
            <w:vAlign w:val="bottom"/>
            <w:gridSpan w:val="3"/>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PART II—OTHER INFORMATION</w:t>
              </w:r>
            </w:hyperlink>
          </w:p>
        </w:tc>
        <w:tc>
          <w:tcPr>
            <w:tcW w:w="1400" w:type="dxa"/>
            <w:vAlign w:val="bottom"/>
          </w:tcPr>
          <w:p>
            <w:pPr>
              <w:spacing w:after="0"/>
              <w:rPr>
                <w:sz w:val="22"/>
                <w:szCs w:val="22"/>
                <w:color w:val="auto"/>
              </w:rPr>
            </w:pPr>
          </w:p>
        </w:tc>
      </w:tr>
      <w:tr>
        <w:trPr>
          <w:trHeight w:val="203"/>
        </w:trPr>
        <w:tc>
          <w:tcPr>
            <w:tcW w:w="40" w:type="dxa"/>
            <w:vAlign w:val="bottom"/>
          </w:tcPr>
          <w:p>
            <w:pPr>
              <w:spacing w:after="0"/>
              <w:rPr>
                <w:sz w:val="17"/>
                <w:szCs w:val="17"/>
                <w:color w:val="auto"/>
              </w:rPr>
            </w:pPr>
          </w:p>
        </w:tc>
        <w:tc>
          <w:tcPr>
            <w:tcW w:w="640" w:type="dxa"/>
            <w:vAlign w:val="bottom"/>
            <w:gridSpan w:val="2"/>
          </w:tcPr>
          <w:p>
            <w:pPr>
              <w:spacing w:after="0" w:line="202" w:lineRule="exact"/>
              <w:rPr>
                <w:sz w:val="20"/>
                <w:szCs w:val="20"/>
                <w:color w:val="auto"/>
              </w:rPr>
            </w:pPr>
            <w:r>
              <w:rPr>
                <w:rFonts w:ascii="Arial" w:cs="Arial" w:eastAsia="Arial" w:hAnsi="Arial"/>
                <w:sz w:val="18"/>
                <w:szCs w:val="18"/>
                <w:color w:val="auto"/>
              </w:rPr>
              <w:t>Item 1.</w:t>
            </w:r>
          </w:p>
        </w:tc>
        <w:tc>
          <w:tcPr>
            <w:tcW w:w="9160" w:type="dxa"/>
            <w:vAlign w:val="bottom"/>
          </w:tcPr>
          <w:p>
            <w:pPr>
              <w:ind w:left="400"/>
              <w:spacing w:after="0" w:line="202" w:lineRule="exact"/>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Legal Proceedings</w:t>
              </w:r>
            </w:hyperlink>
          </w:p>
        </w:tc>
        <w:tc>
          <w:tcPr>
            <w:tcW w:w="1400" w:type="dxa"/>
            <w:vAlign w:val="bottom"/>
          </w:tcPr>
          <w:p>
            <w:pPr>
              <w:ind w:left="600"/>
              <w:spacing w:after="0" w:line="202" w:lineRule="exact"/>
              <w:rPr>
                <w:sz w:val="20"/>
                <w:szCs w:val="20"/>
                <w:color w:val="auto"/>
              </w:rPr>
            </w:pPr>
            <w:r>
              <w:rPr>
                <w:rFonts w:ascii="Arial" w:cs="Arial" w:eastAsia="Arial" w:hAnsi="Arial"/>
                <w:sz w:val="18"/>
                <w:szCs w:val="18"/>
                <w:color w:val="auto"/>
              </w:rPr>
              <w:t>42</w:t>
            </w: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Item 1A.</w:t>
            </w:r>
          </w:p>
        </w:tc>
        <w:tc>
          <w:tcPr>
            <w:tcW w:w="9160" w:type="dxa"/>
            <w:vAlign w:val="bottom"/>
          </w:tcPr>
          <w:p>
            <w:pPr>
              <w:ind w:left="40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Risk Factors</w:t>
              </w:r>
            </w:hyperlink>
          </w:p>
        </w:tc>
        <w:tc>
          <w:tcPr>
            <w:tcW w:w="1400" w:type="dxa"/>
            <w:vAlign w:val="bottom"/>
          </w:tcPr>
          <w:p>
            <w:pPr>
              <w:ind w:left="600"/>
              <w:spacing w:after="0"/>
              <w:rPr>
                <w:sz w:val="20"/>
                <w:szCs w:val="20"/>
                <w:color w:val="auto"/>
              </w:rPr>
            </w:pPr>
            <w:r>
              <w:rPr>
                <w:rFonts w:ascii="Arial" w:cs="Arial" w:eastAsia="Arial" w:hAnsi="Arial"/>
                <w:sz w:val="18"/>
                <w:szCs w:val="18"/>
                <w:color w:val="auto"/>
              </w:rPr>
              <w:t>43</w:t>
            </w:r>
          </w:p>
        </w:tc>
      </w:tr>
      <w:tr>
        <w:trPr>
          <w:trHeight w:val="223"/>
        </w:trPr>
        <w:tc>
          <w:tcPr>
            <w:tcW w:w="40" w:type="dxa"/>
            <w:vAlign w:val="bottom"/>
          </w:tcPr>
          <w:p>
            <w:pPr>
              <w:spacing w:after="0"/>
              <w:rPr>
                <w:sz w:val="19"/>
                <w:szCs w:val="19"/>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160" w:type="dxa"/>
            <w:vAlign w:val="bottom"/>
          </w:tcPr>
          <w:p>
            <w:pPr>
              <w:ind w:left="40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Unregistered Sales of Equity Securities and Use of Proceeds</w:t>
              </w:r>
            </w:hyperlink>
          </w:p>
        </w:tc>
        <w:tc>
          <w:tcPr>
            <w:tcW w:w="1400" w:type="dxa"/>
            <w:vAlign w:val="bottom"/>
          </w:tcPr>
          <w:p>
            <w:pPr>
              <w:ind w:left="600"/>
              <w:spacing w:after="0"/>
              <w:rPr>
                <w:sz w:val="20"/>
                <w:szCs w:val="20"/>
                <w:color w:val="auto"/>
              </w:rPr>
            </w:pPr>
            <w:r>
              <w:rPr>
                <w:rFonts w:ascii="Arial" w:cs="Arial" w:eastAsia="Arial" w:hAnsi="Arial"/>
                <w:sz w:val="18"/>
                <w:szCs w:val="18"/>
                <w:color w:val="auto"/>
              </w:rPr>
              <w:t>44</w:t>
            </w: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160" w:type="dxa"/>
            <w:vAlign w:val="bottom"/>
          </w:tcPr>
          <w:p>
            <w:pPr>
              <w:ind w:left="40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Exhibits</w:t>
              </w:r>
            </w:hyperlink>
          </w:p>
        </w:tc>
        <w:tc>
          <w:tcPr>
            <w:tcW w:w="1400" w:type="dxa"/>
            <w:vAlign w:val="bottom"/>
          </w:tcPr>
          <w:p>
            <w:pPr>
              <w:ind w:left="600"/>
              <w:spacing w:after="0"/>
              <w:rPr>
                <w:sz w:val="20"/>
                <w:szCs w:val="20"/>
                <w:color w:val="auto"/>
              </w:rPr>
            </w:pPr>
            <w:r>
              <w:rPr>
                <w:rFonts w:ascii="Arial" w:cs="Arial" w:eastAsia="Arial" w:hAnsi="Arial"/>
                <w:sz w:val="18"/>
                <w:szCs w:val="18"/>
                <w:color w:val="auto"/>
              </w:rPr>
              <w:t>45</w:t>
            </w:r>
          </w:p>
        </w:tc>
      </w:tr>
      <w:tr>
        <w:trPr>
          <w:trHeight w:val="263"/>
        </w:trPr>
        <w:tc>
          <w:tcPr>
            <w:tcW w:w="4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9160" w:type="dxa"/>
            <w:vAlign w:val="bottom"/>
          </w:tcPr>
          <w:p>
            <w:pPr>
              <w:ind w:left="40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Signatures</w:t>
              </w:r>
            </w:hyperlink>
          </w:p>
        </w:tc>
        <w:tc>
          <w:tcPr>
            <w:tcW w:w="140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453"/>
        </w:trPr>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04"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w w:val="85"/>
              </w:rPr>
              <w:t>As of</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91"/>
              <w:spacing w:after="0" w:line="153" w:lineRule="exact"/>
              <w:rPr>
                <w:sz w:val="20"/>
                <w:szCs w:val="20"/>
                <w:color w:val="auto"/>
              </w:rPr>
            </w:pPr>
            <w:r>
              <w:rPr>
                <w:rFonts w:ascii="Arial" w:cs="Arial" w:eastAsia="Arial" w:hAnsi="Arial"/>
                <w:sz w:val="14"/>
                <w:szCs w:val="14"/>
                <w:b w:val="1"/>
                <w:bCs w:val="1"/>
                <w:color w:val="auto"/>
                <w:w w:val="92"/>
              </w:rPr>
              <w:t>June 30,</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right"/>
              <w:ind w:right="151"/>
              <w:spacing w:after="0" w:line="153"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2"/>
        </w:trPr>
        <w:tc>
          <w:tcPr>
            <w:tcW w:w="8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ind w:right="91"/>
              <w:spacing w:after="0"/>
              <w:rPr>
                <w:sz w:val="20"/>
                <w:szCs w:val="20"/>
                <w:color w:val="auto"/>
              </w:rPr>
            </w:pPr>
            <w:r>
              <w:rPr>
                <w:rFonts w:ascii="Arial" w:cs="Arial" w:eastAsia="Arial" w:hAnsi="Arial"/>
                <w:sz w:val="14"/>
                <w:szCs w:val="14"/>
                <w:b w:val="1"/>
                <w:bCs w:val="1"/>
                <w:color w:val="auto"/>
                <w:w w:val="94"/>
              </w:rPr>
              <w:t>(unaudited)</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864,871</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786,081</w:t>
            </w:r>
          </w:p>
        </w:tc>
        <w:tc>
          <w:tcPr>
            <w:tcW w:w="0" w:type="dxa"/>
            <w:vAlign w:val="bottom"/>
          </w:tcPr>
          <w:p>
            <w:pPr>
              <w:spacing w:after="0"/>
              <w:rPr>
                <w:sz w:val="1"/>
                <w:szCs w:val="1"/>
                <w:color w:val="auto"/>
              </w:rPr>
            </w:pPr>
          </w:p>
        </w:tc>
      </w:tr>
      <w:tr>
        <w:trPr>
          <w:trHeight w:val="216"/>
        </w:trPr>
        <w:tc>
          <w:tcPr>
            <w:tcW w:w="8320" w:type="dxa"/>
            <w:vAlign w:val="bottom"/>
          </w:tcPr>
          <w:p>
            <w:pPr>
              <w:ind w:left="380"/>
              <w:spacing w:after="0"/>
              <w:rPr>
                <w:sz w:val="20"/>
                <w:szCs w:val="20"/>
                <w:color w:val="auto"/>
              </w:rPr>
            </w:pPr>
            <w:r>
              <w:rPr>
                <w:rFonts w:ascii="Arial" w:cs="Arial" w:eastAsia="Arial" w:hAnsi="Arial"/>
                <w:sz w:val="18"/>
                <w:szCs w:val="18"/>
                <w:color w:val="auto"/>
              </w:rPr>
              <w:t>ATM cash</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410,459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665,641</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34,301</w:t>
            </w:r>
          </w:p>
        </w:tc>
        <w:tc>
          <w:tcPr>
            <w:tcW w:w="0" w:type="dxa"/>
            <w:vAlign w:val="bottom"/>
          </w:tcPr>
          <w:p>
            <w:pPr>
              <w:spacing w:after="0"/>
              <w:rPr>
                <w:sz w:val="1"/>
                <w:szCs w:val="1"/>
                <w:color w:val="auto"/>
              </w:rPr>
            </w:pPr>
          </w:p>
        </w:tc>
      </w:tr>
      <w:tr>
        <w:trPr>
          <w:trHeight w:val="216"/>
        </w:trPr>
        <w:tc>
          <w:tcPr>
            <w:tcW w:w="8320" w:type="dxa"/>
            <w:vAlign w:val="bottom"/>
          </w:tcPr>
          <w:p>
            <w:pPr>
              <w:ind w:left="380"/>
              <w:spacing w:after="0"/>
              <w:rPr>
                <w:sz w:val="20"/>
                <w:szCs w:val="20"/>
                <w:color w:val="auto"/>
              </w:rPr>
            </w:pPr>
            <w:r>
              <w:rPr>
                <w:rFonts w:ascii="Arial" w:cs="Arial" w:eastAsia="Arial" w:hAnsi="Arial"/>
                <w:sz w:val="18"/>
                <w:szCs w:val="18"/>
                <w:color w:val="auto"/>
              </w:rPr>
              <w:t>Settlement assets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892,676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1,013,067</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Trade accounts receivable, net of credit losses of $4,524 at June 30, 2020 and $3,892 at December 31, 2019</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114,755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201,935</w:t>
            </w:r>
          </w:p>
        </w:tc>
        <w:tc>
          <w:tcPr>
            <w:tcW w:w="0" w:type="dxa"/>
            <w:vAlign w:val="bottom"/>
          </w:tcPr>
          <w:p>
            <w:pPr>
              <w:spacing w:after="0"/>
              <w:rPr>
                <w:sz w:val="1"/>
                <w:szCs w:val="1"/>
                <w:color w:val="auto"/>
              </w:rPr>
            </w:pPr>
          </w:p>
        </w:tc>
      </w:tr>
      <w:tr>
        <w:trPr>
          <w:trHeight w:val="216"/>
        </w:trPr>
        <w:tc>
          <w:tcPr>
            <w:tcW w:w="83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240,946</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217,707</w:t>
            </w: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2,551,757</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2,918,732</w:t>
            </w:r>
          </w:p>
        </w:tc>
        <w:tc>
          <w:tcPr>
            <w:tcW w:w="0" w:type="dxa"/>
            <w:vAlign w:val="bottom"/>
          </w:tcPr>
          <w:p>
            <w:pPr>
              <w:spacing w:after="0"/>
              <w:rPr>
                <w:sz w:val="1"/>
                <w:szCs w:val="1"/>
                <w:color w:val="auto"/>
              </w:rPr>
            </w:pPr>
          </w:p>
        </w:tc>
      </w:tr>
      <w:tr>
        <w:trPr>
          <w:trHeight w:val="216"/>
        </w:trPr>
        <w:tc>
          <w:tcPr>
            <w:tcW w:w="8320" w:type="dxa"/>
            <w:vAlign w:val="bottom"/>
          </w:tcPr>
          <w:p>
            <w:pPr>
              <w:ind w:left="40"/>
              <w:spacing w:after="0"/>
              <w:rPr>
                <w:sz w:val="20"/>
                <w:szCs w:val="20"/>
                <w:color w:val="auto"/>
              </w:rPr>
            </w:pPr>
            <w:r>
              <w:rPr>
                <w:rFonts w:ascii="Arial" w:cs="Arial" w:eastAsia="Arial" w:hAnsi="Arial"/>
                <w:sz w:val="18"/>
                <w:szCs w:val="18"/>
                <w:color w:val="auto"/>
              </w:rPr>
              <w:t>Operating right of use lease assets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158,716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377,543</w:t>
            </w:r>
          </w:p>
        </w:tc>
        <w:tc>
          <w:tcPr>
            <w:tcW w:w="0" w:type="dxa"/>
            <w:vAlign w:val="bottom"/>
          </w:tcPr>
          <w:p>
            <w:pPr>
              <w:spacing w:after="0"/>
              <w:rPr>
                <w:sz w:val="1"/>
                <w:szCs w:val="1"/>
                <w:color w:val="auto"/>
              </w:rPr>
            </w:pPr>
          </w:p>
        </w:tc>
      </w:tr>
      <w:tr>
        <w:trPr>
          <w:trHeight w:val="202"/>
        </w:trPr>
        <w:tc>
          <w:tcPr>
            <w:tcW w:w="832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89"/>
              </w:rPr>
              <w:t>Property and equipment, net of accumulated depreciation of $428,909 at June 30, 2020 and $410,243 at December</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31, 2019</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355,279</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359,980</w:t>
            </w:r>
          </w:p>
        </w:tc>
        <w:tc>
          <w:tcPr>
            <w:tcW w:w="0" w:type="dxa"/>
            <w:vAlign w:val="bottom"/>
          </w:tcPr>
          <w:p>
            <w:pPr>
              <w:spacing w:after="0"/>
              <w:rPr>
                <w:sz w:val="1"/>
                <w:szCs w:val="1"/>
                <w:color w:val="auto"/>
              </w:rPr>
            </w:pPr>
          </w:p>
        </w:tc>
      </w:tr>
      <w:tr>
        <w:trPr>
          <w:trHeight w:val="216"/>
        </w:trPr>
        <w:tc>
          <w:tcPr>
            <w:tcW w:w="83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624,253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743,823</w:t>
            </w:r>
          </w:p>
        </w:tc>
        <w:tc>
          <w:tcPr>
            <w:tcW w:w="0" w:type="dxa"/>
            <w:vAlign w:val="bottom"/>
          </w:tcPr>
          <w:p>
            <w:pPr>
              <w:spacing w:after="0"/>
              <w:rPr>
                <w:sz w:val="1"/>
                <w:szCs w:val="1"/>
                <w:color w:val="auto"/>
              </w:rPr>
            </w:pPr>
          </w:p>
        </w:tc>
      </w:tr>
      <w:tr>
        <w:trPr>
          <w:trHeight w:val="202"/>
        </w:trPr>
        <w:tc>
          <w:tcPr>
            <w:tcW w:w="832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97"/>
              </w:rPr>
              <w:t>Acquired intangible assets, net of accumulated amortization of $161,861 at June 30, 2020 and $204,853 at</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2019</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127,108</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141,847</w:t>
            </w:r>
          </w:p>
        </w:tc>
        <w:tc>
          <w:tcPr>
            <w:tcW w:w="0" w:type="dxa"/>
            <w:vAlign w:val="bottom"/>
          </w:tcPr>
          <w:p>
            <w:pPr>
              <w:spacing w:after="0"/>
              <w:rPr>
                <w:sz w:val="1"/>
                <w:szCs w:val="1"/>
                <w:color w:val="auto"/>
              </w:rPr>
            </w:pPr>
          </w:p>
        </w:tc>
      </w:tr>
      <w:tr>
        <w:trPr>
          <w:trHeight w:val="216"/>
        </w:trPr>
        <w:tc>
          <w:tcPr>
            <w:tcW w:w="8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3"/>
              </w:rPr>
              <w:t>Other assets, net of accumulated amortization of $50,136 at June 30, 2020 and $46,788 at December 31, 2019</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144,422</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115,741</w:t>
            </w:r>
          </w:p>
        </w:tc>
        <w:tc>
          <w:tcPr>
            <w:tcW w:w="0" w:type="dxa"/>
            <w:vAlign w:val="bottom"/>
          </w:tcPr>
          <w:p>
            <w:pPr>
              <w:spacing w:after="0"/>
              <w:rPr>
                <w:sz w:val="1"/>
                <w:szCs w:val="1"/>
                <w:color w:val="auto"/>
              </w:rPr>
            </w:pPr>
          </w:p>
        </w:tc>
      </w:tr>
      <w:tr>
        <w:trPr>
          <w:trHeight w:val="210"/>
        </w:trPr>
        <w:tc>
          <w:tcPr>
            <w:tcW w:w="83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3,961,535</w:t>
            </w: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4,657,666</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40"/>
              <w:spacing w:after="0"/>
              <w:rPr>
                <w:sz w:val="20"/>
                <w:szCs w:val="20"/>
                <w:color w:val="auto"/>
              </w:rPr>
            </w:pPr>
            <w:r>
              <w:rPr>
                <w:rFonts w:ascii="Arial" w:cs="Arial" w:eastAsia="Arial" w:hAnsi="Arial"/>
                <w:sz w:val="18"/>
                <w:szCs w:val="18"/>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380"/>
              <w:spacing w:after="0"/>
              <w:rPr>
                <w:sz w:val="20"/>
                <w:szCs w:val="20"/>
                <w:color w:val="auto"/>
              </w:rPr>
            </w:pPr>
            <w:r>
              <w:rPr>
                <w:rFonts w:ascii="Arial" w:cs="Arial" w:eastAsia="Arial" w:hAnsi="Arial"/>
                <w:sz w:val="18"/>
                <w:szCs w:val="18"/>
                <w:color w:val="auto"/>
              </w:rPr>
              <w:t>Settlement obligations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892,676</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1,013,067</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Trade accounts payable</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90,966</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81,743</w:t>
            </w:r>
          </w:p>
        </w:tc>
        <w:tc>
          <w:tcPr>
            <w:tcW w:w="0" w:type="dxa"/>
            <w:vAlign w:val="bottom"/>
          </w:tcPr>
          <w:p>
            <w:pPr>
              <w:spacing w:after="0"/>
              <w:rPr>
                <w:sz w:val="1"/>
                <w:szCs w:val="1"/>
                <w:color w:val="auto"/>
              </w:rPr>
            </w:pPr>
          </w:p>
        </w:tc>
      </w:tr>
      <w:tr>
        <w:trPr>
          <w:trHeight w:val="216"/>
        </w:trPr>
        <w:tc>
          <w:tcPr>
            <w:tcW w:w="832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306,371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294,557</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Current portion of operating lease liabilities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53,106</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127,353</w:t>
            </w:r>
          </w:p>
        </w:tc>
        <w:tc>
          <w:tcPr>
            <w:tcW w:w="0" w:type="dxa"/>
            <w:vAlign w:val="bottom"/>
          </w:tcPr>
          <w:p>
            <w:pPr>
              <w:spacing w:after="0"/>
              <w:rPr>
                <w:sz w:val="1"/>
                <w:szCs w:val="1"/>
                <w:color w:val="auto"/>
              </w:rPr>
            </w:pPr>
          </w:p>
        </w:tc>
      </w:tr>
      <w:tr>
        <w:trPr>
          <w:trHeight w:val="216"/>
        </w:trPr>
        <w:tc>
          <w:tcPr>
            <w:tcW w:w="8320" w:type="dxa"/>
            <w:vAlign w:val="bottom"/>
          </w:tcPr>
          <w:p>
            <w:pPr>
              <w:ind w:left="38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875</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6,089</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34,472</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52,583</w:t>
            </w:r>
          </w:p>
        </w:tc>
        <w:tc>
          <w:tcPr>
            <w:tcW w:w="0" w:type="dxa"/>
            <w:vAlign w:val="bottom"/>
          </w:tcPr>
          <w:p>
            <w:pPr>
              <w:spacing w:after="0"/>
              <w:rPr>
                <w:sz w:val="1"/>
                <w:szCs w:val="1"/>
                <w:color w:val="auto"/>
              </w:rPr>
            </w:pPr>
          </w:p>
        </w:tc>
      </w:tr>
      <w:tr>
        <w:trPr>
          <w:trHeight w:val="216"/>
        </w:trPr>
        <w:tc>
          <w:tcPr>
            <w:tcW w:w="83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58,532</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58,588</w:t>
            </w: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1,436,998</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1,633,980</w:t>
            </w:r>
          </w:p>
        </w:tc>
        <w:tc>
          <w:tcPr>
            <w:tcW w:w="0" w:type="dxa"/>
            <w:vAlign w:val="bottom"/>
          </w:tcPr>
          <w:p>
            <w:pPr>
              <w:spacing w:after="0"/>
              <w:rPr>
                <w:sz w:val="1"/>
                <w:szCs w:val="1"/>
                <w:color w:val="auto"/>
              </w:rPr>
            </w:pPr>
          </w:p>
        </w:tc>
      </w:tr>
      <w:tr>
        <w:trPr>
          <w:trHeight w:val="216"/>
        </w:trPr>
        <w:tc>
          <w:tcPr>
            <w:tcW w:w="8320" w:type="dxa"/>
            <w:vAlign w:val="bottom"/>
          </w:tcPr>
          <w:p>
            <w:pPr>
              <w:ind w:left="40"/>
              <w:spacing w:after="0"/>
              <w:rPr>
                <w:sz w:val="20"/>
                <w:szCs w:val="20"/>
                <w:color w:val="auto"/>
              </w:rPr>
            </w:pPr>
            <w:r>
              <w:rPr>
                <w:rFonts w:ascii="Arial" w:cs="Arial" w:eastAsia="Arial" w:hAnsi="Arial"/>
                <w:sz w:val="18"/>
                <w:szCs w:val="18"/>
                <w:color w:val="auto"/>
              </w:rPr>
              <w:t>Debt obligations, net of current portion</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1,100,619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1,090,939</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obligations, net of current portion</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100,542</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241,977</w:t>
            </w:r>
          </w:p>
        </w:tc>
        <w:tc>
          <w:tcPr>
            <w:tcW w:w="0" w:type="dxa"/>
            <w:vAlign w:val="bottom"/>
          </w:tcPr>
          <w:p>
            <w:pPr>
              <w:spacing w:after="0"/>
              <w:rPr>
                <w:sz w:val="1"/>
                <w:szCs w:val="1"/>
                <w:color w:val="auto"/>
              </w:rPr>
            </w:pPr>
          </w:p>
        </w:tc>
      </w:tr>
      <w:tr>
        <w:trPr>
          <w:trHeight w:val="216"/>
        </w:trPr>
        <w:tc>
          <w:tcPr>
            <w:tcW w:w="83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55,782</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56,067</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54,934</w:t>
            </w: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55,361</w:t>
            </w:r>
          </w:p>
        </w:tc>
        <w:tc>
          <w:tcPr>
            <w:tcW w:w="0" w:type="dxa"/>
            <w:vAlign w:val="bottom"/>
          </w:tcPr>
          <w:p>
            <w:pPr>
              <w:spacing w:after="0"/>
              <w:rPr>
                <w:sz w:val="1"/>
                <w:szCs w:val="1"/>
                <w:color w:val="auto"/>
              </w:rPr>
            </w:pPr>
          </w:p>
        </w:tc>
      </w:tr>
      <w:tr>
        <w:trPr>
          <w:trHeight w:val="210"/>
        </w:trPr>
        <w:tc>
          <w:tcPr>
            <w:tcW w:w="832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2,748,875</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3,078,324</w:t>
            </w: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Euronet Worldwide, Inc. stockholders’ equity:</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Preferred Stock, $0.02 par value. 10,000,000 shares authorized; none issued</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320" w:type="dxa"/>
            <w:vAlign w:val="bottom"/>
          </w:tcPr>
          <w:p>
            <w:pPr>
              <w:ind w:left="380"/>
              <w:spacing w:after="0" w:line="201" w:lineRule="exact"/>
              <w:rPr>
                <w:sz w:val="20"/>
                <w:szCs w:val="20"/>
                <w:color w:val="auto"/>
              </w:rPr>
            </w:pPr>
            <w:r>
              <w:rPr>
                <w:rFonts w:ascii="Arial" w:cs="Arial" w:eastAsia="Arial" w:hAnsi="Arial"/>
                <w:sz w:val="18"/>
                <w:szCs w:val="18"/>
                <w:color w:val="auto"/>
                <w:w w:val="94"/>
              </w:rPr>
              <w:t>Common Stock, $0.02 par value. 90,000,000 shares authorized; 62,934,954 issued at June 30, 2020 and</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540"/>
              <w:spacing w:after="0"/>
              <w:rPr>
                <w:sz w:val="20"/>
                <w:szCs w:val="20"/>
                <w:color w:val="auto"/>
              </w:rPr>
            </w:pPr>
            <w:r>
              <w:rPr>
                <w:rFonts w:ascii="Arial" w:cs="Arial" w:eastAsia="Arial" w:hAnsi="Arial"/>
                <w:sz w:val="18"/>
                <w:szCs w:val="18"/>
                <w:color w:val="auto"/>
              </w:rPr>
              <w:t>62,775,762 issued at December 31, 2019</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1,259</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Additional paid-in-capital</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1,204,985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1,190,058</w:t>
            </w:r>
          </w:p>
        </w:tc>
        <w:tc>
          <w:tcPr>
            <w:tcW w:w="0" w:type="dxa"/>
            <w:vAlign w:val="bottom"/>
          </w:tcPr>
          <w:p>
            <w:pPr>
              <w:spacing w:after="0"/>
              <w:rPr>
                <w:sz w:val="1"/>
                <w:szCs w:val="1"/>
                <w:color w:val="auto"/>
              </w:rPr>
            </w:pPr>
          </w:p>
        </w:tc>
      </w:tr>
      <w:tr>
        <w:trPr>
          <w:trHeight w:val="216"/>
        </w:trPr>
        <w:tc>
          <w:tcPr>
            <w:tcW w:w="8320" w:type="dxa"/>
            <w:vAlign w:val="bottom"/>
          </w:tcPr>
          <w:p>
            <w:pPr>
              <w:ind w:left="380"/>
              <w:spacing w:after="0"/>
              <w:rPr>
                <w:sz w:val="20"/>
                <w:szCs w:val="20"/>
                <w:color w:val="auto"/>
              </w:rPr>
            </w:pPr>
            <w:r>
              <w:rPr>
                <w:rFonts w:ascii="Arial" w:cs="Arial" w:eastAsia="Arial" w:hAnsi="Arial"/>
                <w:sz w:val="18"/>
                <w:szCs w:val="18"/>
                <w:color w:val="auto"/>
                <w:w w:val="94"/>
              </w:rPr>
              <w:t>Treasury stock, at cost, 10,646,423 shares at June 30, 2020 and 8,554,908 shares at December 31, 2019</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(703,657)</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(463,704)</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902,671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1,016,554</w:t>
            </w:r>
          </w:p>
        </w:tc>
        <w:tc>
          <w:tcPr>
            <w:tcW w:w="0" w:type="dxa"/>
            <w:vAlign w:val="bottom"/>
          </w:tcPr>
          <w:p>
            <w:pPr>
              <w:spacing w:after="0"/>
              <w:rPr>
                <w:sz w:val="1"/>
                <w:szCs w:val="1"/>
                <w:color w:val="auto"/>
              </w:rPr>
            </w:pPr>
          </w:p>
        </w:tc>
      </w:tr>
      <w:tr>
        <w:trPr>
          <w:trHeight w:val="216"/>
        </w:trPr>
        <w:tc>
          <w:tcPr>
            <w:tcW w:w="83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(192,522)</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(164,890)</w:t>
            </w:r>
          </w:p>
        </w:tc>
        <w:tc>
          <w:tcPr>
            <w:tcW w:w="0" w:type="dxa"/>
            <w:vAlign w:val="bottom"/>
          </w:tcPr>
          <w:p>
            <w:pPr>
              <w:spacing w:after="0"/>
              <w:rPr>
                <w:sz w:val="1"/>
                <w:szCs w:val="1"/>
                <w:color w:val="auto"/>
              </w:rPr>
            </w:pPr>
          </w:p>
        </w:tc>
      </w:tr>
      <w:tr>
        <w:trPr>
          <w:trHeight w:val="209"/>
        </w:trPr>
        <w:tc>
          <w:tcPr>
            <w:tcW w:w="83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1,212,736</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1,579,274</w:t>
            </w:r>
          </w:p>
        </w:tc>
        <w:tc>
          <w:tcPr>
            <w:tcW w:w="0" w:type="dxa"/>
            <w:vAlign w:val="bottom"/>
          </w:tcPr>
          <w:p>
            <w:pPr>
              <w:spacing w:after="0"/>
              <w:rPr>
                <w:sz w:val="1"/>
                <w:szCs w:val="1"/>
                <w:color w:val="auto"/>
              </w:rPr>
            </w:pPr>
          </w:p>
        </w:tc>
      </w:tr>
      <w:tr>
        <w:trPr>
          <w:trHeight w:val="216"/>
        </w:trPr>
        <w:tc>
          <w:tcPr>
            <w:tcW w:w="8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1,212,660</w:t>
            </w: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1,579,342</w:t>
            </w:r>
          </w:p>
        </w:tc>
        <w:tc>
          <w:tcPr>
            <w:tcW w:w="0" w:type="dxa"/>
            <w:vAlign w:val="bottom"/>
          </w:tcPr>
          <w:p>
            <w:pPr>
              <w:spacing w:after="0"/>
              <w:rPr>
                <w:sz w:val="1"/>
                <w:szCs w:val="1"/>
                <w:color w:val="auto"/>
              </w:rPr>
            </w:pPr>
          </w:p>
        </w:tc>
      </w:tr>
      <w:tr>
        <w:trPr>
          <w:trHeight w:val="209"/>
        </w:trPr>
        <w:tc>
          <w:tcPr>
            <w:tcW w:w="8320" w:type="dxa"/>
            <w:vAlign w:val="bottom"/>
          </w:tcPr>
          <w:p>
            <w:pPr>
              <w:ind w:left="82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3,961,535</w:t>
            </w:r>
          </w:p>
        </w:tc>
        <w:tc>
          <w:tcPr>
            <w:tcW w:w="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4,657,666</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2900"/>
              <w:spacing w:after="0"/>
              <w:rPr>
                <w:sz w:val="20"/>
                <w:szCs w:val="20"/>
                <w:color w:val="auto"/>
              </w:rPr>
            </w:pPr>
            <w:r>
              <w:rPr>
                <w:rFonts w:ascii="Arial" w:cs="Arial" w:eastAsia="Arial" w:hAnsi="Arial"/>
                <w:sz w:val="18"/>
                <w:szCs w:val="18"/>
                <w:color w:val="auto"/>
                <w:w w:val="88"/>
              </w:rPr>
              <w:t>See accompanying notes to the unaudited consolidated financial statements.</w:t>
            </w: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55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83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8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32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r>
      <w:tr>
        <w:trPr>
          <w:trHeight w:val="264"/>
        </w:trPr>
        <w:tc>
          <w:tcPr>
            <w:tcW w:w="58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r>
      <w:tr>
        <w:trPr>
          <w:trHeight w:val="269"/>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527,803</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691,867</w:t>
            </w: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1,111,710</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1,269,376</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350,011</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393,811</w:t>
            </w: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709,467</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747,644</w:t>
            </w: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90,952</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98,550</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192,192</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191,345</w:t>
            </w:r>
          </w:p>
        </w:tc>
      </w:tr>
      <w:tr>
        <w:trPr>
          <w:trHeight w:val="27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53,315</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53,842</w:t>
            </w: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114,108</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101,989</w:t>
            </w: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Goodwill impairment</w:t>
            </w:r>
          </w:p>
        </w:tc>
        <w:tc>
          <w:tcPr>
            <w:tcW w:w="22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104,554</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104,554</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30,242</w:t>
            </w:r>
          </w:p>
        </w:tc>
        <w:tc>
          <w:tcPr>
            <w:tcW w:w="1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27,767</w:t>
            </w:r>
          </w:p>
        </w:tc>
        <w:tc>
          <w:tcPr>
            <w:tcW w:w="2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61,058</w:t>
            </w: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54,407</w:t>
            </w:r>
          </w:p>
        </w:tc>
      </w:tr>
      <w:tr>
        <w:trPr>
          <w:trHeight w:val="263"/>
        </w:trPr>
        <w:tc>
          <w:tcPr>
            <w:tcW w:w="582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629,074</w:t>
            </w: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573,970</w:t>
            </w:r>
          </w:p>
        </w:tc>
        <w:tc>
          <w:tcPr>
            <w:tcW w:w="2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1,181,379</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1,095,385</w:t>
            </w:r>
          </w:p>
        </w:tc>
      </w:tr>
      <w:tr>
        <w:trPr>
          <w:trHeight w:val="263"/>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(loss) income</w:t>
            </w:r>
          </w:p>
        </w:tc>
        <w:tc>
          <w:tcPr>
            <w:tcW w:w="2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(101,271)</w:t>
            </w:r>
          </w:p>
        </w:tc>
        <w:tc>
          <w:tcPr>
            <w:tcW w:w="14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117,897</w:t>
            </w:r>
          </w:p>
        </w:tc>
        <w:tc>
          <w:tcPr>
            <w:tcW w:w="2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(69,669)</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173,991</w:t>
            </w:r>
          </w:p>
        </w:tc>
      </w:tr>
      <w:tr>
        <w:trPr>
          <w:trHeight w:val="237"/>
        </w:trPr>
        <w:tc>
          <w:tcPr>
            <w:tcW w:w="58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161</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513</w:t>
            </w: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728</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856</w:t>
            </w: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(8,884)</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(10,029)</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(18,117)</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(18,228)</w:t>
            </w:r>
          </w:p>
        </w:tc>
      </w:tr>
      <w:tr>
        <w:trPr>
          <w:trHeight w:val="27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early retirement of debt</w:t>
            </w: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(8,903)</w:t>
            </w: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(9,831)</w:t>
            </w: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Foreign currency exchange gain (loss), net</w:t>
            </w:r>
          </w:p>
        </w:tc>
        <w:tc>
          <w:tcPr>
            <w:tcW w:w="22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2,495</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(16,311)</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3,087</w:t>
            </w:r>
          </w:p>
        </w:tc>
      </w:tr>
      <w:tr>
        <w:trPr>
          <w:trHeight w:val="27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gain (loss)</w:t>
            </w:r>
          </w:p>
        </w:tc>
        <w:tc>
          <w:tcPr>
            <w:tcW w:w="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697</w:t>
            </w:r>
          </w:p>
        </w:tc>
        <w:tc>
          <w:tcPr>
            <w:tcW w:w="1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728</w:t>
            </w: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63"/>
        </w:trPr>
        <w:tc>
          <w:tcPr>
            <w:tcW w:w="582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Other expense, net</w:t>
            </w: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(5,531)</w:t>
            </w: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(18,569)</w:t>
            </w:r>
          </w:p>
        </w:tc>
        <w:tc>
          <w:tcPr>
            <w:tcW w:w="2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(32,972)</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(24,120)</w:t>
            </w:r>
          </w:p>
        </w:tc>
      </w:tr>
      <w:tr>
        <w:trPr>
          <w:trHeight w:val="264"/>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income before income taxes</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(106,802)</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99,328</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(102,641)</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149,871</w:t>
            </w:r>
          </w:p>
        </w:tc>
      </w:tr>
      <w:tr>
        <w:trPr>
          <w:trHeight w:val="270"/>
        </w:trPr>
        <w:tc>
          <w:tcPr>
            <w:tcW w:w="58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(8,931)</w:t>
            </w:r>
          </w:p>
        </w:tc>
        <w:tc>
          <w:tcPr>
            <w:tcW w:w="14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(31,323)</w:t>
            </w:r>
          </w:p>
        </w:tc>
        <w:tc>
          <w:tcPr>
            <w:tcW w:w="2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(11,372)</w:t>
            </w: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(47,287)</w:t>
            </w:r>
          </w:p>
        </w:tc>
      </w:tr>
      <w:tr>
        <w:trPr>
          <w:trHeight w:val="263"/>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income</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(115,733)</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68,005</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(114,013)</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102,584</w:t>
            </w:r>
          </w:p>
        </w:tc>
      </w:tr>
      <w:tr>
        <w:trPr>
          <w:trHeight w:val="270"/>
        </w:trPr>
        <w:tc>
          <w:tcPr>
            <w:tcW w:w="58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loss (income) attributable to noncontrolling interests</w:t>
            </w: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(71)</w:t>
            </w:r>
          </w:p>
        </w:tc>
        <w:tc>
          <w:tcPr>
            <w:tcW w:w="14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148</w:t>
            </w:r>
          </w:p>
        </w:tc>
        <w:tc>
          <w:tcPr>
            <w:tcW w:w="2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130</w:t>
            </w: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112</w:t>
            </w:r>
          </w:p>
        </w:tc>
      </w:tr>
      <w:tr>
        <w:trPr>
          <w:trHeight w:val="264"/>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income attributable to Euronet Worldwide, Inc.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(115,804)</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68,153</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(113,883)</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102,696</w:t>
            </w:r>
          </w:p>
        </w:tc>
      </w:tr>
      <w:tr>
        <w:trPr>
          <w:trHeight w:val="20"/>
        </w:trPr>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50"/>
        </w:trPr>
        <w:tc>
          <w:tcPr>
            <w:tcW w:w="5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(Loss) earnings per share attributable to Euronet Worldwide, Inc. stockholders: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310"/>
        </w:trPr>
        <w:tc>
          <w:tcPr>
            <w:tcW w:w="5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(2.22)</w:t>
            </w:r>
          </w:p>
        </w:tc>
        <w:tc>
          <w:tcPr>
            <w:tcW w:w="1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1.28</w:t>
            </w:r>
          </w:p>
        </w:tc>
        <w:tc>
          <w:tcPr>
            <w:tcW w:w="2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(2.15)</w:t>
            </w: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1.95</w:t>
            </w: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(2.22)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1.90</w:t>
            </w:r>
          </w:p>
        </w:tc>
      </w:tr>
      <w:tr>
        <w:trPr>
          <w:trHeight w:val="20"/>
        </w:trPr>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50"/>
        </w:trPr>
        <w:tc>
          <w:tcPr>
            <w:tcW w:w="5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310"/>
        </w:trPr>
        <w:tc>
          <w:tcPr>
            <w:tcW w:w="5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52,234,465</w:t>
            </w:r>
          </w:p>
        </w:tc>
        <w:tc>
          <w:tcPr>
            <w:tcW w:w="1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7"/>
              </w:rPr>
              <w:t>53,212,759</w:t>
            </w:r>
          </w:p>
        </w:tc>
        <w:tc>
          <w:tcPr>
            <w:tcW w:w="2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52,920,784</w:t>
            </w: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0"/>
              </w:rPr>
              <w:t>52,546,647</w:t>
            </w: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52,234,465</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54,702,459</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52,920,784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0"/>
              </w:rPr>
              <w:t>53,945,770</w:t>
            </w:r>
          </w:p>
        </w:tc>
      </w:tr>
      <w:tr>
        <w:trPr>
          <w:trHeight w:val="20"/>
        </w:trPr>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EURONET WORLDWIDE, INC. AND SUBSIDIARIES CONSOLIDATED STATEMENTS OF COMPREHENSIVE (LOSS) INCOME (Unaudited, in thousands)</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28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264"/>
        </w:trPr>
        <w:tc>
          <w:tcPr>
            <w:tcW w:w="58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r>
      <w:tr>
        <w:trPr>
          <w:trHeight w:val="269"/>
        </w:trPr>
        <w:tc>
          <w:tcPr>
            <w:tcW w:w="5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(115,733)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68,005</w:t>
            </w: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(114,013)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102,584</w:t>
            </w:r>
          </w:p>
        </w:tc>
      </w:tr>
      <w:tr>
        <w:trPr>
          <w:trHeight w:val="270"/>
        </w:trPr>
        <w:tc>
          <w:tcPr>
            <w:tcW w:w="5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Translation adjustment</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32,172</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12,161</w:t>
            </w:r>
          </w:p>
        </w:tc>
        <w:tc>
          <w:tcPr>
            <w:tcW w:w="2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(27,646)</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w:t>
            </w:r>
          </w:p>
        </w:tc>
      </w:tr>
      <w:tr>
        <w:trPr>
          <w:trHeight w:val="263"/>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(loss) income</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(83,561)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80,166</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(141,659)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98,560</w:t>
            </w:r>
          </w:p>
        </w:tc>
      </w:tr>
      <w:tr>
        <w:trPr>
          <w:trHeight w:val="270"/>
        </w:trPr>
        <w:tc>
          <w:tcPr>
            <w:tcW w:w="58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136</w:t>
            </w:r>
          </w:p>
        </w:tc>
        <w:tc>
          <w:tcPr>
            <w:tcW w:w="2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129</w:t>
            </w:r>
          </w:p>
        </w:tc>
      </w:tr>
      <w:tr>
        <w:trPr>
          <w:trHeight w:val="263"/>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Comprehensive (loss) income attributable to Euronet Worldwide, Inc.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(83,659)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80,302</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(141,515)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98,689</w:t>
            </w:r>
          </w:p>
        </w:tc>
      </w:tr>
      <w:tr>
        <w:trPr>
          <w:trHeight w:val="20"/>
        </w:trPr>
        <w:tc>
          <w:tcPr>
            <w:tcW w:w="5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as of December 31, 2018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comprehensive loss</w:t>
      </w:r>
    </w:p>
    <w:p>
      <w:pPr>
        <w:spacing w:after="0" w:line="63" w:lineRule="exact"/>
        <w:rPr>
          <w:sz w:val="20"/>
          <w:szCs w:val="20"/>
          <w:color w:val="auto"/>
        </w:rPr>
      </w:pPr>
    </w:p>
    <w:p>
      <w:pPr>
        <w:ind w:left="40" w:right="1820"/>
        <w:spacing w:after="0" w:line="313" w:lineRule="auto"/>
        <w:rPr>
          <w:sz w:val="20"/>
          <w:szCs w:val="20"/>
          <w:color w:val="auto"/>
        </w:rPr>
      </w:pPr>
      <w:r>
        <w:rPr>
          <w:rFonts w:ascii="Arial" w:cs="Arial" w:eastAsia="Arial" w:hAnsi="Arial"/>
          <w:sz w:val="18"/>
          <w:szCs w:val="18"/>
          <w:color w:val="auto"/>
        </w:rPr>
        <w:t>Stock issued under employee stock plans Share-based compensation</w:t>
      </w:r>
    </w:p>
    <w:p>
      <w:pPr>
        <w:ind w:left="40"/>
        <w:spacing w:after="0"/>
        <w:rPr>
          <w:sz w:val="20"/>
          <w:szCs w:val="20"/>
          <w:color w:val="auto"/>
        </w:rPr>
      </w:pPr>
      <w:r>
        <w:rPr>
          <w:rFonts w:ascii="Arial" w:cs="Arial" w:eastAsia="Arial" w:hAnsi="Arial"/>
          <w:sz w:val="18"/>
          <w:szCs w:val="18"/>
          <w:color w:val="auto"/>
        </w:rPr>
        <w:t>Issuance of convertible notes, net of tax</w:t>
      </w:r>
    </w:p>
    <w:p>
      <w:pPr>
        <w:spacing w:after="0" w:line="63" w:lineRule="exact"/>
        <w:rPr>
          <w:sz w:val="20"/>
          <w:szCs w:val="20"/>
          <w:color w:val="auto"/>
        </w:rPr>
      </w:pPr>
    </w:p>
    <w:p>
      <w:pPr>
        <w:ind w:left="40" w:right="480"/>
        <w:spacing w:after="0" w:line="320" w:lineRule="auto"/>
        <w:rPr>
          <w:sz w:val="20"/>
          <w:szCs w:val="20"/>
          <w:color w:val="auto"/>
        </w:rPr>
      </w:pPr>
      <w:r>
        <w:rPr>
          <w:rFonts w:ascii="Arial" w:cs="Arial" w:eastAsia="Arial" w:hAnsi="Arial"/>
          <w:sz w:val="18"/>
          <w:szCs w:val="18"/>
          <w:color w:val="auto"/>
        </w:rPr>
        <w:t>Repurchase and conversions of convertible notes, net of tax Balance as of March 31, 2019</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(loss)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comprehensive income</w:t>
      </w:r>
    </w:p>
    <w:p>
      <w:pPr>
        <w:spacing w:after="0" w:line="63" w:lineRule="exact"/>
        <w:rPr>
          <w:sz w:val="20"/>
          <w:szCs w:val="20"/>
          <w:color w:val="auto"/>
        </w:rPr>
      </w:pPr>
    </w:p>
    <w:p>
      <w:pPr>
        <w:ind w:left="40" w:right="1820"/>
        <w:spacing w:after="0" w:line="313" w:lineRule="auto"/>
        <w:rPr>
          <w:sz w:val="20"/>
          <w:szCs w:val="20"/>
          <w:color w:val="auto"/>
        </w:rPr>
      </w:pPr>
      <w:r>
        <w:rPr>
          <w:rFonts w:ascii="Arial" w:cs="Arial" w:eastAsia="Arial" w:hAnsi="Arial"/>
          <w:sz w:val="18"/>
          <w:szCs w:val="18"/>
          <w:color w:val="auto"/>
        </w:rPr>
        <w:t>Stock issued under employee stock plans Share-based compensation</w:t>
      </w:r>
    </w:p>
    <w:p>
      <w:pPr>
        <w:ind w:left="40" w:right="360"/>
        <w:spacing w:after="0" w:line="340" w:lineRule="auto"/>
        <w:rPr>
          <w:sz w:val="20"/>
          <w:szCs w:val="20"/>
          <w:color w:val="auto"/>
        </w:rPr>
      </w:pPr>
      <w:r>
        <w:rPr>
          <w:rFonts w:ascii="Arial" w:cs="Arial" w:eastAsia="Arial" w:hAnsi="Arial"/>
          <w:sz w:val="18"/>
          <w:szCs w:val="18"/>
          <w:color w:val="auto"/>
        </w:rPr>
        <w:t>Redemptions and conversions of convertible notes, net of tax Balance as of June 30, 2019</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240" w:type="dxa"/>
            <w:vAlign w:val="bottom"/>
          </w:tcPr>
          <w:p>
            <w:pPr>
              <w:spacing w:after="0"/>
              <w:rPr>
                <w:sz w:val="14"/>
                <w:szCs w:val="14"/>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Common</w:t>
            </w: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260" w:type="dxa"/>
            <w:vAlign w:val="bottom"/>
          </w:tcPr>
          <w:p>
            <w:pPr>
              <w:spacing w:after="0"/>
              <w:rPr>
                <w:sz w:val="14"/>
                <w:szCs w:val="14"/>
                <w:color w:val="auto"/>
              </w:rPr>
            </w:pPr>
          </w:p>
        </w:tc>
        <w:tc>
          <w:tcPr>
            <w:tcW w:w="110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w w:val="94"/>
              </w:rPr>
              <w:t>Treasury</w:t>
            </w:r>
          </w:p>
        </w:tc>
        <w:tc>
          <w:tcPr>
            <w:tcW w:w="0" w:type="dxa"/>
            <w:vAlign w:val="bottom"/>
          </w:tcPr>
          <w:p>
            <w:pPr>
              <w:spacing w:after="0"/>
              <w:rPr>
                <w:sz w:val="1"/>
                <w:szCs w:val="1"/>
                <w:color w:val="auto"/>
              </w:rPr>
            </w:pPr>
          </w:p>
        </w:tc>
      </w:tr>
      <w:tr>
        <w:trPr>
          <w:trHeight w:val="148"/>
        </w:trPr>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Paid-in</w:t>
            </w: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24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Capital</w:t>
            </w:r>
          </w:p>
        </w:tc>
        <w:tc>
          <w:tcPr>
            <w:tcW w:w="260" w:type="dxa"/>
            <w:vAlign w:val="bottom"/>
          </w:tcPr>
          <w:p>
            <w:pPr>
              <w:spacing w:after="0"/>
              <w:rPr>
                <w:sz w:val="16"/>
                <w:szCs w:val="16"/>
                <w:color w:val="auto"/>
              </w:rPr>
            </w:pPr>
          </w:p>
        </w:tc>
        <w:tc>
          <w:tcPr>
            <w:tcW w:w="1100" w:type="dxa"/>
            <w:vAlign w:val="bottom"/>
          </w:tcPr>
          <w:p>
            <w:pPr>
              <w:jc w:val="center"/>
              <w:ind w:right="158"/>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243"/>
        </w:trPr>
        <w:tc>
          <w:tcPr>
            <w:tcW w:w="13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51,819,998</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1,198</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1,104,264</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(391,551)</w:t>
            </w:r>
          </w:p>
        </w:tc>
        <w:tc>
          <w:tcPr>
            <w:tcW w:w="0" w:type="dxa"/>
            <w:vAlign w:val="bottom"/>
          </w:tcPr>
          <w:p>
            <w:pPr>
              <w:spacing w:after="0"/>
              <w:rPr>
                <w:sz w:val="1"/>
                <w:szCs w:val="1"/>
                <w:color w:val="auto"/>
              </w:rPr>
            </w:pPr>
          </w:p>
        </w:tc>
      </w:tr>
      <w:tr>
        <w:trPr>
          <w:trHeight w:val="810"/>
        </w:trPr>
        <w:tc>
          <w:tcPr>
            <w:tcW w:w="1340" w:type="dxa"/>
            <w:vAlign w:val="bottom"/>
          </w:tcPr>
          <w:p>
            <w:pPr>
              <w:jc w:val="right"/>
              <w:ind w:right="18"/>
              <w:spacing w:after="0"/>
              <w:rPr>
                <w:sz w:val="20"/>
                <w:szCs w:val="20"/>
                <w:color w:val="auto"/>
              </w:rPr>
            </w:pPr>
            <w:r>
              <w:rPr>
                <w:rFonts w:ascii="Arial" w:cs="Arial" w:eastAsia="Arial" w:hAnsi="Arial"/>
                <w:sz w:val="18"/>
                <w:szCs w:val="18"/>
                <w:color w:val="auto"/>
              </w:rPr>
              <w:t>130,136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5,194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4,490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71,660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40" w:type="dxa"/>
            <w:vAlign w:val="bottom"/>
          </w:tcPr>
          <w:p>
            <w:pPr>
              <w:jc w:val="right"/>
              <w:ind w:right="18"/>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(42,917)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40" w:type="dxa"/>
            <w:vAlign w:val="bottom"/>
          </w:tcPr>
          <w:p>
            <w:pPr>
              <w:jc w:val="right"/>
              <w:ind w:right="18"/>
              <w:spacing w:after="0"/>
              <w:rPr>
                <w:sz w:val="20"/>
                <w:szCs w:val="20"/>
                <w:color w:val="auto"/>
              </w:rPr>
            </w:pPr>
            <w:r>
              <w:rPr>
                <w:rFonts w:ascii="Arial" w:cs="Arial" w:eastAsia="Arial" w:hAnsi="Arial"/>
                <w:sz w:val="18"/>
                <w:szCs w:val="18"/>
                <w:color w:val="auto"/>
              </w:rPr>
              <w:t>51,950,140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1,142,691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(393,307)</w:t>
            </w:r>
          </w:p>
        </w:tc>
        <w:tc>
          <w:tcPr>
            <w:tcW w:w="0" w:type="dxa"/>
            <w:vAlign w:val="bottom"/>
          </w:tcPr>
          <w:p>
            <w:pPr>
              <w:spacing w:after="0"/>
              <w:rPr>
                <w:sz w:val="1"/>
                <w:szCs w:val="1"/>
                <w:color w:val="auto"/>
              </w:rPr>
            </w:pPr>
          </w:p>
        </w:tc>
      </w:tr>
      <w:tr>
        <w:trPr>
          <w:trHeight w:val="837"/>
        </w:trPr>
        <w:tc>
          <w:tcPr>
            <w:tcW w:w="1340" w:type="dxa"/>
            <w:vAlign w:val="bottom"/>
          </w:tcPr>
          <w:p>
            <w:pPr>
              <w:jc w:val="right"/>
              <w:ind w:right="18"/>
              <w:spacing w:after="0"/>
              <w:rPr>
                <w:sz w:val="20"/>
                <w:szCs w:val="20"/>
                <w:color w:val="auto"/>
              </w:rPr>
            </w:pPr>
            <w:r>
              <w:rPr>
                <w:rFonts w:ascii="Arial" w:cs="Arial" w:eastAsia="Arial" w:hAnsi="Arial"/>
                <w:sz w:val="18"/>
                <w:szCs w:val="18"/>
                <w:color w:val="auto"/>
              </w:rPr>
              <w:t>41,856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1,740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6,003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2,488,243</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22,400</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3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54,480,239</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1,251</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1,172,834</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(393,353)</w:t>
            </w:r>
          </w:p>
        </w:tc>
        <w:tc>
          <w:tcPr>
            <w:tcW w:w="0" w:type="dxa"/>
            <w:vAlign w:val="bottom"/>
          </w:tcPr>
          <w:p>
            <w:pPr>
              <w:spacing w:after="0"/>
              <w:rPr>
                <w:sz w:val="1"/>
                <w:szCs w:val="1"/>
                <w:color w:val="auto"/>
              </w:rPr>
            </w:pPr>
          </w:p>
        </w:tc>
      </w:tr>
      <w:tr>
        <w:trPr>
          <w:trHeight w:val="20"/>
        </w:trPr>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0"/>
        </w:trPr>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240" w:type="dxa"/>
            <w:vAlign w:val="bottom"/>
          </w:tcPr>
          <w:p>
            <w:pPr>
              <w:spacing w:after="0"/>
              <w:rPr>
                <w:sz w:val="24"/>
                <w:szCs w:val="24"/>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Common</w:t>
            </w:r>
          </w:p>
        </w:tc>
        <w:tc>
          <w:tcPr>
            <w:tcW w:w="22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260" w:type="dxa"/>
            <w:vAlign w:val="bottom"/>
          </w:tcPr>
          <w:p>
            <w:pPr>
              <w:spacing w:after="0"/>
              <w:rPr>
                <w:sz w:val="24"/>
                <w:szCs w:val="24"/>
                <w:color w:val="auto"/>
              </w:rPr>
            </w:pPr>
          </w:p>
        </w:tc>
        <w:tc>
          <w:tcPr>
            <w:tcW w:w="110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w w:val="94"/>
              </w:rPr>
              <w:t>Treasury</w:t>
            </w:r>
          </w:p>
        </w:tc>
        <w:tc>
          <w:tcPr>
            <w:tcW w:w="0" w:type="dxa"/>
            <w:vAlign w:val="bottom"/>
          </w:tcPr>
          <w:p>
            <w:pPr>
              <w:spacing w:after="0"/>
              <w:rPr>
                <w:sz w:val="1"/>
                <w:szCs w:val="1"/>
                <w:color w:val="auto"/>
              </w:rPr>
            </w:pPr>
          </w:p>
        </w:tc>
      </w:tr>
      <w:tr>
        <w:trPr>
          <w:trHeight w:val="149"/>
        </w:trPr>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Paid-in</w:t>
            </w: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24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Capital</w:t>
            </w:r>
          </w:p>
        </w:tc>
        <w:tc>
          <w:tcPr>
            <w:tcW w:w="260" w:type="dxa"/>
            <w:vAlign w:val="bottom"/>
          </w:tcPr>
          <w:p>
            <w:pPr>
              <w:spacing w:after="0"/>
              <w:rPr>
                <w:sz w:val="16"/>
                <w:szCs w:val="16"/>
                <w:color w:val="auto"/>
              </w:rPr>
            </w:pPr>
          </w:p>
        </w:tc>
        <w:tc>
          <w:tcPr>
            <w:tcW w:w="1100" w:type="dxa"/>
            <w:vAlign w:val="bottom"/>
          </w:tcPr>
          <w:p>
            <w:pPr>
              <w:jc w:val="center"/>
              <w:ind w:right="158"/>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-3103245</wp:posOffset>
            </wp:positionV>
            <wp:extent cx="7132320" cy="179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-2752090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-2409190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-2066290</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-1714500</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-1371600</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-1028700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800" w:space="720"/>
            <w:col w:w="57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55"/>
        </w:trPr>
        <w:tc>
          <w:tcPr>
            <w:tcW w:w="5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2019</w:t>
            </w:r>
          </w:p>
        </w:tc>
        <w:tc>
          <w:tcPr>
            <w:tcW w:w="13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54,220,854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1,190,058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(463,704)</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80,519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7"/>
        </w:trPr>
        <w:tc>
          <w:tcPr>
            <w:tcW w:w="5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Repurchase of shares</w:t>
            </w:r>
          </w:p>
        </w:tc>
        <w:tc>
          <w:tcPr>
            <w:tcW w:w="1340" w:type="dxa"/>
            <w:vAlign w:val="bottom"/>
          </w:tcPr>
          <w:p>
            <w:pPr>
              <w:jc w:val="right"/>
              <w:spacing w:after="0"/>
              <w:rPr>
                <w:sz w:val="20"/>
                <w:szCs w:val="20"/>
                <w:color w:val="auto"/>
              </w:rPr>
            </w:pPr>
            <w:r>
              <w:rPr>
                <w:rFonts w:ascii="Arial" w:cs="Arial" w:eastAsia="Arial" w:hAnsi="Arial"/>
                <w:sz w:val="18"/>
                <w:szCs w:val="18"/>
                <w:color w:val="auto"/>
              </w:rPr>
              <w:t>(2,095,683)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(239,763)</w:t>
            </w:r>
          </w:p>
        </w:tc>
      </w:tr>
      <w:tr>
        <w:trPr>
          <w:trHeight w:val="27"/>
        </w:trPr>
        <w:tc>
          <w:tcPr>
            <w:tcW w:w="55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2020</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52,205,690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1,198,097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(703,716)</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70"/>
        </w:trPr>
        <w:tc>
          <w:tcPr>
            <w:tcW w:w="552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82,841</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3,763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70"/>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3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3,125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Balance as of June 30, 2020</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52,288,531</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1,259</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1,204,985</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(703,657)</w:t>
            </w:r>
          </w:p>
        </w:tc>
      </w:tr>
      <w:tr>
        <w:trPr>
          <w:trHeight w:val="20"/>
        </w:trPr>
        <w:tc>
          <w:tcPr>
            <w:tcW w:w="55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EURONET WORLDWIDE, INC. AND SUBSIDIARIES CONSOLIDATED STATEMENTS OF CHANGES IN EQUITY (CONTINUED) (Unaudited,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 Earnings</w:t>
            </w: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Noncontrolling</w:t>
            </w:r>
          </w:p>
        </w:tc>
        <w:tc>
          <w:tcPr>
            <w:tcW w:w="320" w:type="dxa"/>
            <w:vAlign w:val="bottom"/>
          </w:tcPr>
          <w:p>
            <w:pPr>
              <w:spacing w:after="0"/>
              <w:rPr>
                <w:sz w:val="14"/>
                <w:szCs w:val="14"/>
                <w:color w:val="auto"/>
              </w:rPr>
            </w:pPr>
          </w:p>
        </w:tc>
        <w:tc>
          <w:tcPr>
            <w:tcW w:w="10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Comprehensive Loss</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Interests</w:t>
            </w:r>
          </w:p>
        </w:tc>
        <w:tc>
          <w:tcPr>
            <w:tcW w:w="3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669,805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1,232,842</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34,543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34,579</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(16,185)</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3,441</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4,490</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Issuance of convertible notes, net of tax</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71,660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Repurchases and conversions of convertible notes</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(42,917)</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Balance as of March 31, 2019</w:t>
            </w: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704,348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(167,199)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1,287,910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68,153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68,005</w:t>
            </w:r>
          </w:p>
        </w:tc>
        <w:tc>
          <w:tcPr>
            <w:tcW w:w="0" w:type="dxa"/>
            <w:vAlign w:val="bottom"/>
          </w:tcPr>
          <w:p>
            <w:pPr>
              <w:spacing w:after="0"/>
              <w:rPr>
                <w:sz w:val="1"/>
                <w:szCs w:val="1"/>
                <w:color w:val="auto"/>
              </w:rPr>
            </w:pPr>
          </w:p>
        </w:tc>
      </w:tr>
      <w:tr>
        <w:trPr>
          <w:trHeight w:val="270"/>
        </w:trPr>
        <w:tc>
          <w:tcPr>
            <w:tcW w:w="552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12,149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12,161</w:t>
            </w:r>
          </w:p>
        </w:tc>
        <w:tc>
          <w:tcPr>
            <w:tcW w:w="0" w:type="dxa"/>
            <w:vAlign w:val="bottom"/>
          </w:tcPr>
          <w:p>
            <w:pPr>
              <w:spacing w:after="0"/>
              <w:rPr>
                <w:sz w:val="1"/>
                <w:szCs w:val="1"/>
                <w:color w:val="auto"/>
              </w:rPr>
            </w:pPr>
          </w:p>
        </w:tc>
      </w:tr>
      <w:tr>
        <w:trPr>
          <w:trHeight w:val="270"/>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70"/>
        </w:trPr>
        <w:tc>
          <w:tcPr>
            <w:tcW w:w="552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6,003</w:t>
            </w:r>
          </w:p>
        </w:tc>
        <w:tc>
          <w:tcPr>
            <w:tcW w:w="0" w:type="dxa"/>
            <w:vAlign w:val="bottom"/>
          </w:tcPr>
          <w:p>
            <w:pPr>
              <w:spacing w:after="0"/>
              <w:rPr>
                <w:sz w:val="1"/>
                <w:szCs w:val="1"/>
                <w:color w:val="auto"/>
              </w:rPr>
            </w:pPr>
          </w:p>
        </w:tc>
      </w:tr>
      <w:tr>
        <w:trPr>
          <w:trHeight w:val="270"/>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Redemptions and conversions of convertible notes</w:t>
            </w: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22,450</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Balance as of June 30, 2019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772,501</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(155,050)</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1,398,223</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0"/>
        </w:trPr>
        <w:tc>
          <w:tcPr>
            <w:tcW w:w="5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 Earnings</w:t>
            </w: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16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Noncontrolling</w:t>
            </w:r>
          </w:p>
        </w:tc>
        <w:tc>
          <w:tcPr>
            <w:tcW w:w="320" w:type="dxa"/>
            <w:vAlign w:val="bottom"/>
          </w:tcPr>
          <w:p>
            <w:pPr>
              <w:spacing w:after="0"/>
              <w:rPr>
                <w:sz w:val="24"/>
                <w:szCs w:val="24"/>
                <w:color w:val="auto"/>
              </w:rPr>
            </w:pPr>
          </w:p>
        </w:tc>
        <w:tc>
          <w:tcPr>
            <w:tcW w:w="10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Comprehensive Loss</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Interests</w:t>
            </w:r>
          </w:p>
        </w:tc>
        <w:tc>
          <w:tcPr>
            <w:tcW w:w="3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2019</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1,016,554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(164,890)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1,579,342</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1,921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(59,818)</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6,338</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Repurchase of shares</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(239,763)</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2020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1,018,475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(224,667)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1,289,272</w:t>
            </w:r>
          </w:p>
        </w:tc>
        <w:tc>
          <w:tcPr>
            <w:tcW w:w="0" w:type="dxa"/>
            <w:vAlign w:val="bottom"/>
          </w:tcPr>
          <w:p>
            <w:pPr>
              <w:spacing w:after="0"/>
              <w:rPr>
                <w:sz w:val="1"/>
                <w:szCs w:val="1"/>
                <w:color w:val="auto"/>
              </w:rPr>
            </w:pPr>
          </w:p>
        </w:tc>
      </w:tr>
      <w:tr>
        <w:trPr>
          <w:trHeight w:val="270"/>
        </w:trPr>
        <w:tc>
          <w:tcPr>
            <w:tcW w:w="552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12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(115,804)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(115,733)</w:t>
            </w:r>
          </w:p>
        </w:tc>
        <w:tc>
          <w:tcPr>
            <w:tcW w:w="0" w:type="dxa"/>
            <w:vAlign w:val="bottom"/>
          </w:tcPr>
          <w:p>
            <w:pPr>
              <w:spacing w:after="0"/>
              <w:rPr>
                <w:sz w:val="1"/>
                <w:szCs w:val="1"/>
                <w:color w:val="auto"/>
              </w:rPr>
            </w:pPr>
          </w:p>
        </w:tc>
      </w:tr>
      <w:tr>
        <w:trPr>
          <w:trHeight w:val="270"/>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32,145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32,172</w:t>
            </w:r>
          </w:p>
        </w:tc>
        <w:tc>
          <w:tcPr>
            <w:tcW w:w="0" w:type="dxa"/>
            <w:vAlign w:val="bottom"/>
          </w:tcPr>
          <w:p>
            <w:pPr>
              <w:spacing w:after="0"/>
              <w:rPr>
                <w:sz w:val="1"/>
                <w:szCs w:val="1"/>
                <w:color w:val="auto"/>
              </w:rPr>
            </w:pPr>
          </w:p>
        </w:tc>
      </w:tr>
      <w:tr>
        <w:trPr>
          <w:trHeight w:val="270"/>
        </w:trPr>
        <w:tc>
          <w:tcPr>
            <w:tcW w:w="552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270"/>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r>
        <w:trPr>
          <w:trHeight w:val="236"/>
        </w:trPr>
        <w:tc>
          <w:tcPr>
            <w:tcW w:w="5520" w:type="dxa"/>
            <w:vAlign w:val="bottom"/>
          </w:tcPr>
          <w:p>
            <w:pPr>
              <w:ind w:left="40"/>
              <w:spacing w:after="0"/>
              <w:rPr>
                <w:sz w:val="20"/>
                <w:szCs w:val="20"/>
                <w:color w:val="auto"/>
              </w:rPr>
            </w:pPr>
            <w:r>
              <w:rPr>
                <w:rFonts w:ascii="Arial" w:cs="Arial" w:eastAsia="Arial" w:hAnsi="Arial"/>
                <w:sz w:val="18"/>
                <w:szCs w:val="18"/>
                <w:color w:val="auto"/>
              </w:rPr>
              <w:t>Balance as of June 30, 2020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902,671</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(192,522)</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1,212,660</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29"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13335</wp:posOffset>
            </wp:positionV>
            <wp:extent cx="16370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2019</w:t>
            </w:r>
          </w:p>
        </w:tc>
      </w:tr>
      <w:tr>
        <w:trPr>
          <w:trHeight w:val="210"/>
        </w:trPr>
        <w:tc>
          <w:tcPr>
            <w:tcW w:w="8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(114,013)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102,584</w:t>
            </w:r>
          </w:p>
        </w:tc>
      </w:tr>
      <w:tr>
        <w:trPr>
          <w:trHeight w:val="216"/>
        </w:trPr>
        <w:tc>
          <w:tcPr>
            <w:tcW w:w="850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61,058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54,407</w:t>
            </w:r>
          </w:p>
        </w:tc>
      </w:tr>
      <w:tr>
        <w:trPr>
          <w:trHeight w:val="216"/>
        </w:trPr>
        <w:tc>
          <w:tcPr>
            <w:tcW w:w="850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9,463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10,493</w:t>
            </w:r>
          </w:p>
        </w:tc>
      </w:tr>
      <w:tr>
        <w:trPr>
          <w:trHeight w:val="216"/>
        </w:trPr>
        <w:tc>
          <w:tcPr>
            <w:tcW w:w="8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foreign exchange loss (gain), net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w:t>
            </w:r>
          </w:p>
        </w:tc>
      </w:tr>
      <w:tr>
        <w:trPr>
          <w:trHeight w:val="216"/>
        </w:trPr>
        <w:tc>
          <w:tcPr>
            <w:tcW w:w="850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4,555</w:t>
            </w:r>
          </w:p>
        </w:tc>
      </w:tr>
      <w:tr>
        <w:trPr>
          <w:trHeight w:val="216"/>
        </w:trPr>
        <w:tc>
          <w:tcPr>
            <w:tcW w:w="8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impairment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104,554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8500" w:type="dxa"/>
            <w:vAlign w:val="bottom"/>
          </w:tcPr>
          <w:p>
            <w:pPr>
              <w:ind w:left="180"/>
              <w:spacing w:after="0"/>
              <w:rPr>
                <w:sz w:val="20"/>
                <w:szCs w:val="20"/>
                <w:color w:val="auto"/>
              </w:rPr>
            </w:pPr>
            <w:r>
              <w:rPr>
                <w:rFonts w:ascii="Arial" w:cs="Arial" w:eastAsia="Arial" w:hAnsi="Arial"/>
                <w:sz w:val="18"/>
                <w:szCs w:val="18"/>
                <w:color w:val="auto"/>
              </w:rPr>
              <w:t>Loss on early retirement of debt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9,831</w:t>
            </w:r>
          </w:p>
        </w:tc>
      </w:tr>
      <w:tr>
        <w:trPr>
          <w:trHeight w:val="216"/>
        </w:trPr>
        <w:tc>
          <w:tcPr>
            <w:tcW w:w="8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Accretion of convertible debt discount and amortization of debt issuance costs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9,281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9,685</w:t>
            </w:r>
          </w:p>
        </w:tc>
      </w:tr>
      <w:tr>
        <w:trPr>
          <w:trHeight w:val="216"/>
        </w:trPr>
        <w:tc>
          <w:tcPr>
            <w:tcW w:w="8500" w:type="dxa"/>
            <w:vAlign w:val="bottom"/>
          </w:tcPr>
          <w:p>
            <w:pPr>
              <w:ind w:left="180"/>
              <w:spacing w:after="0"/>
              <w:rPr>
                <w:sz w:val="20"/>
                <w:szCs w:val="20"/>
                <w:color w:val="auto"/>
              </w:rPr>
            </w:pPr>
            <w:r>
              <w:rPr>
                <w:rFonts w:ascii="Arial" w:cs="Arial" w:eastAsia="Arial" w:hAnsi="Arial"/>
                <w:sz w:val="18"/>
                <w:szCs w:val="18"/>
                <w:color w:val="auto"/>
              </w:rPr>
              <w:t>Changes in working capital, net of amounts acquired: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taxes payable, net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(16,433)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7,302</w:t>
            </w:r>
          </w:p>
        </w:tc>
      </w:tr>
      <w:tr>
        <w:trPr>
          <w:trHeight w:val="216"/>
        </w:trPr>
        <w:tc>
          <w:tcPr>
            <w:tcW w:w="8500" w:type="dxa"/>
            <w:vAlign w:val="bottom"/>
          </w:tcPr>
          <w:p>
            <w:pPr>
              <w:ind w:left="380"/>
              <w:spacing w:after="0"/>
              <w:rPr>
                <w:sz w:val="20"/>
                <w:szCs w:val="20"/>
                <w:color w:val="auto"/>
              </w:rPr>
            </w:pPr>
            <w:r>
              <w:rPr>
                <w:rFonts w:ascii="Arial" w:cs="Arial" w:eastAsia="Arial" w:hAnsi="Arial"/>
                <w:sz w:val="18"/>
                <w:szCs w:val="18"/>
                <w:color w:val="auto"/>
              </w:rPr>
              <w:t>Trade accounts receivable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229,597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(146,441)</w:t>
            </w:r>
          </w:p>
        </w:tc>
      </w:tr>
      <w:tr>
        <w:trPr>
          <w:trHeight w:val="216"/>
        </w:trPr>
        <w:tc>
          <w:tcPr>
            <w:tcW w:w="8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(16,999)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25,606</w:t>
            </w:r>
          </w:p>
        </w:tc>
      </w:tr>
      <w:tr>
        <w:trPr>
          <w:trHeight w:val="216"/>
        </w:trPr>
        <w:tc>
          <w:tcPr>
            <w:tcW w:w="8500" w:type="dxa"/>
            <w:vAlign w:val="bottom"/>
          </w:tcPr>
          <w:p>
            <w:pPr>
              <w:ind w:left="380"/>
              <w:spacing w:after="0"/>
              <w:rPr>
                <w:sz w:val="20"/>
                <w:szCs w:val="20"/>
                <w:color w:val="auto"/>
              </w:rPr>
            </w:pPr>
            <w:r>
              <w:rPr>
                <w:rFonts w:ascii="Arial" w:cs="Arial" w:eastAsia="Arial" w:hAnsi="Arial"/>
                <w:sz w:val="18"/>
                <w:szCs w:val="18"/>
                <w:color w:val="auto"/>
              </w:rPr>
              <w:t>Trade accounts payable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(135,121)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(95,083)</w:t>
            </w:r>
          </w:p>
        </w:tc>
      </w:tr>
      <w:tr>
        <w:trPr>
          <w:trHeight w:val="216"/>
        </w:trPr>
        <w:tc>
          <w:tcPr>
            <w:tcW w:w="8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3,457</w:t>
            </w:r>
          </w:p>
        </w:tc>
      </w:tr>
      <w:tr>
        <w:trPr>
          <w:trHeight w:val="216"/>
        </w:trPr>
        <w:tc>
          <w:tcPr>
            <w:tcW w:w="850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57,281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85,262</w:t>
            </w:r>
          </w:p>
        </w:tc>
      </w:tr>
      <w:tr>
        <w:trPr>
          <w:trHeight w:val="216"/>
        </w:trPr>
        <w:tc>
          <w:tcPr>
            <w:tcW w:w="8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noncurrent assets and liabilities</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(25,021)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(11,857)</w:t>
            </w:r>
          </w:p>
        </w:tc>
      </w:tr>
      <w:tr>
        <w:trPr>
          <w:trHeight w:val="210"/>
        </w:trPr>
        <w:tc>
          <w:tcPr>
            <w:tcW w:w="850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178,557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56,714</w:t>
            </w:r>
          </w:p>
        </w:tc>
      </w:tr>
      <w:tr>
        <w:trPr>
          <w:trHeight w:val="216"/>
        </w:trPr>
        <w:tc>
          <w:tcPr>
            <w:tcW w:w="8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850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8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(45,500)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(67,727)</w:t>
            </w:r>
          </w:p>
        </w:tc>
      </w:tr>
      <w:tr>
        <w:trPr>
          <w:trHeight w:val="216"/>
        </w:trPr>
        <w:tc>
          <w:tcPr>
            <w:tcW w:w="8500" w:type="dxa"/>
            <w:vAlign w:val="bottom"/>
          </w:tcPr>
          <w:p>
            <w:pPr>
              <w:ind w:left="180"/>
              <w:spacing w:after="0"/>
              <w:rPr>
                <w:sz w:val="20"/>
                <w:szCs w:val="20"/>
                <w:color w:val="auto"/>
              </w:rPr>
            </w:pPr>
            <w:r>
              <w:rPr>
                <w:rFonts w:ascii="Arial" w:cs="Arial" w:eastAsia="Arial" w:hAnsi="Arial"/>
                <w:sz w:val="18"/>
                <w:szCs w:val="18"/>
                <w:color w:val="auto"/>
              </w:rPr>
              <w:t>Purchases of other long-term assets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(3,436)</w:t>
            </w:r>
          </w:p>
        </w:tc>
      </w:tr>
      <w:tr>
        <w:trPr>
          <w:trHeight w:val="216"/>
        </w:trPr>
        <w:tc>
          <w:tcPr>
            <w:tcW w:w="8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2,403</w:t>
            </w:r>
          </w:p>
        </w:tc>
      </w:tr>
      <w:tr>
        <w:trPr>
          <w:trHeight w:val="210"/>
        </w:trPr>
        <w:tc>
          <w:tcPr>
            <w:tcW w:w="850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(48,624)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(68,760)</w:t>
            </w: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16"/>
        </w:trPr>
        <w:tc>
          <w:tcPr>
            <w:tcW w:w="8500" w:type="dxa"/>
            <w:vAlign w:val="bottom"/>
          </w:tcPr>
          <w:p>
            <w:pPr>
              <w:ind w:left="180"/>
              <w:spacing w:after="0"/>
              <w:rPr>
                <w:sz w:val="20"/>
                <w:szCs w:val="20"/>
                <w:color w:val="auto"/>
              </w:rPr>
            </w:pPr>
            <w:r>
              <w:rPr>
                <w:rFonts w:ascii="Arial" w:cs="Arial" w:eastAsia="Arial" w:hAnsi="Arial"/>
                <w:sz w:val="18"/>
                <w:szCs w:val="18"/>
                <w:color w:val="auto"/>
              </w:rPr>
              <w:t>Proceeds from issuance of shares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5,668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7,037</w:t>
            </w:r>
          </w:p>
        </w:tc>
      </w:tr>
      <w:tr>
        <w:trPr>
          <w:trHeight w:val="216"/>
        </w:trPr>
        <w:tc>
          <w:tcPr>
            <w:tcW w:w="8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 of shares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(240,684)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r>
      <w:tr>
        <w:trPr>
          <w:trHeight w:val="216"/>
        </w:trPr>
        <w:tc>
          <w:tcPr>
            <w:tcW w:w="8500" w:type="dxa"/>
            <w:vAlign w:val="bottom"/>
          </w:tcPr>
          <w:p>
            <w:pPr>
              <w:ind w:left="180"/>
              <w:spacing w:after="0"/>
              <w:rPr>
                <w:sz w:val="20"/>
                <w:szCs w:val="20"/>
                <w:color w:val="auto"/>
              </w:rPr>
            </w:pPr>
            <w:r>
              <w:rPr>
                <w:rFonts w:ascii="Arial" w:cs="Arial" w:eastAsia="Arial" w:hAnsi="Arial"/>
                <w:sz w:val="18"/>
                <w:szCs w:val="18"/>
                <w:color w:val="auto"/>
              </w:rPr>
              <w:t>Borrowings from revolving credit agreements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1,425,100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2,043,598</w:t>
            </w:r>
          </w:p>
        </w:tc>
      </w:tr>
      <w:tr>
        <w:trPr>
          <w:trHeight w:val="216"/>
        </w:trPr>
        <w:tc>
          <w:tcPr>
            <w:tcW w:w="8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revolving credit agreements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(1,425,100)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(2,253,498)</w:t>
            </w:r>
          </w:p>
        </w:tc>
      </w:tr>
      <w:tr>
        <w:trPr>
          <w:trHeight w:val="216"/>
        </w:trPr>
        <w:tc>
          <w:tcPr>
            <w:tcW w:w="8500" w:type="dxa"/>
            <w:vAlign w:val="bottom"/>
          </w:tcPr>
          <w:p>
            <w:pPr>
              <w:ind w:left="180"/>
              <w:spacing w:after="0"/>
              <w:rPr>
                <w:sz w:val="20"/>
                <w:szCs w:val="20"/>
                <w:color w:val="auto"/>
              </w:rPr>
            </w:pPr>
            <w:r>
              <w:rPr>
                <w:rFonts w:ascii="Arial" w:cs="Arial" w:eastAsia="Arial" w:hAnsi="Arial"/>
                <w:sz w:val="18"/>
                <w:szCs w:val="18"/>
                <w:color w:val="auto"/>
              </w:rPr>
              <w:t>Proceeds from long-term debt obligations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1,194,900</w:t>
            </w:r>
          </w:p>
        </w:tc>
      </w:tr>
      <w:tr>
        <w:trPr>
          <w:trHeight w:val="216"/>
        </w:trPr>
        <w:tc>
          <w:tcPr>
            <w:tcW w:w="8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long-term debt obligations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(446,702)</w:t>
            </w:r>
          </w:p>
        </w:tc>
      </w:tr>
      <w:tr>
        <w:trPr>
          <w:trHeight w:val="216"/>
        </w:trPr>
        <w:tc>
          <w:tcPr>
            <w:tcW w:w="8500" w:type="dxa"/>
            <w:vAlign w:val="bottom"/>
          </w:tcPr>
          <w:p>
            <w:pPr>
              <w:ind w:left="180"/>
              <w:spacing w:after="0"/>
              <w:rPr>
                <w:sz w:val="20"/>
                <w:szCs w:val="20"/>
                <w:color w:val="auto"/>
              </w:rPr>
            </w:pPr>
            <w:r>
              <w:rPr>
                <w:rFonts w:ascii="Arial" w:cs="Arial" w:eastAsia="Arial" w:hAnsi="Arial"/>
                <w:sz w:val="18"/>
                <w:szCs w:val="18"/>
                <w:color w:val="auto"/>
              </w:rPr>
              <w:t>Net borrowing from short-term debt obligations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(14,184)</w:t>
            </w:r>
          </w:p>
        </w:tc>
      </w:tr>
      <w:tr>
        <w:trPr>
          <w:trHeight w:val="216"/>
        </w:trPr>
        <w:tc>
          <w:tcPr>
            <w:tcW w:w="8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(19,673)</w:t>
            </w:r>
          </w:p>
        </w:tc>
      </w:tr>
      <w:tr>
        <w:trPr>
          <w:trHeight w:val="216"/>
        </w:trPr>
        <w:tc>
          <w:tcPr>
            <w:tcW w:w="8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(3,085)</w:t>
            </w:r>
          </w:p>
        </w:tc>
      </w:tr>
      <w:tr>
        <w:trPr>
          <w:trHeight w:val="244"/>
        </w:trPr>
        <w:tc>
          <w:tcPr>
            <w:tcW w:w="85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(used in) provided by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(240,974)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505,945</w:t>
            </w:r>
          </w:p>
        </w:tc>
      </w:tr>
      <w:tr>
        <w:trPr>
          <w:trHeight w:val="216"/>
        </w:trPr>
        <w:tc>
          <w:tcPr>
            <w:tcW w:w="85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(27,787)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4,907</w:t>
            </w:r>
          </w:p>
        </w:tc>
      </w:tr>
      <w:tr>
        <w:trPr>
          <w:trHeight w:val="216"/>
        </w:trPr>
        <w:tc>
          <w:tcPr>
            <w:tcW w:w="85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(Decrease) increase in cash and cash equivalents and restricted cash</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(138,828)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498,806</w:t>
            </w:r>
          </w:p>
        </w:tc>
      </w:tr>
      <w:tr>
        <w:trPr>
          <w:trHeight w:val="216"/>
        </w:trPr>
        <w:tc>
          <w:tcPr>
            <w:tcW w:w="8500" w:type="dxa"/>
            <w:vAlign w:val="bottom"/>
          </w:tcPr>
          <w:p>
            <w:pPr>
              <w:ind w:left="4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1,817,379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1,130,952</w:t>
            </w:r>
          </w:p>
        </w:tc>
      </w:tr>
      <w:tr>
        <w:trPr>
          <w:trHeight w:val="175"/>
        </w:trPr>
        <w:tc>
          <w:tcPr>
            <w:tcW w:w="8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r>
      <w:tr>
        <w:trPr>
          <w:trHeight w:val="250"/>
        </w:trPr>
        <w:tc>
          <w:tcPr>
            <w:tcW w:w="8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and restricted cash at end of period</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1,678,551</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1,629,758</w:t>
            </w:r>
          </w:p>
        </w:tc>
      </w:tr>
      <w:tr>
        <w:trPr>
          <w:trHeight w:val="156"/>
        </w:trPr>
        <w:tc>
          <w:tcPr>
            <w:tcW w:w="8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216"/>
        </w:trPr>
        <w:tc>
          <w:tcPr>
            <w:tcW w:w="8500" w:type="dxa"/>
            <w:vAlign w:val="bottom"/>
          </w:tcPr>
          <w:p>
            <w:pPr>
              <w:ind w:left="40"/>
              <w:spacing w:after="0"/>
              <w:rPr>
                <w:sz w:val="20"/>
                <w:szCs w:val="20"/>
                <w:color w:val="auto"/>
              </w:rPr>
            </w:pPr>
            <w:r>
              <w:rPr>
                <w:rFonts w:ascii="Arial" w:cs="Arial" w:eastAsia="Arial" w:hAnsi="Arial"/>
                <w:sz w:val="18"/>
                <w:szCs w:val="18"/>
                <w:color w:val="auto"/>
              </w:rPr>
              <w:t>Supplemental disclosure of cash flow information:</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paid during the period</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13,359</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7,107</w:t>
            </w:r>
          </w:p>
        </w:tc>
      </w:tr>
      <w:tr>
        <w:trPr>
          <w:trHeight w:val="202"/>
        </w:trPr>
        <w:tc>
          <w:tcPr>
            <w:tcW w:w="8500" w:type="dxa"/>
            <w:vAlign w:val="bottom"/>
          </w:tcPr>
          <w:p>
            <w:pPr>
              <w:ind w:left="40"/>
              <w:spacing w:after="0" w:line="201" w:lineRule="exact"/>
              <w:rPr>
                <w:sz w:val="20"/>
                <w:szCs w:val="20"/>
                <w:color w:val="auto"/>
              </w:rPr>
            </w:pPr>
            <w:r>
              <w:rPr>
                <w:rFonts w:ascii="Arial" w:cs="Arial" w:eastAsia="Arial" w:hAnsi="Arial"/>
                <w:sz w:val="18"/>
                <w:szCs w:val="18"/>
                <w:color w:val="auto"/>
              </w:rPr>
              <w:t>Income taxes paid during the period</w:t>
            </w:r>
          </w:p>
        </w:tc>
        <w:tc>
          <w:tcPr>
            <w:tcW w:w="360" w:type="dxa"/>
            <w:vAlign w:val="bottom"/>
            <w:gridSpan w:val="2"/>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29,695</w:t>
            </w:r>
          </w:p>
        </w:tc>
        <w:tc>
          <w:tcPr>
            <w:tcW w:w="320" w:type="dxa"/>
            <w:vAlign w:val="bottom"/>
            <w:gridSpan w:val="2"/>
          </w:tcPr>
          <w:p>
            <w:pPr>
              <w:jc w:val="right"/>
              <w:ind w:right="47"/>
              <w:spacing w:after="0" w:line="201"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36,543</w:t>
            </w:r>
          </w:p>
        </w:tc>
      </w:tr>
      <w:tr>
        <w:trPr>
          <w:trHeight w:val="230"/>
        </w:trPr>
        <w:tc>
          <w:tcPr>
            <w:tcW w:w="8500" w:type="dxa"/>
            <w:vAlign w:val="bottom"/>
          </w:tcPr>
          <w:p>
            <w:pPr>
              <w:ind w:left="2900"/>
              <w:spacing w:after="0"/>
              <w:rPr>
                <w:sz w:val="20"/>
                <w:szCs w:val="20"/>
                <w:color w:val="auto"/>
              </w:rPr>
            </w:pPr>
            <w:r>
              <w:rPr>
                <w:rFonts w:ascii="Arial" w:cs="Arial" w:eastAsia="Arial" w:hAnsi="Arial"/>
                <w:sz w:val="18"/>
                <w:szCs w:val="18"/>
                <w:color w:val="auto"/>
                <w:w w:val="91"/>
              </w:rPr>
              <w:t>See accompanying notes to the unaudited consolidated financial statements.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59"/>
        </w:trPr>
        <w:tc>
          <w:tcPr>
            <w:tcW w:w="8500" w:type="dxa"/>
            <w:vAlign w:val="bottom"/>
          </w:tcPr>
          <w:p>
            <w:pPr>
              <w:ind w:left="558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29"/>
        </w:trPr>
        <w:tc>
          <w:tcPr>
            <w:tcW w:w="8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Euronet Worldwide, Inc. (the “Company” or “Euronet”) was established as a Delaware corporation on December 13, 1997 and succeeded Euronet Holding N.V. as the group holding company, which was founded and established in 1994. Euronet is a leading electronic payments provider. Euronet offers payment and transaction processing and distribution solutions to financial institutions, retailers, service providers and individual consumers. Euronet's primary product offerings include comprehensive automated teller machine (“ATM”), point-of-sale (“POS”), card outsourcing, card issuing and merchant acquiring services, electronic distribution of prepaid mobile airtime and other electronic payment products, and global money transfer services.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only of normal recurring adjustments) necessary to fairly present the consolidated financial position and the results of operations, comprehensive income, changes in equity and cash flows for the interim periods. The unaudited consolidated financial statements should be read in conjunction with the audited consolidated financial statements of the Company for the year ended December 31, 2019, including the notes thereto, set forth in the Company’s 2019 Annual Report on Form 10-K.</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preparation of financial statements in conformity with U.S. GAAP requires management to make certain estimates and assumptions that affect the reported amounts of assets and liabilities and disclosures of contingent assets and liabilities at the date of the financial statements, as well as the reported amounts of revenues and expenses during the reporting period. Significant items subject to such estimates and assumptions include computing income taxes, estimating the useful lives and potential impairment of long-lived assets and goodwill, as well as allocating the purchase price to assets acquired and liabilities assumed in acquisitions and revenue recognition. Actual results could differ from those estimates. The results of operations for interim periods are not necessarily indicative of the results to be expected for the full year ending December 31, 2020.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Euronet’s Electronic Funds Transfer ("EFT") Processing Segment normally experiences its heaviest demand for dynamic currency conversion ("DCC") services during the third quarter of the fiscal year, normally coinciding with the tourism season. Additionally, the EFT Processing and epay Segments are normally impacted by seasonality during the fourth quarter and first quarter of each year due to higher transaction levels during the holiday season and lower levels following the holiday season. Seasonality in the Money Transfer Segment varies by region of the world. In most markets, Euronet usually experiences increased demand for money transfer services from the month of May through the fourth quarter of each year, coinciding with the increase in worker migration patterns and various holidays, and its lowest transaction levels during the first quarter of the year.</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(coronavirus)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outbreak of the COVID-19 (coronavirus) pandemic has resulted in varying degrees of travel restrictions and shelter-in-place and other social distancing orders in most of the countries where the Company operates during the three months ended June 30, 2020. Although the majority of these orders went into effect in late February 2020 or early March 2020, new orders are being implemented, or reinstated, as the pandemic spreads around the global and new hot spots flare up. The EFT Segment has experienced declines in transaction volumes due to these restrictions, especially high-margin cross-border transactions. The epay Segment experienced the impacts of consumer movement restrictions in certain markets, while other markets were positively impacted where the Company has a higher mix of digital distribution or a higher concentration of retailers that were deemed essential and remained open during the pandemic. Our Money Transfer Segment has experienced declines in transaction volumes due to the restrictions noted above, which have also led to the temporary closure of many of the locations where our products and services are offered.</w:t>
      </w:r>
    </w:p>
    <w:p>
      <w:pPr>
        <w:spacing w:after="0" w:line="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response to the COVID-19 driven impacts, the Company has implemented several key measures to offset the impact across the business, including renegotiating certain third party contracts, reducing travel, decreasing planned 2020 capital expenditures, and expanding ATM winterizations (placing them in dormancy status, terminating, or re-negotiating) in more sites and more markets.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RECENTLY ISSUED AND ADOPTED ACCOUNTING PRONOUNCEMENTS</w:t>
      </w:r>
    </w:p>
    <w:p>
      <w:pPr>
        <w:spacing w:after="0" w:line="200" w:lineRule="exact"/>
        <w:rPr>
          <w:sz w:val="20"/>
          <w:szCs w:val="20"/>
          <w:color w:val="auto"/>
        </w:rPr>
      </w:pPr>
    </w:p>
    <w:p>
      <w:pPr>
        <w:spacing w:after="0" w:line="20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March 2020, the Financial Accounting Standards Board ("FASB") issued ASU 2020-04, </w:t>
      </w:r>
      <w:r>
        <w:rPr>
          <w:rFonts w:ascii="Arial" w:cs="Arial" w:eastAsia="Arial" w:hAnsi="Arial"/>
          <w:sz w:val="18"/>
          <w:szCs w:val="18"/>
          <w:i w:val="1"/>
          <w:iCs w:val="1"/>
          <w:color w:val="auto"/>
        </w:rPr>
        <w:t>Reference Rate Reform</w:t>
      </w:r>
      <w:r>
        <w:rPr>
          <w:rFonts w:ascii="Arial" w:cs="Arial" w:eastAsia="Arial" w:hAnsi="Arial"/>
          <w:sz w:val="18"/>
          <w:szCs w:val="18"/>
          <w:color w:val="auto"/>
        </w:rPr>
        <w:t xml:space="preserve"> (Topic 848), which provides optional expedients and exceptions for contracts, hedging relationships, and other transactions affected by reference rate reform due to the anticipated cessation of LIBOR on or before December 31, 2021. This guidance is effective from March 12, 2020 through December 31, 2022 and could impact the accounting for LIBOR provisions in the Company’s unsecured credit agreement. The Company does not expect that the adoption of this guidance will have a significant impact on its consolidated financial statements.</w:t>
      </w:r>
    </w:p>
    <w:p>
      <w:pPr>
        <w:spacing w:after="0" w:line="188"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 xml:space="preserve">The Company adopted ASU 2016-13, </w:t>
      </w:r>
      <w:r>
        <w:rPr>
          <w:rFonts w:ascii="Arial" w:cs="Arial" w:eastAsia="Arial" w:hAnsi="Arial"/>
          <w:sz w:val="16"/>
          <w:szCs w:val="16"/>
          <w:i w:val="1"/>
          <w:iCs w:val="1"/>
          <w:color w:val="auto"/>
        </w:rPr>
        <w:t>Financial Instruments - Credit Losses</w:t>
      </w:r>
      <w:r>
        <w:rPr>
          <w:rFonts w:ascii="Arial" w:cs="Arial" w:eastAsia="Arial" w:hAnsi="Arial"/>
          <w:sz w:val="16"/>
          <w:szCs w:val="16"/>
          <w:color w:val="auto"/>
        </w:rPr>
        <w:t xml:space="preserve"> (Topic 326), as of January 1, 2020, which requires entities to measure all expected credit losses for financial assets held at the reporting date based on historical experience, current conditions, and reasonable and supportable forecasts. This replaced the existing incurred loss model and is applicable to the measurement of credit losses on financial assets measured at amortized cost. The adoption of this standard did not have a significant impact on the Company's consolidated financial statements and related disclosures.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SETTLEMENT ASSETS AND OBLIGATIONS</w:t>
      </w:r>
    </w:p>
    <w:p>
      <w:pPr>
        <w:spacing w:after="0" w:line="22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Settlement assets represent funds received or to be received from agents for unsettled money transfers and from merchants for unsettled prepaid transactions. The Company records corresponding settlement obligations relating to amounts payable. Settlement assets consist of cash and cash equivalents, restricted cash, accounts receivable and prepaid expenses and other current assets. Cash received by Euronet agents and merchants generally becomes available to the Company within two weeks after initial receipt by the business partner. Receivables from business partners represent funds collected by such business partners that are in transit to the Company.</w:t>
      </w:r>
    </w:p>
    <w:p>
      <w:pPr>
        <w:spacing w:after="0" w:line="18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Settlement obligations consist of money transfers and accounts payable to agents and content providers. Money transfer accounts payable represent amounts to be paid to transferees when they request funds. Most agents typically settle with transferees first then obtain reimbursement from the Company. Money order accounts payable represent amounts not yet presented for payment. Due to the agent funding and settlement process, accounts payable to agents represent amounts due to agents for money transfers that have not been settled with transferees.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w w:val="97"/>
              </w:rPr>
              <w:t>As of</w:t>
            </w:r>
          </w:p>
        </w:tc>
        <w:tc>
          <w:tcPr>
            <w:tcW w:w="1380" w:type="dxa"/>
            <w:vAlign w:val="bottom"/>
            <w:tcBorders>
              <w:bottom w:val="single" w:sz="8" w:color="auto"/>
            </w:tcBorders>
          </w:tcPr>
          <w:p>
            <w:pPr>
              <w:spacing w:after="0"/>
              <w:rPr>
                <w:sz w:val="16"/>
                <w:szCs w:val="16"/>
                <w:color w:val="auto"/>
              </w:rPr>
            </w:pPr>
          </w:p>
        </w:tc>
      </w:tr>
      <w:tr>
        <w:trPr>
          <w:trHeight w:val="152"/>
        </w:trPr>
        <w:tc>
          <w:tcPr>
            <w:tcW w:w="7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jc w:val="right"/>
              <w:ind w:right="374"/>
              <w:spacing w:after="0" w:line="153"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December 31,</w:t>
            </w:r>
          </w:p>
        </w:tc>
      </w:tr>
      <w:tr>
        <w:trPr>
          <w:trHeight w:val="192"/>
        </w:trPr>
        <w:tc>
          <w:tcPr>
            <w:tcW w:w="7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2019</w:t>
            </w:r>
          </w:p>
        </w:tc>
      </w:tr>
      <w:tr>
        <w:trPr>
          <w:trHeight w:val="249"/>
        </w:trPr>
        <w:tc>
          <w:tcPr>
            <w:tcW w:w="7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gridSpan w:val="2"/>
          </w:tcPr>
          <w:p>
            <w:pPr>
              <w:ind w:left="180"/>
              <w:spacing w:after="0"/>
              <w:rPr>
                <w:sz w:val="20"/>
                <w:szCs w:val="20"/>
                <w:color w:val="auto"/>
              </w:rPr>
            </w:pPr>
            <w:r>
              <w:rPr>
                <w:rFonts w:ascii="Arial" w:cs="Arial" w:eastAsia="Arial" w:hAnsi="Arial"/>
                <w:sz w:val="18"/>
                <w:szCs w:val="18"/>
                <w:color w:val="auto"/>
              </w:rPr>
              <w:t>Settlement cash and cash equivalents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340,915</w:t>
            </w:r>
          </w:p>
        </w:tc>
        <w:tc>
          <w:tcPr>
            <w:tcW w:w="5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282,188</w:t>
            </w:r>
          </w:p>
        </w:tc>
      </w:tr>
      <w:tr>
        <w:trPr>
          <w:trHeight w:val="27"/>
        </w:trPr>
        <w:tc>
          <w:tcPr>
            <w:tcW w:w="7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Settlement restricted cash</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34,256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49,168</w:t>
            </w:r>
          </w:p>
        </w:tc>
      </w:tr>
      <w:tr>
        <w:trPr>
          <w:trHeight w:val="243"/>
        </w:trPr>
        <w:tc>
          <w:tcPr>
            <w:tcW w:w="7860" w:type="dxa"/>
            <w:vAlign w:val="bottom"/>
            <w:gridSpan w:val="2"/>
          </w:tcPr>
          <w:p>
            <w:pPr>
              <w:ind w:left="18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426,056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574,410</w:t>
            </w:r>
          </w:p>
        </w:tc>
      </w:tr>
      <w:tr>
        <w:trPr>
          <w:trHeight w:val="27"/>
        </w:trPr>
        <w:tc>
          <w:tcPr>
            <w:tcW w:w="7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91,449</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107,301</w:t>
            </w:r>
          </w:p>
        </w:tc>
      </w:tr>
      <w:tr>
        <w:trPr>
          <w:trHeight w:val="297"/>
        </w:trPr>
        <w:tc>
          <w:tcPr>
            <w:tcW w:w="78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settlement assets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892,676</w:t>
            </w:r>
          </w:p>
        </w:tc>
        <w:tc>
          <w:tcPr>
            <w:tcW w:w="8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1,013,067</w:t>
            </w:r>
          </w:p>
        </w:tc>
      </w:tr>
      <w:tr>
        <w:trPr>
          <w:trHeight w:val="237"/>
        </w:trPr>
        <w:tc>
          <w:tcPr>
            <w:tcW w:w="7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 obligations:</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43"/>
        </w:trPr>
        <w:tc>
          <w:tcPr>
            <w:tcW w:w="7860" w:type="dxa"/>
            <w:vAlign w:val="bottom"/>
            <w:gridSpan w:val="2"/>
          </w:tcPr>
          <w:p>
            <w:pPr>
              <w:ind w:left="180"/>
              <w:spacing w:after="0"/>
              <w:rPr>
                <w:sz w:val="20"/>
                <w:szCs w:val="20"/>
                <w:color w:val="auto"/>
              </w:rPr>
            </w:pPr>
            <w:r>
              <w:rPr>
                <w:rFonts w:ascii="Arial" w:cs="Arial" w:eastAsia="Arial" w:hAnsi="Arial"/>
                <w:sz w:val="18"/>
                <w:szCs w:val="18"/>
                <w:color w:val="auto"/>
              </w:rPr>
              <w:t>Trade account payables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349,721</w:t>
            </w:r>
          </w:p>
        </w:tc>
        <w:tc>
          <w:tcPr>
            <w:tcW w:w="5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504,667</w:t>
            </w:r>
          </w:p>
        </w:tc>
      </w:tr>
      <w:tr>
        <w:trPr>
          <w:trHeight w:val="27"/>
        </w:trPr>
        <w:tc>
          <w:tcPr>
            <w:tcW w:w="7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542,955</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508,400</w:t>
            </w:r>
          </w:p>
        </w:tc>
      </w:tr>
      <w:tr>
        <w:trPr>
          <w:trHeight w:val="257"/>
        </w:trPr>
        <w:tc>
          <w:tcPr>
            <w:tcW w:w="7860" w:type="dxa"/>
            <w:vAlign w:val="bottom"/>
            <w:gridSpan w:val="2"/>
          </w:tcPr>
          <w:p>
            <w:pPr>
              <w:ind w:left="40"/>
              <w:spacing w:after="0"/>
              <w:rPr>
                <w:sz w:val="20"/>
                <w:szCs w:val="20"/>
                <w:color w:val="auto"/>
              </w:rPr>
            </w:pPr>
            <w:r>
              <w:rPr>
                <w:rFonts w:ascii="Arial" w:cs="Arial" w:eastAsia="Arial" w:hAnsi="Arial"/>
                <w:sz w:val="18"/>
                <w:szCs w:val="18"/>
                <w:color w:val="auto"/>
              </w:rPr>
              <w:t>Total settlement obligations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892,676</w:t>
            </w:r>
          </w:p>
        </w:tc>
        <w:tc>
          <w:tcPr>
            <w:tcW w:w="80" w:type="dxa"/>
            <w:vAlign w:val="bottom"/>
            <w:tcBorders>
              <w:top w:val="single" w:sz="8" w:color="auto"/>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1,013,067</w:t>
            </w:r>
          </w:p>
        </w:tc>
      </w:tr>
      <w:tr>
        <w:trPr>
          <w:trHeight w:val="20"/>
        </w:trPr>
        <w:tc>
          <w:tcPr>
            <w:tcW w:w="7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 portion of the Company's credit losses are recorded in the accounts receivable within settlement assets. The balance of credit losses related to accounts receivable within settlement assets was $29.0 million and $24.0 million as of June 30, 2020 and December 31, 2019, respectively.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table below reconciles cash and cash equivalents, restricted cash, ATM cash, settlement cash and cash equivalents, and settlement restricted cash as presented within "Cash and cash equivalents and restricted cash" in the Consolidated Statement of Cash Flows.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w w:val="91"/>
              </w:rPr>
              <w:t>As of</w:t>
            </w:r>
          </w:p>
        </w:tc>
        <w:tc>
          <w:tcPr>
            <w:tcW w:w="1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3"/>
                <w:szCs w:val="13"/>
                <w:color w:val="auto"/>
              </w:rPr>
            </w:pPr>
          </w:p>
        </w:tc>
        <w:tc>
          <w:tcPr>
            <w:tcW w:w="1200" w:type="dxa"/>
            <w:vAlign w:val="bottom"/>
          </w:tcPr>
          <w:p>
            <w:pPr>
              <w:jc w:val="right"/>
              <w:ind w:right="175"/>
              <w:spacing w:after="0" w:line="153"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30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4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9"/>
        </w:trPr>
        <w:tc>
          <w:tcPr>
            <w:tcW w:w="4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864,871</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786,081</w:t>
            </w:r>
          </w:p>
        </w:tc>
        <w:tc>
          <w:tcPr>
            <w:tcW w:w="5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532,615</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385,031</w:t>
            </w:r>
          </w:p>
        </w:tc>
        <w:tc>
          <w:tcPr>
            <w:tcW w:w="0" w:type="dxa"/>
            <w:vAlign w:val="bottom"/>
          </w:tcPr>
          <w:p>
            <w:pPr>
              <w:spacing w:after="0"/>
              <w:rPr>
                <w:sz w:val="1"/>
                <w:szCs w:val="1"/>
                <w:color w:val="auto"/>
              </w:rPr>
            </w:pPr>
          </w:p>
        </w:tc>
      </w:tr>
      <w:tr>
        <w:trPr>
          <w:trHeight w:val="243"/>
        </w:trPr>
        <w:tc>
          <w:tcPr>
            <w:tcW w:w="4640" w:type="dxa"/>
            <w:vAlign w:val="bottom"/>
            <w:gridSpan w:val="2"/>
          </w:tcPr>
          <w:p>
            <w:pPr>
              <w:ind w:left="4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28,050</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34,301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31,687</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31,237</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ATM cash</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410,459</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665,641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806,420</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395,378</w:t>
            </w:r>
          </w:p>
        </w:tc>
        <w:tc>
          <w:tcPr>
            <w:tcW w:w="0" w:type="dxa"/>
            <w:vAlign w:val="bottom"/>
          </w:tcPr>
          <w:p>
            <w:pPr>
              <w:spacing w:after="0"/>
              <w:rPr>
                <w:sz w:val="1"/>
                <w:szCs w:val="1"/>
                <w:color w:val="auto"/>
              </w:rPr>
            </w:pPr>
          </w:p>
        </w:tc>
      </w:tr>
      <w:tr>
        <w:trPr>
          <w:trHeight w:val="243"/>
        </w:trPr>
        <w:tc>
          <w:tcPr>
            <w:tcW w:w="4640" w:type="dxa"/>
            <w:vAlign w:val="bottom"/>
            <w:gridSpan w:val="2"/>
          </w:tcPr>
          <w:p>
            <w:pPr>
              <w:ind w:left="40"/>
              <w:spacing w:after="0"/>
              <w:rPr>
                <w:sz w:val="20"/>
                <w:szCs w:val="20"/>
                <w:color w:val="auto"/>
              </w:rPr>
            </w:pPr>
            <w:r>
              <w:rPr>
                <w:rFonts w:ascii="Arial" w:cs="Arial" w:eastAsia="Arial" w:hAnsi="Arial"/>
                <w:sz w:val="18"/>
                <w:szCs w:val="18"/>
                <w:color w:val="auto"/>
              </w:rPr>
              <w:t>Settlement cash and cash equivalents</w:t>
            </w:r>
          </w:p>
        </w:tc>
        <w:tc>
          <w:tcPr>
            <w:tcW w:w="32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340,915</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282,188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219,426</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273,948</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 restricted cash</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34,256</w:t>
            </w: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49,168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39,610</w:t>
            </w: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45,358</w:t>
            </w:r>
          </w:p>
        </w:tc>
        <w:tc>
          <w:tcPr>
            <w:tcW w:w="0" w:type="dxa"/>
            <w:vAlign w:val="bottom"/>
          </w:tcPr>
          <w:p>
            <w:pPr>
              <w:spacing w:after="0"/>
              <w:rPr>
                <w:sz w:val="1"/>
                <w:szCs w:val="1"/>
                <w:color w:val="auto"/>
              </w:rPr>
            </w:pPr>
          </w:p>
        </w:tc>
      </w:tr>
      <w:tr>
        <w:trPr>
          <w:trHeight w:val="209"/>
        </w:trPr>
        <w:tc>
          <w:tcPr>
            <w:tcW w:w="464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and restricted cash at end of</w:t>
            </w: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8"/>
                <w:szCs w:val="18"/>
                <w:color w:val="auto"/>
              </w:rPr>
              <w:t>1,678,551</w:t>
            </w:r>
          </w:p>
        </w:tc>
        <w:tc>
          <w:tcPr>
            <w:tcW w:w="16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1,817,379</w:t>
            </w:r>
          </w:p>
        </w:tc>
        <w:tc>
          <w:tcPr>
            <w:tcW w:w="100" w:type="dxa"/>
            <w:vAlign w:val="bottom"/>
            <w:tcBorders>
              <w:top w:val="single" w:sz="8" w:color="auto"/>
            </w:tcBorders>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1,629,758</w:t>
            </w:r>
          </w:p>
        </w:tc>
        <w:tc>
          <w:tcPr>
            <w:tcW w:w="16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1,130,952</w:t>
            </w:r>
          </w:p>
        </w:tc>
        <w:tc>
          <w:tcPr>
            <w:tcW w:w="0" w:type="dxa"/>
            <w:vAlign w:val="bottom"/>
          </w:tcPr>
          <w:p>
            <w:pPr>
              <w:spacing w:after="0"/>
              <w:rPr>
                <w:sz w:val="1"/>
                <w:szCs w:val="1"/>
                <w:color w:val="auto"/>
              </w:rPr>
            </w:pPr>
          </w:p>
        </w:tc>
      </w:tr>
      <w:tr>
        <w:trPr>
          <w:trHeight w:val="242"/>
        </w:trPr>
        <w:tc>
          <w:tcPr>
            <w:tcW w:w="4640" w:type="dxa"/>
            <w:vAlign w:val="bottom"/>
            <w:gridSpan w:val="2"/>
          </w:tcPr>
          <w:p>
            <w:pPr>
              <w:ind w:left="40"/>
              <w:spacing w:after="0"/>
              <w:rPr>
                <w:sz w:val="20"/>
                <w:szCs w:val="20"/>
                <w:color w:val="auto"/>
              </w:rPr>
            </w:pPr>
            <w:r>
              <w:rPr>
                <w:rFonts w:ascii="Arial" w:cs="Arial" w:eastAsia="Arial" w:hAnsi="Arial"/>
                <w:sz w:val="18"/>
                <w:szCs w:val="18"/>
                <w:color w:val="auto"/>
              </w:rPr>
              <w:t>period</w:t>
            </w:r>
          </w:p>
        </w:tc>
        <w:tc>
          <w:tcPr>
            <w:tcW w:w="32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STOCKHOLDERS' EQUITY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(Loss) Per Share</w:t>
      </w:r>
    </w:p>
    <w:p>
      <w:pPr>
        <w:spacing w:after="0" w:line="144" w:lineRule="exact"/>
        <w:rPr>
          <w:sz w:val="20"/>
          <w:szCs w:val="20"/>
          <w:color w:val="auto"/>
        </w:rPr>
      </w:pPr>
    </w:p>
    <w:p>
      <w:pPr>
        <w:jc w:val="both"/>
        <w:ind w:right="460"/>
        <w:spacing w:after="0" w:line="301" w:lineRule="auto"/>
        <w:rPr>
          <w:sz w:val="20"/>
          <w:szCs w:val="20"/>
          <w:color w:val="auto"/>
        </w:rPr>
      </w:pPr>
      <w:r>
        <w:rPr>
          <w:rFonts w:ascii="Arial" w:cs="Arial" w:eastAsia="Arial" w:hAnsi="Arial"/>
          <w:sz w:val="16"/>
          <w:szCs w:val="16"/>
          <w:color w:val="auto"/>
        </w:rPr>
        <w:t>Basic earnings (loss) per share has been computed by dividing earnings (loss) available to common stockholders by the weighted average number of common shares outstanding during the respective period. Diluted earnings (loss) per share has been computed by dividing earnings (loss) available to common stockholders by the weighted average shares outstanding during the respective period, after adjusting for the potential dilution of options to purchase the Company's Common Stock, assumed vesting of restricted stock and the assumed conversion of the Company's convertible debt.</w:t>
      </w:r>
    </w:p>
    <w:p>
      <w:pPr>
        <w:sectPr>
          <w:pgSz w:w="11900" w:h="16838" w:orient="portrait"/>
          <w:cols w:equalWidth="0" w:num="1">
            <w:col w:w="11240"/>
          </w:cols>
          <w:pgMar w:left="320" w:top="125" w:right="339" w:bottom="1440" w:gutter="0" w:footer="0" w:header="0"/>
        </w:sectPr>
      </w:pP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the computation of diluted weighted average number of common shares outstanding:</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6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5900" w:type="dxa"/>
            <w:vAlign w:val="bottom"/>
          </w:tcPr>
          <w:p>
            <w:pPr>
              <w:spacing w:after="0"/>
              <w:rPr>
                <w:sz w:val="14"/>
                <w:szCs w:val="14"/>
                <w:color w:val="auto"/>
              </w:rPr>
            </w:pPr>
          </w:p>
        </w:tc>
        <w:tc>
          <w:tcPr>
            <w:tcW w:w="1620" w:type="dxa"/>
            <w:vAlign w:val="bottom"/>
            <w:tcBorders>
              <w:bottom w:val="single" w:sz="8" w:color="auto"/>
            </w:tcBorders>
            <w:gridSpan w:val="3"/>
          </w:tcPr>
          <w:p>
            <w:pPr>
              <w:jc w:val="center"/>
              <w:ind w:left="899"/>
              <w:spacing w:after="0"/>
              <w:rPr>
                <w:sz w:val="20"/>
                <w:szCs w:val="20"/>
                <w:color w:val="auto"/>
              </w:rPr>
            </w:pPr>
            <w:r>
              <w:rPr>
                <w:rFonts w:ascii="Arial" w:cs="Arial" w:eastAsia="Arial" w:hAnsi="Arial"/>
                <w:sz w:val="14"/>
                <w:szCs w:val="14"/>
                <w:b w:val="1"/>
                <w:bCs w:val="1"/>
                <w:color w:val="auto"/>
                <w:w w:val="92"/>
              </w:rPr>
              <w:t>June 30,</w:t>
            </w:r>
          </w:p>
        </w:tc>
        <w:tc>
          <w:tcPr>
            <w:tcW w:w="980" w:type="dxa"/>
            <w:vAlign w:val="bottom"/>
            <w:tcBorders>
              <w:bottom w:val="single" w:sz="8" w:color="auto"/>
            </w:tcBorders>
          </w:tcPr>
          <w:p>
            <w:pPr>
              <w:spacing w:after="0"/>
              <w:rPr>
                <w:sz w:val="14"/>
                <w:szCs w:val="14"/>
                <w:color w:val="auto"/>
              </w:rPr>
            </w:pPr>
          </w:p>
        </w:tc>
      </w:tr>
      <w:tr>
        <w:trPr>
          <w:trHeight w:val="257"/>
        </w:trPr>
        <w:tc>
          <w:tcPr>
            <w:tcW w:w="5900" w:type="dxa"/>
            <w:vAlign w:val="bottom"/>
          </w:tcPr>
          <w:p>
            <w:pPr>
              <w:spacing w:after="0"/>
              <w:rPr>
                <w:sz w:val="22"/>
                <w:szCs w:val="22"/>
                <w:color w:val="auto"/>
              </w:rPr>
            </w:pPr>
          </w:p>
        </w:tc>
        <w:tc>
          <w:tcPr>
            <w:tcW w:w="12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r>
      <w:tr>
        <w:trPr>
          <w:trHeight w:val="243"/>
        </w:trPr>
        <w:tc>
          <w:tcPr>
            <w:tcW w:w="5900" w:type="dxa"/>
            <w:vAlign w:val="bottom"/>
          </w:tcPr>
          <w:p>
            <w:pPr>
              <w:spacing w:after="0"/>
              <w:rPr>
                <w:sz w:val="20"/>
                <w:szCs w:val="20"/>
                <w:color w:val="auto"/>
              </w:rPr>
            </w:pPr>
            <w:r>
              <w:rPr>
                <w:rFonts w:ascii="Arial" w:cs="Arial" w:eastAsia="Arial" w:hAnsi="Arial"/>
                <w:sz w:val="18"/>
                <w:szCs w:val="18"/>
                <w:color w:val="auto"/>
              </w:rPr>
              <w:t>Computation of diluted weighted average shares outstanding:</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0"/>
        </w:trPr>
        <w:tc>
          <w:tcPr>
            <w:tcW w:w="5900" w:type="dxa"/>
            <w:vAlign w:val="bottom"/>
          </w:tcPr>
          <w:p>
            <w:pPr>
              <w:ind w:left="140"/>
              <w:spacing w:after="0"/>
              <w:rPr>
                <w:sz w:val="20"/>
                <w:szCs w:val="20"/>
                <w:color w:val="auto"/>
              </w:rPr>
            </w:pPr>
            <w:r>
              <w:rPr>
                <w:rFonts w:ascii="Arial" w:cs="Arial" w:eastAsia="Arial" w:hAnsi="Arial"/>
                <w:sz w:val="18"/>
                <w:szCs w:val="18"/>
                <w:color w:val="auto"/>
              </w:rPr>
              <w:t>Basic weighted average shares outstanding</w:t>
            </w: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52,234,465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w w:val="95"/>
              </w:rPr>
              <w:t>53,212,759</w:t>
            </w:r>
          </w:p>
        </w:tc>
      </w:tr>
      <w:tr>
        <w:trPr>
          <w:trHeight w:val="256"/>
        </w:trPr>
        <w:tc>
          <w:tcPr>
            <w:tcW w:w="5900" w:type="dxa"/>
            <w:vAlign w:val="bottom"/>
          </w:tcPr>
          <w:p>
            <w:pPr>
              <w:ind w:left="140"/>
              <w:spacing w:after="0"/>
              <w:rPr>
                <w:sz w:val="20"/>
                <w:szCs w:val="20"/>
                <w:color w:val="auto"/>
              </w:rPr>
            </w:pPr>
            <w:r>
              <w:rPr>
                <w:rFonts w:ascii="Arial" w:cs="Arial" w:eastAsia="Arial" w:hAnsi="Arial"/>
                <w:sz w:val="18"/>
                <w:szCs w:val="18"/>
                <w:color w:val="auto"/>
                <w:w w:val="97"/>
              </w:rPr>
              <w:t>Incremental shares from assumed exercise of stock options and vesting of</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0"/>
        </w:trPr>
        <w:tc>
          <w:tcPr>
            <w:tcW w:w="5900" w:type="dxa"/>
            <w:vAlign w:val="bottom"/>
          </w:tcPr>
          <w:p>
            <w:pPr>
              <w:ind w:left="460"/>
              <w:spacing w:after="0"/>
              <w:rPr>
                <w:sz w:val="20"/>
                <w:szCs w:val="20"/>
                <w:color w:val="auto"/>
              </w:rPr>
            </w:pPr>
            <w:r>
              <w:rPr>
                <w:rFonts w:ascii="Arial" w:cs="Arial" w:eastAsia="Arial" w:hAnsi="Arial"/>
                <w:sz w:val="18"/>
                <w:szCs w:val="18"/>
                <w:color w:val="auto"/>
              </w:rPr>
              <w:t>restricted stock</w:t>
            </w:r>
          </w:p>
        </w:tc>
        <w:tc>
          <w:tcPr>
            <w:tcW w:w="162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1,489,700</w:t>
            </w:r>
          </w:p>
        </w:tc>
      </w:tr>
      <w:tr>
        <w:trPr>
          <w:trHeight w:val="27"/>
        </w:trPr>
        <w:tc>
          <w:tcPr>
            <w:tcW w:w="59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900" w:type="dxa"/>
            <w:vAlign w:val="bottom"/>
          </w:tcPr>
          <w:p>
            <w:pPr>
              <w:ind w:left="240"/>
              <w:spacing w:after="0"/>
              <w:rPr>
                <w:sz w:val="20"/>
                <w:szCs w:val="20"/>
                <w:color w:val="auto"/>
              </w:rPr>
            </w:pPr>
            <w:r>
              <w:rPr>
                <w:rFonts w:ascii="Arial" w:cs="Arial" w:eastAsia="Arial" w:hAnsi="Arial"/>
                <w:sz w:val="18"/>
                <w:szCs w:val="18"/>
                <w:color w:val="auto"/>
              </w:rPr>
              <w:t>Diluted weighted average shares outstanding</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52,234,465</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w w:val="95"/>
              </w:rPr>
              <w:t>54,702,459</w:t>
            </w:r>
          </w:p>
        </w:tc>
      </w:tr>
      <w:tr>
        <w:trPr>
          <w:trHeight w:val="20"/>
        </w:trPr>
        <w:tc>
          <w:tcPr>
            <w:tcW w:w="59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-513715</wp:posOffset>
            </wp:positionV>
            <wp:extent cx="7115175" cy="308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-864870</wp:posOffset>
            </wp:positionV>
            <wp:extent cx="7115175"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jc w:val="center"/>
        <w:ind w:right="30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right="3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13335</wp:posOffset>
            </wp:positionV>
            <wp:extent cx="16287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87" w:lineRule="exact"/>
        <w:rPr>
          <w:sz w:val="20"/>
          <w:szCs w:val="20"/>
          <w:color w:val="auto"/>
        </w:rPr>
      </w:pPr>
    </w:p>
    <w:p>
      <w:pPr>
        <w:ind w:left="160"/>
        <w:spacing w:after="0"/>
        <w:tabs>
          <w:tab w:leader="none" w:pos="14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333" w:lineRule="exact"/>
        <w:rPr>
          <w:sz w:val="20"/>
          <w:szCs w:val="20"/>
          <w:color w:val="auto"/>
        </w:rPr>
      </w:pPr>
    </w:p>
    <w:p>
      <w:pPr>
        <w:spacing w:after="0"/>
        <w:tabs>
          <w:tab w:leader="none" w:pos="1320" w:val="left"/>
        </w:tabs>
        <w:rPr>
          <w:sz w:val="20"/>
          <w:szCs w:val="20"/>
          <w:color w:val="auto"/>
        </w:rPr>
      </w:pPr>
      <w:r>
        <w:rPr>
          <w:rFonts w:ascii="Arial" w:cs="Arial" w:eastAsia="Arial" w:hAnsi="Arial"/>
          <w:sz w:val="15"/>
          <w:szCs w:val="15"/>
          <w:color w:val="auto"/>
        </w:rPr>
        <w:t>52,920,784</w:t>
      </w:r>
      <w:r>
        <w:rPr>
          <w:sz w:val="20"/>
          <w:szCs w:val="20"/>
          <w:color w:val="auto"/>
        </w:rPr>
        <w:tab/>
      </w:r>
      <w:r>
        <w:rPr>
          <w:rFonts w:ascii="Arial" w:cs="Arial" w:eastAsia="Arial" w:hAnsi="Arial"/>
          <w:sz w:val="15"/>
          <w:szCs w:val="15"/>
          <w:color w:val="auto"/>
        </w:rPr>
        <w:t>52,546,647</w:t>
      </w:r>
    </w:p>
    <w:p>
      <w:pPr>
        <w:spacing w:after="0" w:line="31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1,399,123</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52,920,784</w:t>
      </w:r>
      <w:r>
        <w:rPr>
          <w:rFonts w:ascii="Arial" w:cs="Arial" w:eastAsia="Arial" w:hAnsi="Arial"/>
          <w:sz w:val="15"/>
          <w:szCs w:val="15"/>
          <w:color w:val="auto"/>
        </w:rPr>
        <w:t>53,945,770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31750</wp:posOffset>
            </wp:positionV>
            <wp:extent cx="162877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28775" cy="25400"/>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-147320</wp:posOffset>
            </wp:positionV>
            <wp:extent cx="16287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90" w:lineRule="exact"/>
        <w:rPr>
          <w:sz w:val="20"/>
          <w:szCs w:val="20"/>
          <w:color w:val="auto"/>
        </w:rPr>
      </w:pPr>
    </w:p>
    <w:p>
      <w:pPr>
        <w:sectPr>
          <w:pgSz w:w="11900" w:h="16838" w:orient="portrait"/>
          <w:cols w:equalWidth="0" w:num="2">
            <w:col w:w="8540" w:space="420"/>
            <w:col w:w="2280"/>
          </w:cols>
          <w:pgMar w:left="320" w:top="125" w:right="339" w:bottom="1440" w:gutter="0" w:footer="0" w:header="0"/>
          <w:type w:val="continuous"/>
        </w:sectPr>
      </w:pPr>
    </w:p>
    <w:p>
      <w:pPr>
        <w:spacing w:after="0" w:line="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table includes all stock options and restricted stock that are dilutive to the Company's weighted average common shares outstanding during the period. The calculation of diluted earnings (loss) per share excludes stock options or shares of restricted stock that are anti-dilutive to the Company’s weighted average common shares outstanding of approximately 2,533,000 and 1,608,000 for the three and six months ended June 30, 2020, respectively, and approximately 782,000 and 805,000 for the three and six months ended June 30, 2019, respectively.</w:t>
      </w:r>
    </w:p>
    <w:p>
      <w:pPr>
        <w:spacing w:after="0" w:line="9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The Company issued Convertible Senior Notes ("Convertible Notes") due March 2049 on March 18, 2019. The Company's Convertible Notes currently have a settlement feature requiring the Company upon conversion to settle the principal amount of the debt and any conversion value in excess of the principal value ("conversion premium"), for cash or shares of the Company's common stock or a combination thereof, at the Company's option. The Company has stated its intent to settle any conversion of these notes by paying cash for the principal value and issuing common stock for any conversion premium. Accordingly, the Convertible Notes were included in the calculation of diluted earnings (loss) per share if their inclusion was dilutive. The dilutive effect increases the more the market price exceeds the conversion price. The Convertible Notes would only have a dilutive effect if the market price per share of common stock exceeds the conversion price of $188.73 per share. The market price per share per share of common stock was $95.82 on June 30, 2020 and $168.24 on June 30, 2019, therefore, according to ASC Topic 260,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(“ASC 260”)</w:t>
      </w:r>
      <w:r>
        <w:rPr>
          <w:rFonts w:ascii="Arial" w:cs="Arial" w:eastAsia="Arial" w:hAnsi="Arial"/>
          <w:sz w:val="17"/>
          <w:szCs w:val="17"/>
          <w:i w:val="1"/>
          <w:iCs w:val="1"/>
          <w:color w:val="auto"/>
        </w:rPr>
        <w:t>,</w:t>
      </w:r>
      <w:r>
        <w:rPr>
          <w:rFonts w:ascii="Arial" w:cs="Arial" w:eastAsia="Arial" w:hAnsi="Arial"/>
          <w:sz w:val="17"/>
          <w:szCs w:val="17"/>
          <w:color w:val="auto"/>
        </w:rPr>
        <w:t xml:space="preserve"> there was no dilutive effect of the assumed conversion of the debentures for the three and six months ended June 30, 2020 and 2019. See Note 8, Debt Obligations, to the Consolidated Financial Statements for more information about the convertible notes.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Board of Directors had authorized a stock repurchase program allowing Euronet to repurchase up to $375 million in value</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or 10.0 million shares of stock through March 31, 2020. On March 11, 2019, in connection with the issuance of the Convertible Notes, the Board of Directors authorized an additional repurchase program of $120 million in value of the Company's common stock through March 11, 2021. On February 26, 2020, the Company put a repurchase program in place to repurchase up to $250 million in value, but not more than 5.0 million shares of common stock through February 28, 2022. For the three months ended June 30, 2020, there were no repurchases of stock under the repurchase programs and for the six months ended June 30, 2020, the Company repurchased $239.8 million in value of Euronet common stock under the repurchase programs. Repurchases under either current program may take place in the open market or in privately negotiated transactions, including derivative transactions, and may be made under a Rule 10b5-1 plan.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w:t>
      </w:r>
    </w:p>
    <w:p>
      <w:pPr>
        <w:spacing w:after="0" w:line="9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Accumulated other comprehensive loss consists entirely of foreign currency translation adjustments. The Company recorded a foreign currency translation gain of $32.2 million and loss of $27.6 million for the three and six months ended June 30, 2020, respectively, and gain of $12.2 million and loss</w:t>
      </w:r>
    </w:p>
    <w:p>
      <w:pPr>
        <w:ind w:right="460"/>
        <w:spacing w:after="0" w:line="260" w:lineRule="auto"/>
        <w:rPr>
          <w:sz w:val="20"/>
          <w:szCs w:val="20"/>
          <w:color w:val="auto"/>
        </w:rPr>
      </w:pPr>
      <w:r>
        <w:rPr>
          <w:rFonts w:ascii="Arial" w:cs="Arial" w:eastAsia="Arial" w:hAnsi="Arial"/>
          <w:sz w:val="18"/>
          <w:szCs w:val="18"/>
          <w:color w:val="auto"/>
        </w:rPr>
        <w:t>of $4.0 million for the three and six months ended June 30, 2019, respectively. There were no reclassifications of foreign currency translation into the consolidated statements of income for the three and six months ended June 30, 2020 and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ACQUIRED 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acquired intangible assets and goodwill activity for the six months ended June 30, 2020 is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Acquired</w:t>
            </w: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center"/>
              <w:ind w:right="216"/>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Intangible</w:t>
            </w:r>
          </w:p>
        </w:tc>
        <w:tc>
          <w:tcPr>
            <w:tcW w:w="300" w:type="dxa"/>
            <w:vAlign w:val="bottom"/>
          </w:tcPr>
          <w:p>
            <w:pPr>
              <w:spacing w:after="0"/>
              <w:rPr>
                <w:sz w:val="12"/>
                <w:szCs w:val="12"/>
                <w:color w:val="auto"/>
              </w:rPr>
            </w:pPr>
          </w:p>
        </w:tc>
        <w:tc>
          <w:tcPr>
            <w:tcW w:w="15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Goodwill</w:t>
            </w:r>
          </w:p>
        </w:tc>
        <w:tc>
          <w:tcPr>
            <w:tcW w:w="300" w:type="dxa"/>
            <w:vAlign w:val="bottom"/>
          </w:tcPr>
          <w:p>
            <w:pPr>
              <w:spacing w:after="0"/>
              <w:rPr>
                <w:sz w:val="12"/>
                <w:szCs w:val="12"/>
                <w:color w:val="auto"/>
              </w:rPr>
            </w:pPr>
          </w:p>
        </w:tc>
        <w:tc>
          <w:tcPr>
            <w:tcW w:w="1320" w:type="dxa"/>
            <w:vAlign w:val="bottom"/>
          </w:tcPr>
          <w:p>
            <w:pPr>
              <w:jc w:val="center"/>
              <w:ind w:right="216"/>
              <w:spacing w:after="0" w:line="149" w:lineRule="exact"/>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71"/>
        </w:trPr>
        <w:tc>
          <w:tcPr>
            <w:tcW w:w="60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00" w:type="dxa"/>
            <w:vAlign w:val="bottom"/>
          </w:tcPr>
          <w:p>
            <w:pPr>
              <w:spacing w:after="0"/>
              <w:rPr>
                <w:sz w:val="14"/>
                <w:szCs w:val="14"/>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2"/>
              </w:rPr>
              <w:t>Assets</w:t>
            </w:r>
          </w:p>
        </w:tc>
        <w:tc>
          <w:tcPr>
            <w:tcW w:w="3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center"/>
              <w:ind w:right="216"/>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09"/>
        </w:trPr>
        <w:tc>
          <w:tcPr>
            <w:tcW w:w="58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2019</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141,847</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743,823</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885,670</w:t>
            </w:r>
          </w:p>
        </w:tc>
        <w:tc>
          <w:tcPr>
            <w:tcW w:w="0" w:type="dxa"/>
            <w:vAlign w:val="bottom"/>
          </w:tcPr>
          <w:p>
            <w:pPr>
              <w:spacing w:after="0"/>
              <w:rPr>
                <w:sz w:val="1"/>
                <w:szCs w:val="1"/>
                <w:color w:val="auto"/>
              </w:rPr>
            </w:pPr>
          </w:p>
        </w:tc>
      </w:tr>
      <w:tr>
        <w:trPr>
          <w:trHeight w:val="216"/>
        </w:trPr>
        <w:tc>
          <w:tcPr>
            <w:tcW w:w="6020" w:type="dxa"/>
            <w:vAlign w:val="bottom"/>
            <w:gridSpan w:val="2"/>
          </w:tcPr>
          <w:p>
            <w:pPr>
              <w:ind w:left="40"/>
              <w:spacing w:after="0"/>
              <w:rPr>
                <w:sz w:val="20"/>
                <w:szCs w:val="20"/>
                <w:color w:val="auto"/>
              </w:rPr>
            </w:pPr>
            <w:r>
              <w:rPr>
                <w:rFonts w:ascii="Arial" w:cs="Arial" w:eastAsia="Arial" w:hAnsi="Arial"/>
                <w:sz w:val="18"/>
                <w:szCs w:val="18"/>
                <w:color w:val="auto"/>
              </w:rPr>
              <w:t>Decreases:</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Acquisition</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(474)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18"/>
                <w:szCs w:val="18"/>
                <w:color w:val="auto"/>
              </w:rPr>
            </w:pPr>
          </w:p>
        </w:tc>
        <w:tc>
          <w:tcPr>
            <w:tcW w:w="1320" w:type="dxa"/>
            <w:vAlign w:val="bottom"/>
          </w:tcPr>
          <w:p>
            <w:pPr>
              <w:jc w:val="right"/>
              <w:ind w:right="76"/>
              <w:spacing w:after="0"/>
              <w:rPr>
                <w:sz w:val="20"/>
                <w:szCs w:val="20"/>
                <w:color w:val="auto"/>
              </w:rPr>
            </w:pPr>
            <w:r>
              <w:rPr>
                <w:rFonts w:ascii="Arial" w:cs="Arial" w:eastAsia="Arial" w:hAnsi="Arial"/>
                <w:sz w:val="18"/>
                <w:szCs w:val="18"/>
                <w:color w:val="auto"/>
              </w:rPr>
              <w:t>(11,236)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20" w:type="dxa"/>
            <w:vAlign w:val="bottom"/>
          </w:tcPr>
          <w:p>
            <w:pPr>
              <w:jc w:val="right"/>
              <w:ind w:right="96"/>
              <w:spacing w:after="0"/>
              <w:rPr>
                <w:sz w:val="20"/>
                <w:szCs w:val="20"/>
                <w:color w:val="auto"/>
              </w:rPr>
            </w:pPr>
            <w:r>
              <w:rPr>
                <w:rFonts w:ascii="Arial" w:cs="Arial" w:eastAsia="Arial" w:hAnsi="Arial"/>
                <w:sz w:val="18"/>
                <w:szCs w:val="18"/>
                <w:color w:val="auto"/>
              </w:rPr>
              <w:t>(11,236)</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(104,554)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(104,554)</w:t>
            </w:r>
          </w:p>
        </w:tc>
        <w:tc>
          <w:tcPr>
            <w:tcW w:w="0" w:type="dxa"/>
            <w:vAlign w:val="bottom"/>
          </w:tcPr>
          <w:p>
            <w:pPr>
              <w:spacing w:after="0"/>
              <w:rPr>
                <w:sz w:val="1"/>
                <w:szCs w:val="1"/>
                <w:color w:val="auto"/>
              </w:rPr>
            </w:pPr>
          </w:p>
        </w:tc>
      </w:tr>
      <w:tr>
        <w:trPr>
          <w:trHeight w:val="216"/>
        </w:trPr>
        <w:tc>
          <w:tcPr>
            <w:tcW w:w="60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 (primarily changes in foreign currency exchange rates)</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(3,503)</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(14,542)</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(18,045)</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June 30, 2020</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127,108</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624,253</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751,361</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212529"/>
        </w:rPr>
        <w:t xml:space="preserve">Of the total goodwill balance of $624.3 million as of </w:t>
      </w:r>
      <w:r>
        <w:rPr>
          <w:rFonts w:ascii="Arial" w:cs="Arial" w:eastAsia="Arial" w:hAnsi="Arial"/>
          <w:sz w:val="18"/>
          <w:szCs w:val="18"/>
          <w:color w:val="000000"/>
        </w:rPr>
        <w:t>June 30, 2020</w:t>
      </w:r>
      <w:r>
        <w:rPr>
          <w:rFonts w:ascii="Arial" w:cs="Arial" w:eastAsia="Arial" w:hAnsi="Arial"/>
          <w:sz w:val="18"/>
          <w:szCs w:val="18"/>
          <w:color w:val="212529"/>
        </w:rPr>
        <w:t xml:space="preserve">, $378.3 </w:t>
      </w:r>
      <w:r>
        <w:rPr>
          <w:rFonts w:ascii="Arial" w:cs="Arial" w:eastAsia="Arial" w:hAnsi="Arial"/>
          <w:sz w:val="18"/>
          <w:szCs w:val="18"/>
          <w:color w:val="000000"/>
        </w:rPr>
        <w:t>million</w:t>
      </w:r>
      <w:r>
        <w:rPr>
          <w:rFonts w:ascii="Arial" w:cs="Arial" w:eastAsia="Arial" w:hAnsi="Arial"/>
          <w:sz w:val="18"/>
          <w:szCs w:val="18"/>
          <w:color w:val="212529"/>
        </w:rPr>
        <w:t xml:space="preserve"> relates to the Money Transfer Segment, </w:t>
      </w:r>
      <w:r>
        <w:rPr>
          <w:rFonts w:ascii="Arial" w:cs="Arial" w:eastAsia="Arial" w:hAnsi="Arial"/>
          <w:sz w:val="18"/>
          <w:szCs w:val="18"/>
          <w:color w:val="000000"/>
        </w:rPr>
        <w:t>$127.7 million</w:t>
      </w:r>
      <w:r>
        <w:rPr>
          <w:rFonts w:ascii="Arial" w:cs="Arial" w:eastAsia="Arial" w:hAnsi="Arial"/>
          <w:sz w:val="18"/>
          <w:szCs w:val="18"/>
          <w:color w:val="212529"/>
        </w:rPr>
        <w:t xml:space="preserve"> relates to the epay Segment and the remaining $118.3 </w:t>
      </w:r>
      <w:r>
        <w:rPr>
          <w:rFonts w:ascii="Arial" w:cs="Arial" w:eastAsia="Arial" w:hAnsi="Arial"/>
          <w:sz w:val="18"/>
          <w:szCs w:val="18"/>
          <w:color w:val="000000"/>
        </w:rPr>
        <w:t>million</w:t>
      </w:r>
      <w:r>
        <w:rPr>
          <w:rFonts w:ascii="Arial" w:cs="Arial" w:eastAsia="Arial" w:hAnsi="Arial"/>
          <w:sz w:val="18"/>
          <w:szCs w:val="18"/>
          <w:color w:val="212529"/>
        </w:rPr>
        <w:t xml:space="preserve"> relates to the EFT Processing Segment. </w:t>
      </w:r>
      <w:r>
        <w:rPr>
          <w:rFonts w:ascii="Arial" w:cs="Arial" w:eastAsia="Arial" w:hAnsi="Arial"/>
          <w:sz w:val="18"/>
          <w:szCs w:val="18"/>
          <w:color w:val="000000"/>
        </w:rPr>
        <w:t>Estimated amortization expense on intangible assets with finite</w:t>
      </w:r>
      <w:r>
        <w:rPr>
          <w:rFonts w:ascii="Arial" w:cs="Arial" w:eastAsia="Arial" w:hAnsi="Arial"/>
          <w:sz w:val="18"/>
          <w:szCs w:val="18"/>
          <w:color w:val="212529"/>
        </w:rPr>
        <w:t xml:space="preserve"> </w:t>
      </w:r>
      <w:r>
        <w:rPr>
          <w:rFonts w:ascii="Arial" w:cs="Arial" w:eastAsia="Arial" w:hAnsi="Arial"/>
          <w:sz w:val="18"/>
          <w:szCs w:val="18"/>
          <w:color w:val="000000"/>
        </w:rPr>
        <w:t>lives as of June 30, 2020, is expected to total $10.9 million for the remainder of 2020, $21.3 million for 2021, $20.3 million for 2022, $15.7 million for 2023, $9.4 million for 2024 and $6.4 million for 2025.</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Impairment Charges</w:t>
      </w:r>
    </w:p>
    <w:p>
      <w:pPr>
        <w:spacing w:after="0" w:line="18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COVID-19 pandemic and subsequent mitigation efforts, which includes global business shutdowns, the closing of borders and the implementation of mandatory social distancing requirements, created an unprecedented disruption to our business during the second quarter of 2020. These mitigation efforts coupled with the negative economic impacts to the tourism industry caused a decline in revenues and changes to our forecasts. The Company tests for goodwill impairment on an annual basis in the fourth quarter each year and whenever events or circumstances dictate an interim impairment test is required. The Company determined the totality of these events constituted a triggering event that required us to perform an interim goodwill impairment assessment as of June 1, 2020. The Company concluded a triggering event had occurred for six reporting units, resulting in quantitative impairment tests. Three reporting units are within the EFT segment, two reporting units are within the Money Transfer segment, and one reporting unit is within the epay segment.</w:t>
      </w:r>
    </w:p>
    <w:p>
      <w:pPr>
        <w:spacing w:after="0" w:line="19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Under the quantitative impairment test, the evaluation of impairment involves comparing the current fair value of each reporting unit to its carrying value, including goodwill. The Company uses weighted results from the discounted cash flow model ("DCF model") and guideline public company method ("Market Approach model") to estimate the current fair value of its reporting units when testing for impairment, as management believes forecasted cash flows and EBITDA are the best indicators of such fair value. A number of significant assumptions and estimates are involved in the application of the DCF model to forecast operating cash flows, including sales volumes and gross margins, tax rates, capital spending, discount rates and working capital changes. Most of these assumptions vary significantly among the reporting units. Significant assumptions in the Market Approach model are actual and projected EBITDA, selected market multiple, and the estimated control premium. If the carrying value of the reporting unit exceeds its fair value, a goodwill impairment loss equal to such excess would be recognized. </w:t>
      </w:r>
      <w:r>
        <w:rPr>
          <w:rFonts w:ascii="Arial" w:cs="Arial" w:eastAsia="Arial" w:hAnsi="Arial"/>
          <w:sz w:val="17"/>
          <w:szCs w:val="17"/>
          <w:color w:val="212529"/>
        </w:rPr>
        <w:t>The DCF Model and Market Approach Model utilize Level 3 inputs in the fair value hierarchy</w:t>
      </w:r>
      <w:r>
        <w:rPr>
          <w:rFonts w:ascii="Arial" w:cs="Arial" w:eastAsia="Arial" w:hAnsi="Arial"/>
          <w:sz w:val="17"/>
          <w:szCs w:val="17"/>
          <w:color w:val="auto"/>
        </w:rPr>
        <w:t xml:space="preserve"> </w:t>
      </w:r>
      <w:r>
        <w:rPr>
          <w:rFonts w:ascii="Arial" w:cs="Arial" w:eastAsia="Arial" w:hAnsi="Arial"/>
          <w:sz w:val="17"/>
          <w:szCs w:val="17"/>
          <w:color w:val="212529"/>
        </w:rPr>
        <w:t>as they include unobservable inputs that require significant management assumptions.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completed its interim goodwill impairment test during the second quarter of 2020. It determined, after performing a quantitative review of six reporting units, that the fair value of three of the reporting units exceeded the respective carrying amounts. For the remaining three reporting units, the quantitative test indicated that the fair value of each of the reporting units was less than the respective carrying amounts. As a result, the Company recorded a non-cash goodwill impairment charge of $104.6 million with respect to the xe, Innova and Pure Commerce reporting units. $21.9 million of the impairment charge was included within the EFT Segment, and $82.7 million of the impairment charge was included in the Money Transfer Segment. We will continue to evaluate our goodwill and long-lived assets for potential triggering events as conditions warrant.</w:t>
      </w:r>
    </w:p>
    <w:p>
      <w:pPr>
        <w:spacing w:after="0" w:line="13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Determining the fair value of reporting units requires significant management judgment in estimating future cash flows and assessing potential market and economic conditions. It is reasonably possible that the Company’s operations will not perform as expected, or that the estimates or assumptions included in the 2019 annual impairment test and 2020 interim impairment test could change, which may result in the Company recording material non-cash impairment charges during the year in which these changes take place. As information regarding the impact of the COVID-19 pandemic on the Company's business, including intangible assets, becomes available, the impacts to cash flows and the related impact on recovery of intangible assets will be evaluated.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 AND OTHER CURRENT LIABILITIES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As of</w:t>
            </w:r>
          </w:p>
        </w:tc>
        <w:tc>
          <w:tcPr>
            <w:tcW w:w="860" w:type="dxa"/>
            <w:vAlign w:val="bottom"/>
            <w:tcBorders>
              <w:bottom w:val="single" w:sz="8" w:color="auto"/>
            </w:tcBorders>
          </w:tcPr>
          <w:p>
            <w:pPr>
              <w:spacing w:after="0"/>
              <w:rPr>
                <w:sz w:val="14"/>
                <w:szCs w:val="14"/>
                <w:color w:val="auto"/>
              </w:rPr>
            </w:pPr>
          </w:p>
        </w:tc>
      </w:tr>
      <w:tr>
        <w:trPr>
          <w:trHeight w:val="209"/>
        </w:trPr>
        <w:tc>
          <w:tcPr>
            <w:tcW w:w="8680" w:type="dxa"/>
            <w:vAlign w:val="bottom"/>
            <w:gridSpan w:val="2"/>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6"/>
              </w:rPr>
              <w:t>June 30, 2020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December 31, 2019</w:t>
            </w:r>
          </w:p>
        </w:tc>
      </w:tr>
      <w:tr>
        <w:trPr>
          <w:trHeight w:val="209"/>
        </w:trPr>
        <w:tc>
          <w:tcPr>
            <w:tcW w:w="85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247,955</w:t>
            </w: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246,699</w:t>
            </w:r>
          </w:p>
        </w:tc>
      </w:tr>
      <w:tr>
        <w:trPr>
          <w:trHeight w:val="216"/>
        </w:trPr>
        <w:tc>
          <w:tcPr>
            <w:tcW w:w="8680" w:type="dxa"/>
            <w:vAlign w:val="bottom"/>
            <w:gridSpan w:val="2"/>
          </w:tcPr>
          <w:p>
            <w:pPr>
              <w:ind w:left="40"/>
              <w:spacing w:after="0"/>
              <w:rPr>
                <w:sz w:val="20"/>
                <w:szCs w:val="20"/>
                <w:color w:val="auto"/>
              </w:rPr>
            </w:pPr>
            <w:r>
              <w:rPr>
                <w:rFonts w:ascii="Arial" w:cs="Arial" w:eastAsia="Arial" w:hAnsi="Arial"/>
                <w:sz w:val="18"/>
                <w:szCs w:val="18"/>
                <w:color w:val="auto"/>
              </w:rPr>
              <w:t>Derivative liabilities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51,905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41,935</w:t>
            </w:r>
          </w:p>
        </w:tc>
      </w:tr>
      <w:tr>
        <w:trPr>
          <w:trHeight w:val="216"/>
        </w:trPr>
        <w:tc>
          <w:tcPr>
            <w:tcW w:w="8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Current portion of capital lease obligations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5,919</w:t>
            </w:r>
          </w:p>
        </w:tc>
      </w:tr>
      <w:tr>
        <w:trPr>
          <w:trHeight w:val="216"/>
        </w:trPr>
        <w:tc>
          <w:tcPr>
            <w:tcW w:w="86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09"/>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306,371</w:t>
            </w: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294,557</w:t>
            </w: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UNEARNED REVENUES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records deferred revenues when cash payments are received or due in advance of its performance. The decrease in the deferred revenue balance for the six months ended June 30, 2020 is primarily driven by $26.2 million of cash payments received in the current year for which the Company has not yet satisfied the performance obligations, offset by $26.3 million of revenues recognized that were included in the deferred revenue balance as of December 31, 2019.</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Debt obligations consist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As of</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96"/>
              </w:rPr>
              <w:t>June 30, 2020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ind w:right="93"/>
              <w:spacing w:after="0" w:line="153"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8680" w:type="dxa"/>
            <w:vAlign w:val="bottom"/>
            <w:gridSpan w:val="2"/>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5"/>
        </w:trPr>
        <w:tc>
          <w:tcPr>
            <w:tcW w:w="85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Revolving credit agreement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Convertible Debt: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0.75% convertible notes, unsecured, due 2049</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444,506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436,965</w:t>
            </w:r>
          </w:p>
        </w:tc>
        <w:tc>
          <w:tcPr>
            <w:tcW w:w="0" w:type="dxa"/>
            <w:vAlign w:val="bottom"/>
          </w:tcPr>
          <w:p>
            <w:pPr>
              <w:spacing w:after="0"/>
              <w:rPr>
                <w:sz w:val="1"/>
                <w:szCs w:val="1"/>
                <w:color w:val="auto"/>
              </w:rPr>
            </w:pPr>
          </w:p>
        </w:tc>
      </w:tr>
      <w:tr>
        <w:trPr>
          <w:trHeight w:val="270"/>
        </w:trPr>
        <w:tc>
          <w:tcPr>
            <w:tcW w:w="8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40"/>
              <w:spacing w:after="0"/>
              <w:rPr>
                <w:sz w:val="20"/>
                <w:szCs w:val="20"/>
                <w:color w:val="auto"/>
              </w:rPr>
            </w:pPr>
            <w:r>
              <w:rPr>
                <w:rFonts w:ascii="Arial" w:cs="Arial" w:eastAsia="Arial" w:hAnsi="Arial"/>
                <w:sz w:val="18"/>
                <w:szCs w:val="18"/>
                <w:color w:val="auto"/>
              </w:rPr>
              <w:t>1.375% Senior Notes, due 2026</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673,920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673,440</w:t>
            </w:r>
          </w:p>
        </w:tc>
        <w:tc>
          <w:tcPr>
            <w:tcW w:w="0" w:type="dxa"/>
            <w:vAlign w:val="bottom"/>
          </w:tcPr>
          <w:p>
            <w:pPr>
              <w:spacing w:after="0"/>
              <w:rPr>
                <w:sz w:val="1"/>
                <w:szCs w:val="1"/>
                <w:color w:val="auto"/>
              </w:rPr>
            </w:pPr>
          </w:p>
        </w:tc>
      </w:tr>
      <w:tr>
        <w:trPr>
          <w:trHeight w:val="270"/>
        </w:trPr>
        <w:tc>
          <w:tcPr>
            <w:tcW w:w="8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40"/>
              <w:spacing w:after="0"/>
              <w:rPr>
                <w:sz w:val="20"/>
                <w:szCs w:val="20"/>
                <w:color w:val="auto"/>
              </w:rPr>
            </w:pPr>
            <w:r>
              <w:rPr>
                <w:rFonts w:ascii="Arial" w:cs="Arial" w:eastAsia="Arial" w:hAnsi="Arial"/>
                <w:sz w:val="18"/>
                <w:szCs w:val="18"/>
                <w:color w:val="auto"/>
              </w:rPr>
              <w:t>Other obligations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6,215</w:t>
            </w:r>
          </w:p>
        </w:tc>
        <w:tc>
          <w:tcPr>
            <w:tcW w:w="0" w:type="dxa"/>
            <w:vAlign w:val="bottom"/>
          </w:tcPr>
          <w:p>
            <w:pPr>
              <w:spacing w:after="0"/>
              <w:rPr>
                <w:sz w:val="1"/>
                <w:szCs w:val="1"/>
                <w:color w:val="auto"/>
              </w:rPr>
            </w:pPr>
          </w:p>
        </w:tc>
      </w:tr>
      <w:tr>
        <w:trPr>
          <w:trHeight w:val="270"/>
        </w:trPr>
        <w:tc>
          <w:tcPr>
            <w:tcW w:w="8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8680" w:type="dxa"/>
            <w:vAlign w:val="bottom"/>
            <w:gridSpan w:val="2"/>
          </w:tcPr>
          <w:p>
            <w:pPr>
              <w:ind w:left="40"/>
              <w:spacing w:after="0"/>
              <w:rPr>
                <w:sz w:val="20"/>
                <w:szCs w:val="20"/>
                <w:color w:val="auto"/>
              </w:rPr>
            </w:pPr>
            <w:r>
              <w:rPr>
                <w:rFonts w:ascii="Arial" w:cs="Arial" w:eastAsia="Arial" w:hAnsi="Arial"/>
                <w:sz w:val="18"/>
                <w:szCs w:val="18"/>
                <w:color w:val="auto"/>
              </w:rPr>
              <w:t>Total debt obligations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1,119,347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1,116,620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(17,853)</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(19,592)</w:t>
            </w:r>
          </w:p>
        </w:tc>
        <w:tc>
          <w:tcPr>
            <w:tcW w:w="0" w:type="dxa"/>
            <w:vAlign w:val="bottom"/>
          </w:tcPr>
          <w:p>
            <w:pPr>
              <w:spacing w:after="0"/>
              <w:rPr>
                <w:sz w:val="1"/>
                <w:szCs w:val="1"/>
                <w:color w:val="auto"/>
              </w:rPr>
            </w:pPr>
          </w:p>
        </w:tc>
      </w:tr>
      <w:tr>
        <w:trPr>
          <w:trHeight w:val="209"/>
        </w:trPr>
        <w:tc>
          <w:tcPr>
            <w:tcW w:w="8680" w:type="dxa"/>
            <w:vAlign w:val="bottom"/>
            <w:gridSpan w:val="2"/>
          </w:tcPr>
          <w:p>
            <w:pPr>
              <w:ind w:left="40"/>
              <w:spacing w:after="0"/>
              <w:rPr>
                <w:sz w:val="20"/>
                <w:szCs w:val="20"/>
                <w:color w:val="auto"/>
              </w:rPr>
            </w:pPr>
            <w:r>
              <w:rPr>
                <w:rFonts w:ascii="Arial" w:cs="Arial" w:eastAsia="Arial" w:hAnsi="Arial"/>
                <w:sz w:val="18"/>
                <w:szCs w:val="18"/>
                <w:color w:val="auto"/>
              </w:rPr>
              <w:t>Carrying value of debt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1,101,494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1,097,028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(6,089)</w:t>
            </w:r>
          </w:p>
        </w:tc>
        <w:tc>
          <w:tcPr>
            <w:tcW w:w="0" w:type="dxa"/>
            <w:vAlign w:val="bottom"/>
          </w:tcPr>
          <w:p>
            <w:pPr>
              <w:spacing w:after="0"/>
              <w:rPr>
                <w:sz w:val="1"/>
                <w:szCs w:val="1"/>
                <w:color w:val="auto"/>
              </w:rPr>
            </w:pPr>
          </w:p>
        </w:tc>
      </w:tr>
      <w:tr>
        <w:trPr>
          <w:trHeight w:val="210"/>
        </w:trPr>
        <w:tc>
          <w:tcPr>
            <w:tcW w:w="8680" w:type="dxa"/>
            <w:vAlign w:val="bottom"/>
            <w:gridSpan w:val="2"/>
          </w:tcPr>
          <w:p>
            <w:pPr>
              <w:ind w:left="40"/>
              <w:spacing w:after="0"/>
              <w:rPr>
                <w:sz w:val="20"/>
                <w:szCs w:val="20"/>
                <w:color w:val="auto"/>
              </w:rPr>
            </w:pPr>
            <w:r>
              <w:rPr>
                <w:rFonts w:ascii="Arial" w:cs="Arial" w:eastAsia="Arial" w:hAnsi="Arial"/>
                <w:sz w:val="18"/>
                <w:szCs w:val="18"/>
                <w:color w:val="auto"/>
              </w:rPr>
              <w:t>Long-term debt obligations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1,100,619</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1,090,939</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October 17, 2018, the Company entered into an unsecured revolving credit agreement (the "Credit Facility") for $1.0 billion that expires</w:t>
      </w:r>
    </w:p>
    <w:p>
      <w:pPr>
        <w:spacing w:after="0" w:line="23"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on October 17, 2023. Fees and interest on borrowings are based upon the Company's corporate credit rating and are based, in the case of letter of credit fees, on a margin, and in the case of interest, on a margin over London Inter-Bank Offered Rate (“LIBOR”) or a margin over the base rate, as selected by the Company, with the applicable margin ranging from 1.125% to 2.0% (or 0.175% to 1.0% for base rate loans). The unsecured revolving credit agreement allows for borrowings in Australian dollars, British pounds sterling, Canadian dollars, Czech koruna, Danish krone, euro, Hungarian forints, Japanese yen, New Zealand dollars, Norwegian krone, Polish zlotys, Swedish krona, Swiss francs, and U.S. dollars. The revolving credit facility contains</w:t>
      </w:r>
    </w:p>
    <w:p>
      <w:pPr>
        <w:spacing w:after="0" w:line="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 $200 million sublimit for the issuance of letters of credit, a $50 million sublimit for U.S. dollar swingline loans, and a $90 million sublimit for certain foreign currencies swingline loans. The unsecured revolving credit agreement contains customary affirmative and negative covenants, events of default and financial covenants. The Company was in compliance with all debt covenants, as of June 30, 2020.</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March 18, 2019, the Company completed the sale of $525.0 million of Convertible Senior Notes ("Convertible Notes"). The Convertible Notes mature in March 2049 unless redeemed or converted prior to such date, and are convertible into shares of Euronet Common Stock at a conversion price of approximately $188.73 per share if certain conditions are met (relating to the closing price of Euronet Common Stock exceeding certain thresholds for specified periods). Holders of the Convertible Notes have the option to require the Company to purchase their notes on each of March 15, 2025, March 15, 2029, March 15, 2034, March 15, 2039 and March 15, 2044 at a repurchase price equal to 100% of the principal amount of the Convertible Notes to be repurchased, plus accrued and unpaid interest to, but excluding, the relevant repurchase date.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On May 28, 2019, the Company redeemed all of the remaining principal amount outstanding of the Company's 1.5% Convertible Senior Notes due 2044 (the "Retired Convertible Notes") for cash at a redemption price equal to 100% of the principal amount of the Retired Convertible Notes redeemed plus accrued and unpaid interest, if any, to, but excluding, May 28, 2020.</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accordance with ASC 470-20-30-27, proceeds from the issuance of convertible debt is allocated between debt and equity components so that debt is discounted to reflect the Company's nonconvertible debt borrowing rate. ASC 470-20-35-13 requires the debt discount to be amortized over the period the convertible debt is expected to be outstanding as additional non-cash interest expense. The allocation resulted in an increase to additional paid-in capital of $99.7 million for the Convertible Notes.</w:t>
      </w:r>
    </w:p>
    <w:p>
      <w:pPr>
        <w:spacing w:after="0" w:line="187" w:lineRule="exact"/>
        <w:rPr>
          <w:sz w:val="20"/>
          <w:szCs w:val="20"/>
          <w:color w:val="auto"/>
        </w:rPr>
      </w:pPr>
    </w:p>
    <w:p>
      <w:pPr>
        <w:ind w:right="260"/>
        <w:spacing w:after="0" w:line="287" w:lineRule="auto"/>
        <w:rPr>
          <w:sz w:val="20"/>
          <w:szCs w:val="20"/>
          <w:color w:val="auto"/>
        </w:rPr>
      </w:pPr>
      <w:r>
        <w:rPr>
          <w:rFonts w:ascii="Arial" w:cs="Arial" w:eastAsia="Arial" w:hAnsi="Arial"/>
          <w:sz w:val="16"/>
          <w:szCs w:val="16"/>
          <w:color w:val="auto"/>
        </w:rPr>
        <w:t>Contractual interest expense for the Convertible Notes was $1.0 million and $2.0 million for the three and six months ended June 30, 2020, respectively and $1.0 million and $1.1 million for the three and six months ended June 30, 2019, respectively. Accretion expense for the Convertible Notes was $3.8 million and $7.5 million for the three and six months ended June 30, 2020, respectively and $3.6 million and $4.2 million for the</w:t>
      </w:r>
    </w:p>
    <w:p>
      <w:pPr>
        <w:spacing w:after="0" w:line="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three and six months ended June 30, 2019, respectively. Contractual interest expense for the Retired Convertible Notes was $1.5 million for both the three and six months ended June 30, 2019. Accretion expense for the Retired Convertible Notes was $1.8 million and $4.6 million for the three and six months ended June 30, 2019, respectively. The effective interest rate was 4.4% for the three and six months ended June 30, 2020. As of June 30, 2020, the unamortized discount was $80.5 million and will be amortized through March 2025.</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1.375% Senior Notes due 2026</w:t>
      </w:r>
    </w:p>
    <w:p>
      <w:pPr>
        <w:spacing w:after="0" w:line="117"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On May 22, 2019, the Company completed the sale of €600 million ($669.9 million) aggregate principal amount of Senior Notes that expire in May 2026 (the “Senior Notes”). The Senior Notes accrue interest at a rate of 1.375% per year, payable annually in arrears commencing May 22, 2020, until maturity or earlier redemption. As of June 30, 2020, the Company has outstanding €600 million ($673.9 million) principal amount of the Senior Notes. In addition, the Company may redeem some or all of these notes on or after February 22, 2026 at their principal amount plus any accrued and unpaid interest.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obligations</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Certain of the Company's subsidiaries have available lines of credit and overdraft credit facilities that generally provide for short-term borrowings that are used from time to time for working capital purposes. As of June 30, 2020 and December 31, 2019, borrowings under these arrangements were $0.9 million and $6.2 million,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Uncommitted Line of Credit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September 4, 2019, the Company entered into an Uncommitted Loan Agreement with Bank of America which provided Euronet up</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$100.0 million under an uncommitted line of credit. Interest on borrowings was equal to LIBOR plus 0.65% and the agreement was set to expire September 4, 2020. During the three months ended June 30, 2020, the Company and Bank of America mutually agreed to terminate the Uncommitted Loan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INSTRUMENTS AND HEDGING ACTIVITIES</w:t>
      </w:r>
    </w:p>
    <w:p>
      <w:pPr>
        <w:spacing w:after="0" w:line="18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 (iii) certain foreign currency denominated other asset and liability positions. The Company enters into foreign currency derivative contracts, primarily foreign currency forwards and cross-currency swaps, to minimize its exposure related to fluctuations in foreign currency exchange rates. As a matter of Company policy, the derivative instruments used in these activities are economic hedges and are not designated as hedges under ASC 815</w:t>
      </w:r>
      <w:r>
        <w:rPr>
          <w:rFonts w:ascii="Arial" w:cs="Arial" w:eastAsia="Arial" w:hAnsi="Arial"/>
          <w:sz w:val="17"/>
          <w:szCs w:val="17"/>
          <w:i w:val="1"/>
          <w:iCs w:val="1"/>
          <w:color w:val="auto"/>
        </w:rPr>
        <w:t>,</w:t>
      </w:r>
      <w:r>
        <w:rPr>
          <w:rFonts w:ascii="Arial" w:cs="Arial" w:eastAsia="Arial" w:hAnsi="Arial"/>
          <w:sz w:val="17"/>
          <w:szCs w:val="17"/>
          <w:color w:val="auto"/>
        </w:rPr>
        <w:t xml:space="preserve"> primarily due to either the relatively short duration of the contract term or the effects of fluctuations in currency exchange rates are reflected concurrently in earnings for both the derivative instrument and the transaction and have an offsetting effect.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Ria Operations and Corporate</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the United States, the Company uses short-duration foreign currency forward contracts, generally with maturities up to 14 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 As of June 30, 2020, the Company had foreign currency forward contracts outstanding in the U.S. with a notional value of $222 million. The foreign currency forward contracts consist primarily in Australian dollars, Canadian dollars, British pounds sterling, euro and Mexican pesos.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In addition, the Company uses forward contracts, typically with maturities from a few days to less than one year, to offset foreign exchange rate fluctuations on certain short-term borrowings that are payable in currencies other than the U.S dollar. As of June 30, 2020, the Company had foreign currency forward contracts outstanding with a notional value of $332 million, primarily in euro.</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xe Operations</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xe writes derivative instruments, primarily foreign currency forward contracts and cross-currency swaps, mostly with counterparties comprised of individuals and small-to-medium size businesses and derives a currency margin from this activity as part of its operations. xe aggregates its foreign currency exposures arising from customer contracts and hedges the resulting net currency risks by entering into offsetting contracts with established financial institution counterparties. Foreign exchange revenues from xe's total portfolio of positions were $13.2 million and $31.3 million for the three and six months ended June 30, 2020, respectively, and $16.1 million and $34.7 million for the three and six months ended June 30, 2019, respectively. All of the derivative contracts used in the Company' s xe operations are economic hedges and are not designated as hedges under ASC 815</w:t>
      </w:r>
      <w:r>
        <w:rPr>
          <w:rFonts w:ascii="Arial" w:cs="Arial" w:eastAsia="Arial" w:hAnsi="Arial"/>
          <w:sz w:val="18"/>
          <w:szCs w:val="18"/>
          <w:i w:val="1"/>
          <w:iCs w:val="1"/>
          <w:color w:val="auto"/>
        </w:rPr>
        <w:t>.</w:t>
      </w:r>
      <w:r>
        <w:rPr>
          <w:rFonts w:ascii="Arial" w:cs="Arial" w:eastAsia="Arial" w:hAnsi="Arial"/>
          <w:sz w:val="18"/>
          <w:szCs w:val="18"/>
          <w:color w:val="auto"/>
        </w:rPr>
        <w:t xml:space="preserve"> The duration of these derivative contracts is generally less than one year.</w:t>
      </w:r>
    </w:p>
    <w:p>
      <w:pPr>
        <w:spacing w:after="0" w:line="8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fair value of xe's total portfolio of positions can change significantly from period to period based on, among other factors, market movements and changes in customer contract positions. xe manages counterparty credit risk (the risk that counterparties will default and not make payments according to the terms of the agreements) on an individual counterparty basis. It mitigates this risk by entering into contracts with collateral posting requirements and/or by performing financial assessments prior to contract execution, conducting periodic evaluations of counterparty performance and maintaining a diverse portfolio of qualified counterparties. xe does not expect any significant losses from counterparty defaults.</w:t>
      </w:r>
    </w:p>
    <w:p>
      <w:pPr>
        <w:spacing w:after="0" w:line="68"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The aggregate equivalent U.S. dollar notional amounts of foreign currency derivative customer contracts held by the Company in its xe operations as of June 30, 2020 was approximately $1.5 billion. The significant majority of customer contracts are written in major currencies such as the euro, U.S. dollar, British pounds sterling, Australian dollar and New Zealand dollar.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Presentation</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of the derivative instruments as recorded in the Consolidated Balance Sheets as of the dates below:</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Asset Derivatives</w:t>
            </w:r>
          </w:p>
        </w:tc>
        <w:tc>
          <w:tcPr>
            <w:tcW w:w="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420" w:type="dxa"/>
            <w:vAlign w:val="bottom"/>
            <w:tcBorders>
              <w:bottom w:val="single" w:sz="8" w:color="auto"/>
            </w:tcBorders>
            <w:gridSpan w:val="4"/>
          </w:tcPr>
          <w:p>
            <w:pPr>
              <w:ind w:left="1700"/>
              <w:spacing w:after="0"/>
              <w:rPr>
                <w:sz w:val="20"/>
                <w:szCs w:val="20"/>
                <w:color w:val="auto"/>
              </w:rPr>
            </w:pPr>
            <w:r>
              <w:rPr>
                <w:rFonts w:ascii="Arial" w:cs="Arial" w:eastAsia="Arial" w:hAnsi="Arial"/>
                <w:sz w:val="14"/>
                <w:szCs w:val="14"/>
                <w:b w:val="1"/>
                <w:bCs w:val="1"/>
                <w:color w:val="auto"/>
              </w:rPr>
              <w:t>Liability Derivatives</w:t>
            </w: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209"/>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Fair Value</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4"/>
                <w:szCs w:val="14"/>
                <w:b w:val="1"/>
                <w:bCs w:val="1"/>
                <w:color w:val="auto"/>
              </w:rPr>
              <w:t>Fair Value</w:t>
            </w:r>
          </w:p>
        </w:tc>
        <w:tc>
          <w:tcPr>
            <w:tcW w:w="840" w:type="dxa"/>
            <w:vAlign w:val="bottom"/>
            <w:tcBorders>
              <w:bottom w:val="single" w:sz="8" w:color="auto"/>
            </w:tcBorders>
          </w:tcPr>
          <w:p>
            <w:pPr>
              <w:spacing w:after="0"/>
              <w:rPr>
                <w:sz w:val="18"/>
                <w:szCs w:val="18"/>
                <w:color w:val="auto"/>
              </w:rPr>
            </w:pPr>
          </w:p>
        </w:tc>
      </w:tr>
      <w:tr>
        <w:trPr>
          <w:trHeight w:val="210"/>
        </w:trPr>
        <w:tc>
          <w:tcPr>
            <w:tcW w:w="21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1"/>
              </w:rPr>
              <w:t>Balance Sheet Location</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2020</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2019</w:t>
            </w:r>
          </w:p>
        </w:tc>
        <w:tc>
          <w:tcPr>
            <w:tcW w:w="204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Balance Sheet Location</w:t>
            </w:r>
          </w:p>
        </w:tc>
        <w:tc>
          <w:tcPr>
            <w:tcW w:w="14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2020</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2019</w:t>
            </w:r>
          </w:p>
        </w:tc>
      </w:tr>
      <w:tr>
        <w:trPr>
          <w:trHeight w:val="191"/>
        </w:trPr>
        <w:tc>
          <w:tcPr>
            <w:tcW w:w="204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Derivatives not</w:t>
            </w:r>
          </w:p>
        </w:tc>
        <w:tc>
          <w:tcPr>
            <w:tcW w:w="12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r>
      <w:tr>
        <w:trPr>
          <w:trHeight w:val="216"/>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designated as hedging</w:t>
            </w:r>
          </w:p>
        </w:tc>
        <w:tc>
          <w:tcPr>
            <w:tcW w:w="1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4"/>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instruments</w:t>
            </w:r>
          </w:p>
        </w:tc>
        <w:tc>
          <w:tcPr>
            <w:tcW w:w="16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02"/>
        </w:trPr>
        <w:tc>
          <w:tcPr>
            <w:tcW w:w="216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Foreign currency</w:t>
            </w:r>
          </w:p>
        </w:tc>
        <w:tc>
          <w:tcPr>
            <w:tcW w:w="1600" w:type="dxa"/>
            <w:vAlign w:val="bottom"/>
          </w:tcPr>
          <w:p>
            <w:pPr>
              <w:jc w:val="center"/>
              <w:spacing w:after="0" w:line="201" w:lineRule="exact"/>
              <w:rPr>
                <w:sz w:val="20"/>
                <w:szCs w:val="20"/>
                <w:color w:val="auto"/>
              </w:rPr>
            </w:pPr>
            <w:r>
              <w:rPr>
                <w:rFonts w:ascii="Arial" w:cs="Arial" w:eastAsia="Arial" w:hAnsi="Arial"/>
                <w:sz w:val="18"/>
                <w:szCs w:val="18"/>
                <w:color w:val="auto"/>
                <w:w w:val="87"/>
              </w:rPr>
              <w:t>Prepaid expenses and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jc w:val="center"/>
              <w:ind w:right="39"/>
              <w:spacing w:after="0" w:line="201" w:lineRule="exact"/>
              <w:rPr>
                <w:sz w:val="20"/>
                <w:szCs w:val="20"/>
                <w:color w:val="auto"/>
              </w:rPr>
            </w:pPr>
            <w:r>
              <w:rPr>
                <w:rFonts w:ascii="Arial" w:cs="Arial" w:eastAsia="Arial" w:hAnsi="Arial"/>
                <w:sz w:val="18"/>
                <w:szCs w:val="18"/>
                <w:color w:val="auto"/>
                <w:w w:val="87"/>
              </w:rPr>
              <w:t>Accrued expenses and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0"/>
        </w:trPr>
        <w:tc>
          <w:tcPr>
            <w:tcW w:w="2160" w:type="dxa"/>
            <w:vAlign w:val="bottom"/>
            <w:gridSpan w:val="2"/>
          </w:tcPr>
          <w:p>
            <w:pPr>
              <w:ind w:left="180"/>
              <w:spacing w:after="0"/>
              <w:rPr>
                <w:sz w:val="20"/>
                <w:szCs w:val="20"/>
                <w:color w:val="auto"/>
              </w:rPr>
            </w:pPr>
            <w:r>
              <w:rPr>
                <w:rFonts w:ascii="Arial" w:cs="Arial" w:eastAsia="Arial" w:hAnsi="Arial"/>
                <w:sz w:val="18"/>
                <w:szCs w:val="18"/>
                <w:color w:val="auto"/>
              </w:rPr>
              <w:t>exchange contracts</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other current assets</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2"/>
              <w:spacing w:after="0"/>
              <w:rPr>
                <w:sz w:val="20"/>
                <w:szCs w:val="20"/>
                <w:color w:val="auto"/>
              </w:rPr>
            </w:pPr>
            <w:r>
              <w:rPr>
                <w:rFonts w:ascii="Arial" w:cs="Arial" w:eastAsia="Arial" w:hAnsi="Arial"/>
                <w:sz w:val="18"/>
                <w:szCs w:val="18"/>
                <w:color w:val="auto"/>
              </w:rPr>
              <w:t>71,590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54,765</w:t>
            </w:r>
          </w:p>
        </w:tc>
        <w:tc>
          <w:tcPr>
            <w:tcW w:w="120" w:type="dxa"/>
            <w:vAlign w:val="bottom"/>
          </w:tcPr>
          <w:p>
            <w:pPr>
              <w:spacing w:after="0"/>
              <w:rPr>
                <w:sz w:val="20"/>
                <w:szCs w:val="20"/>
                <w:color w:val="auto"/>
              </w:rPr>
            </w:pPr>
          </w:p>
        </w:tc>
        <w:tc>
          <w:tcPr>
            <w:tcW w:w="2040" w:type="dxa"/>
            <w:vAlign w:val="bottom"/>
          </w:tcPr>
          <w:p>
            <w:pPr>
              <w:jc w:val="center"/>
              <w:ind w:right="39"/>
              <w:spacing w:after="0"/>
              <w:rPr>
                <w:sz w:val="20"/>
                <w:szCs w:val="20"/>
                <w:color w:val="auto"/>
              </w:rPr>
            </w:pPr>
            <w:r>
              <w:rPr>
                <w:rFonts w:ascii="Arial" w:cs="Arial" w:eastAsia="Arial" w:hAnsi="Arial"/>
                <w:sz w:val="18"/>
                <w:szCs w:val="18"/>
                <w:color w:val="auto"/>
                <w:w w:val="93"/>
              </w:rPr>
              <w:t>other current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(51,905)</w:t>
            </w:r>
          </w:p>
        </w:tc>
        <w:tc>
          <w:tcPr>
            <w:tcW w:w="140" w:type="dxa"/>
            <w:vAlign w:val="bottom"/>
          </w:tcPr>
          <w:p>
            <w:pPr>
              <w:spacing w:after="0"/>
              <w:rPr>
                <w:sz w:val="20"/>
                <w:szCs w:val="20"/>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(41,935)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the gross and net fair value of derivative assets and liabilities as of June 30, 2020 and December 31, 2019 (in thousands):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of Derivative Assets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9"/>
              </w:rPr>
              <w:t>Gross Amounts Not Offset in the</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Gross Amounts Offset</w:t>
            </w:r>
          </w:p>
        </w:tc>
        <w:tc>
          <w:tcPr>
            <w:tcW w:w="140" w:type="dxa"/>
            <w:vAlign w:val="bottom"/>
          </w:tcPr>
          <w:p>
            <w:pPr>
              <w:spacing w:after="0"/>
              <w:rPr>
                <w:sz w:val="14"/>
                <w:szCs w:val="14"/>
                <w:color w:val="auto"/>
              </w:rPr>
            </w:pPr>
          </w:p>
        </w:tc>
        <w:tc>
          <w:tcPr>
            <w:tcW w:w="15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Net Amounts Presented</w:t>
            </w:r>
          </w:p>
        </w:tc>
        <w:tc>
          <w:tcPr>
            <w:tcW w:w="1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4"/>
                <w:szCs w:val="14"/>
                <w:b w:val="1"/>
                <w:bCs w:val="1"/>
                <w:color w:val="auto"/>
              </w:rPr>
              <w:t>Consolidated Balance Sheet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Gross Amounts of</w:t>
            </w:r>
          </w:p>
        </w:tc>
        <w:tc>
          <w:tcPr>
            <w:tcW w:w="13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Financial</w:t>
            </w:r>
          </w:p>
        </w:tc>
        <w:tc>
          <w:tcPr>
            <w:tcW w:w="140" w:type="dxa"/>
            <w:vAlign w:val="bottom"/>
          </w:tcPr>
          <w:p>
            <w:pPr>
              <w:spacing w:after="0"/>
              <w:rPr>
                <w:sz w:val="9"/>
                <w:szCs w:val="9"/>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Cash Collateral</w:t>
            </w: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of June 30, 2020</w:t>
            </w:r>
          </w:p>
        </w:tc>
        <w:tc>
          <w:tcPr>
            <w:tcW w:w="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the Consolidated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2"/>
              </w:rPr>
              <w:t>in the Consolidated</w:t>
            </w: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6"/>
              </w:rPr>
              <w:t>Net Amounts</w:t>
            </w:r>
          </w:p>
        </w:tc>
        <w:tc>
          <w:tcPr>
            <w:tcW w:w="0" w:type="dxa"/>
            <w:vAlign w:val="bottom"/>
          </w:tcPr>
          <w:p>
            <w:pPr>
              <w:spacing w:after="0"/>
              <w:rPr>
                <w:sz w:val="1"/>
                <w:szCs w:val="1"/>
                <w:color w:val="auto"/>
              </w:rPr>
            </w:pPr>
          </w:p>
        </w:tc>
      </w:tr>
      <w:tr>
        <w:trPr>
          <w:trHeight w:val="171"/>
        </w:trPr>
        <w:tc>
          <w:tcPr>
            <w:tcW w:w="2740" w:type="dxa"/>
            <w:vAlign w:val="bottom"/>
            <w:gridSpan w:val="2"/>
            <w:vMerge w:val="continue"/>
          </w:tcPr>
          <w:p>
            <w:pPr>
              <w:spacing w:after="0"/>
              <w:rPr>
                <w:sz w:val="14"/>
                <w:szCs w:val="14"/>
                <w:color w:val="auto"/>
              </w:rPr>
            </w:pP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Recognized Assets</w:t>
            </w:r>
          </w:p>
        </w:tc>
        <w:tc>
          <w:tcPr>
            <w:tcW w:w="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9"/>
              </w:rPr>
              <w:t>Balance Sheet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ind w:left="200"/>
              <w:spacing w:after="0"/>
              <w:rPr>
                <w:sz w:val="20"/>
                <w:szCs w:val="20"/>
                <w:color w:val="auto"/>
              </w:rPr>
            </w:pPr>
            <w:r>
              <w:rPr>
                <w:rFonts w:ascii="Arial" w:cs="Arial" w:eastAsia="Arial" w:hAnsi="Arial"/>
                <w:sz w:val="14"/>
                <w:szCs w:val="14"/>
                <w:b w:val="1"/>
                <w:bCs w:val="1"/>
                <w:color w:val="auto"/>
              </w:rPr>
              <w:t>Balance Sheet</w:t>
            </w: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Instruments</w:t>
            </w:r>
          </w:p>
        </w:tc>
        <w:tc>
          <w:tcPr>
            <w:tcW w:w="140" w:type="dxa"/>
            <w:vAlign w:val="bottom"/>
          </w:tcPr>
          <w:p>
            <w:pPr>
              <w:spacing w:after="0"/>
              <w:rPr>
                <w:sz w:val="14"/>
                <w:szCs w:val="14"/>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Received</w:t>
            </w: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620" w:type="dxa"/>
            <w:vAlign w:val="bottom"/>
            <w:tcBorders>
              <w:top w:val="single" w:sz="8" w:color="auto"/>
            </w:tcBorders>
            <w:shd w:val="clear" w:color="auto" w:fill="CCEEFF"/>
          </w:tcPr>
          <w:p>
            <w:pPr>
              <w:ind w:left="40"/>
              <w:spacing w:after="0" w:line="195" w:lineRule="exact"/>
              <w:rPr>
                <w:sz w:val="20"/>
                <w:szCs w:val="20"/>
                <w:color w:val="auto"/>
              </w:rPr>
            </w:pPr>
            <w:r>
              <w:rPr>
                <w:rFonts w:ascii="Arial" w:cs="Arial" w:eastAsia="Arial" w:hAnsi="Arial"/>
                <w:sz w:val="18"/>
                <w:szCs w:val="18"/>
                <w:color w:val="auto"/>
              </w:rPr>
              <w:t>Derivatives subject to a master</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netting arrangement or similar</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agreement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71,590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71,590</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(41,843)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(9,737)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20,010</w:t>
            </w:r>
          </w:p>
        </w:tc>
        <w:tc>
          <w:tcPr>
            <w:tcW w:w="0" w:type="dxa"/>
            <w:vAlign w:val="bottom"/>
          </w:tcPr>
          <w:p>
            <w:pPr>
              <w:spacing w:after="0"/>
              <w:rPr>
                <w:sz w:val="1"/>
                <w:szCs w:val="1"/>
                <w:color w:val="auto"/>
              </w:rPr>
            </w:pPr>
          </w:p>
        </w:tc>
      </w:tr>
      <w:tr>
        <w:trPr>
          <w:trHeight w:val="324"/>
        </w:trPr>
        <w:tc>
          <w:tcPr>
            <w:tcW w:w="274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December 31, 2019</w:t>
            </w: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620" w:type="dxa"/>
            <w:vAlign w:val="bottom"/>
            <w:tcBorders>
              <w:top w:val="single" w:sz="8" w:color="auto"/>
            </w:tcBorders>
            <w:shd w:val="clear" w:color="auto" w:fill="CCEEFF"/>
          </w:tcPr>
          <w:p>
            <w:pPr>
              <w:ind w:left="40"/>
              <w:spacing w:after="0" w:line="195" w:lineRule="exact"/>
              <w:rPr>
                <w:sz w:val="20"/>
                <w:szCs w:val="20"/>
                <w:color w:val="auto"/>
              </w:rPr>
            </w:pPr>
            <w:r>
              <w:rPr>
                <w:rFonts w:ascii="Arial" w:cs="Arial" w:eastAsia="Arial" w:hAnsi="Arial"/>
                <w:sz w:val="18"/>
                <w:szCs w:val="18"/>
                <w:color w:val="auto"/>
              </w:rPr>
              <w:t>Derivatives subject to a master</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netting arrangement or similar</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agreement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54,765</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54,765</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12,468</w:t>
            </w:r>
          </w:p>
        </w:tc>
        <w:tc>
          <w:tcPr>
            <w:tcW w:w="0" w:type="dxa"/>
            <w:vAlign w:val="bottom"/>
          </w:tcPr>
          <w:p>
            <w:pPr>
              <w:spacing w:after="0"/>
              <w:rPr>
                <w:sz w:val="1"/>
                <w:szCs w:val="1"/>
                <w:color w:val="auto"/>
              </w:rPr>
            </w:pPr>
          </w:p>
        </w:tc>
      </w:tr>
      <w:tr>
        <w:trPr>
          <w:trHeight w:val="459"/>
        </w:trPr>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w w:val="89"/>
              </w:rPr>
              <w:t>14</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6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of Derivative Liabilities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4"/>
          </w:tcPr>
          <w:p>
            <w:pPr>
              <w:jc w:val="right"/>
              <w:ind w:right="259"/>
              <w:spacing w:after="0"/>
              <w:rPr>
                <w:sz w:val="20"/>
                <w:szCs w:val="20"/>
                <w:color w:val="auto"/>
              </w:rPr>
            </w:pPr>
            <w:r>
              <w:rPr>
                <w:rFonts w:ascii="Arial" w:cs="Arial" w:eastAsia="Arial" w:hAnsi="Arial"/>
                <w:sz w:val="14"/>
                <w:szCs w:val="14"/>
                <w:b w:val="1"/>
                <w:bCs w:val="1"/>
                <w:color w:val="auto"/>
                <w:w w:val="97"/>
              </w:rPr>
              <w:t>Gross Amounts Not Offset in the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Gross Amounts</w:t>
            </w:r>
          </w:p>
        </w:tc>
        <w:tc>
          <w:tcPr>
            <w:tcW w:w="160" w:type="dxa"/>
            <w:vAlign w:val="bottom"/>
          </w:tcPr>
          <w:p>
            <w:pPr>
              <w:spacing w:after="0"/>
              <w:rPr>
                <w:sz w:val="14"/>
                <w:szCs w:val="14"/>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Net Amounts</w:t>
            </w:r>
          </w:p>
        </w:tc>
        <w:tc>
          <w:tcPr>
            <w:tcW w:w="1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rPr>
              <w:t>Consolidated Balance Sheet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Gross Amounts of</w:t>
            </w:r>
          </w:p>
        </w:tc>
        <w:tc>
          <w:tcPr>
            <w:tcW w:w="14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80" w:type="dxa"/>
            <w:vAlign w:val="bottom"/>
          </w:tcPr>
          <w:p>
            <w:pPr>
              <w:spacing w:after="0"/>
              <w:rPr>
                <w:sz w:val="12"/>
                <w:szCs w:val="12"/>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Financial</w:t>
            </w:r>
          </w:p>
        </w:tc>
        <w:tc>
          <w:tcPr>
            <w:tcW w:w="120" w:type="dxa"/>
            <w:vAlign w:val="bottom"/>
          </w:tcPr>
          <w:p>
            <w:pPr>
              <w:spacing w:after="0"/>
              <w:rPr>
                <w:sz w:val="12"/>
                <w:szCs w:val="12"/>
                <w:color w:val="auto"/>
              </w:rPr>
            </w:pPr>
          </w:p>
        </w:tc>
        <w:tc>
          <w:tcPr>
            <w:tcW w:w="112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4"/>
              </w:rPr>
              <w:t>Cash Collateral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of June 30, 2020</w:t>
            </w:r>
          </w:p>
        </w:tc>
        <w:tc>
          <w:tcPr>
            <w:tcW w:w="10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4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Consolidated Balance</w:t>
            </w:r>
          </w:p>
        </w:tc>
        <w:tc>
          <w:tcPr>
            <w:tcW w:w="15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Consolidated Balance</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6"/>
              </w:rPr>
              <w:t>Net Amounts</w:t>
            </w:r>
          </w:p>
        </w:tc>
        <w:tc>
          <w:tcPr>
            <w:tcW w:w="0" w:type="dxa"/>
            <w:vAlign w:val="bottom"/>
          </w:tcPr>
          <w:p>
            <w:pPr>
              <w:spacing w:after="0"/>
              <w:rPr>
                <w:sz w:val="1"/>
                <w:szCs w:val="1"/>
                <w:color w:val="auto"/>
              </w:rPr>
            </w:pPr>
          </w:p>
        </w:tc>
      </w:tr>
      <w:tr>
        <w:trPr>
          <w:trHeight w:val="171"/>
        </w:trPr>
        <w:tc>
          <w:tcPr>
            <w:tcW w:w="2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Liabilities</w:t>
            </w:r>
          </w:p>
        </w:tc>
        <w:tc>
          <w:tcPr>
            <w:tcW w:w="14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Sheet</w:t>
            </w: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Sheet</w:t>
            </w:r>
          </w:p>
        </w:tc>
        <w:tc>
          <w:tcPr>
            <w:tcW w:w="18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Instruments</w:t>
            </w:r>
          </w:p>
        </w:tc>
        <w:tc>
          <w:tcPr>
            <w:tcW w:w="120" w:type="dxa"/>
            <w:vAlign w:val="bottom"/>
          </w:tcPr>
          <w:p>
            <w:pPr>
              <w:spacing w:after="0"/>
              <w:rPr>
                <w:sz w:val="14"/>
                <w:szCs w:val="14"/>
                <w:color w:val="auto"/>
              </w:rPr>
            </w:pPr>
          </w:p>
        </w:tc>
        <w:tc>
          <w:tcPr>
            <w:tcW w:w="1120" w:type="dxa"/>
            <w:vAlign w:val="bottom"/>
          </w:tcPr>
          <w:p>
            <w:pPr>
              <w:jc w:val="right"/>
              <w:ind w:right="399"/>
              <w:spacing w:after="0"/>
              <w:rPr>
                <w:sz w:val="20"/>
                <w:szCs w:val="20"/>
                <w:color w:val="auto"/>
              </w:rPr>
            </w:pPr>
            <w:r>
              <w:rPr>
                <w:rFonts w:ascii="Arial" w:cs="Arial" w:eastAsia="Arial" w:hAnsi="Arial"/>
                <w:sz w:val="14"/>
                <w:szCs w:val="14"/>
                <w:b w:val="1"/>
                <w:bCs w:val="1"/>
                <w:color w:val="auto"/>
              </w:rPr>
              <w:t>Paid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640" w:type="dxa"/>
            <w:vAlign w:val="bottom"/>
            <w:tcBorders>
              <w:top w:val="single" w:sz="8" w:color="auto"/>
            </w:tcBorders>
            <w:shd w:val="clear" w:color="auto" w:fill="CCEEFF"/>
          </w:tcPr>
          <w:p>
            <w:pPr>
              <w:ind w:left="40"/>
              <w:spacing w:after="0" w:line="195" w:lineRule="exact"/>
              <w:rPr>
                <w:sz w:val="20"/>
                <w:szCs w:val="20"/>
                <w:color w:val="auto"/>
              </w:rPr>
            </w:pPr>
            <w:r>
              <w:rPr>
                <w:rFonts w:ascii="Arial" w:cs="Arial" w:eastAsia="Arial" w:hAnsi="Arial"/>
                <w:sz w:val="18"/>
                <w:szCs w:val="18"/>
                <w:color w:val="auto"/>
              </w:rPr>
              <w:t>Derivatives subject to a master</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netting arrangement or similar</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agreement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(51,905)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(51,905)</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41,843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917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(9,145)</w:t>
            </w:r>
          </w:p>
        </w:tc>
        <w:tc>
          <w:tcPr>
            <w:tcW w:w="0" w:type="dxa"/>
            <w:vAlign w:val="bottom"/>
          </w:tcPr>
          <w:p>
            <w:pPr>
              <w:spacing w:after="0"/>
              <w:rPr>
                <w:sz w:val="1"/>
                <w:szCs w:val="1"/>
                <w:color w:val="auto"/>
              </w:rPr>
            </w:pPr>
          </w:p>
        </w:tc>
      </w:tr>
      <w:tr>
        <w:trPr>
          <w:trHeight w:val="486"/>
        </w:trPr>
        <w:tc>
          <w:tcPr>
            <w:tcW w:w="276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December 31, 2019</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640" w:type="dxa"/>
            <w:vAlign w:val="bottom"/>
            <w:tcBorders>
              <w:top w:val="single" w:sz="8" w:color="auto"/>
            </w:tcBorders>
            <w:shd w:val="clear" w:color="auto" w:fill="CCEEFF"/>
          </w:tcPr>
          <w:p>
            <w:pPr>
              <w:ind w:left="40"/>
              <w:spacing w:after="0" w:line="195" w:lineRule="exact"/>
              <w:rPr>
                <w:sz w:val="20"/>
                <w:szCs w:val="20"/>
                <w:color w:val="auto"/>
              </w:rPr>
            </w:pPr>
            <w:r>
              <w:rPr>
                <w:rFonts w:ascii="Arial" w:cs="Arial" w:eastAsia="Arial" w:hAnsi="Arial"/>
                <w:sz w:val="18"/>
                <w:szCs w:val="18"/>
                <w:color w:val="auto"/>
              </w:rPr>
              <w:t>Derivatives subject to a master</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netting arrangement or similar</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agreement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(41,935)</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34,935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827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(6,173)</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10, Fair Value Measurements, for the determination of the fair values of derivatives.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Statement Presentation</w:t>
      </w:r>
    </w:p>
    <w:p>
      <w:pPr>
        <w:spacing w:after="0" w:line="200" w:lineRule="exact"/>
        <w:rPr>
          <w:sz w:val="20"/>
          <w:szCs w:val="20"/>
          <w:color w:val="auto"/>
        </w:rPr>
      </w:pPr>
    </w:p>
    <w:p>
      <w:pPr>
        <w:spacing w:after="0" w:line="20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summarizes the location and amount of gains and losses on derivatives in the Consolidated Statements of Income for the three and six months ended June 30, 2020 and 2019:</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320" w:type="dxa"/>
            <w:vAlign w:val="bottom"/>
            <w:tcBorders>
              <w:bottom w:val="single" w:sz="8" w:color="auto"/>
            </w:tcBorders>
            <w:gridSpan w:val="10"/>
          </w:tcPr>
          <w:p>
            <w:pPr>
              <w:jc w:val="right"/>
              <w:ind w:right="99"/>
              <w:spacing w:after="0"/>
              <w:rPr>
                <w:sz w:val="20"/>
                <w:szCs w:val="20"/>
                <w:color w:val="auto"/>
              </w:rPr>
            </w:pPr>
            <w:r>
              <w:rPr>
                <w:rFonts w:ascii="Arial" w:cs="Arial" w:eastAsia="Arial" w:hAnsi="Arial"/>
                <w:sz w:val="14"/>
                <w:szCs w:val="14"/>
                <w:b w:val="1"/>
                <w:bCs w:val="1"/>
                <w:color w:val="auto"/>
                <w:w w:val="93"/>
              </w:rPr>
              <w:t>Amount of Gain Recognized in Income on Derivative Contracts (a)</w:t>
            </w:r>
          </w:p>
        </w:tc>
        <w:tc>
          <w:tcPr>
            <w:tcW w:w="0" w:type="dxa"/>
            <w:vAlign w:val="bottom"/>
          </w:tcPr>
          <w:p>
            <w:pPr>
              <w:spacing w:after="0"/>
              <w:rPr>
                <w:sz w:val="1"/>
                <w:szCs w:val="1"/>
                <w:color w:val="auto"/>
              </w:rPr>
            </w:pPr>
          </w:p>
        </w:tc>
      </w:tr>
      <w:tr>
        <w:trPr>
          <w:trHeight w:val="119"/>
        </w:trPr>
        <w:tc>
          <w:tcPr>
            <w:tcW w:w="3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20" w:type="dxa"/>
            <w:vAlign w:val="bottom"/>
            <w:gridSpan w:val="5"/>
          </w:tcPr>
          <w:p>
            <w:pPr>
              <w:jc w:val="center"/>
              <w:ind w:right="360"/>
              <w:spacing w:after="0" w:line="119" w:lineRule="exact"/>
              <w:rPr>
                <w:sz w:val="20"/>
                <w:szCs w:val="20"/>
                <w:color w:val="auto"/>
              </w:rPr>
            </w:pPr>
            <w:r>
              <w:rPr>
                <w:rFonts w:ascii="Arial" w:cs="Arial" w:eastAsia="Arial" w:hAnsi="Arial"/>
                <w:sz w:val="13"/>
                <w:szCs w:val="13"/>
                <w:b w:val="1"/>
                <w:bCs w:val="1"/>
                <w:color w:val="auto"/>
              </w:rPr>
              <w:t>Three Months Ended</w:t>
            </w:r>
          </w:p>
        </w:tc>
        <w:tc>
          <w:tcPr>
            <w:tcW w:w="220" w:type="dxa"/>
            <w:vAlign w:val="bottom"/>
          </w:tcPr>
          <w:p>
            <w:pPr>
              <w:spacing w:after="0"/>
              <w:rPr>
                <w:sz w:val="10"/>
                <w:szCs w:val="10"/>
                <w:color w:val="auto"/>
              </w:rPr>
            </w:pPr>
          </w:p>
        </w:tc>
        <w:tc>
          <w:tcPr>
            <w:tcW w:w="1880" w:type="dxa"/>
            <w:vAlign w:val="bottom"/>
            <w:gridSpan w:val="4"/>
          </w:tcPr>
          <w:p>
            <w:pPr>
              <w:ind w:left="260"/>
              <w:spacing w:after="0" w:line="119" w:lineRule="exact"/>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Location of Gain Recognized in Income on</w:t>
            </w: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left="505"/>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w w:val="99"/>
              </w:rPr>
              <w:t>June 30,</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3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3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vMerge w:val="restart"/>
          </w:tcPr>
          <w:p>
            <w:pPr>
              <w:jc w:val="right"/>
              <w:ind w:right="30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vMerge w:val="restart"/>
          </w:tcPr>
          <w:p>
            <w:pPr>
              <w:jc w:val="right"/>
              <w:ind w:right="28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line="20" w:lineRule="exact"/>
              <w:rPr>
                <w:sz w:val="1"/>
                <w:szCs w:val="1"/>
                <w:color w:val="auto"/>
              </w:rPr>
            </w:pPr>
          </w:p>
        </w:tc>
      </w:tr>
      <w:tr>
        <w:trPr>
          <w:trHeight w:val="171"/>
        </w:trPr>
        <w:tc>
          <w:tcPr>
            <w:tcW w:w="328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4"/>
                <w:szCs w:val="14"/>
                <w:color w:val="auto"/>
              </w:rPr>
            </w:pPr>
          </w:p>
        </w:tc>
        <w:tc>
          <w:tcPr>
            <w:tcW w:w="3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Derivative Contracts</w:t>
            </w: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280" w:type="dxa"/>
            <w:vAlign w:val="bottom"/>
            <w:tcBorders>
              <w:top w:val="single" w:sz="8" w:color="auto"/>
            </w:tcBorders>
            <w:shd w:val="clear" w:color="auto" w:fill="CCEEFF"/>
          </w:tcPr>
          <w:p>
            <w:pPr>
              <w:ind w:left="40"/>
              <w:spacing w:after="0" w:line="195" w:lineRule="exact"/>
              <w:rPr>
                <w:sz w:val="20"/>
                <w:szCs w:val="20"/>
                <w:color w:val="auto"/>
              </w:rPr>
            </w:pPr>
            <w:r>
              <w:rPr>
                <w:rFonts w:ascii="Arial" w:cs="Arial" w:eastAsia="Arial" w:hAnsi="Arial"/>
                <w:sz w:val="18"/>
                <w:szCs w:val="18"/>
                <w:color w:val="auto"/>
                <w:w w:val="94"/>
              </w:rPr>
              <w:t>Foreign currency exchange contracts - Ria</w:t>
            </w:r>
          </w:p>
        </w:tc>
        <w:tc>
          <w:tcPr>
            <w:tcW w:w="120" w:type="dxa"/>
            <w:vAlign w:val="bottom"/>
            <w:tcBorders>
              <w:top w:val="single" w:sz="8" w:color="CCEEFF"/>
            </w:tcBorders>
            <w:shd w:val="clear" w:color="auto" w:fill="CCEEFF"/>
          </w:tcPr>
          <w:p>
            <w:pPr>
              <w:spacing w:after="0"/>
              <w:rPr>
                <w:sz w:val="16"/>
                <w:szCs w:val="16"/>
                <w:color w:val="auto"/>
              </w:rPr>
            </w:pPr>
          </w:p>
        </w:tc>
        <w:tc>
          <w:tcPr>
            <w:tcW w:w="32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Operations</w:t>
            </w:r>
          </w:p>
        </w:tc>
        <w:tc>
          <w:tcPr>
            <w:tcW w:w="120" w:type="dxa"/>
            <w:vAlign w:val="bottom"/>
            <w:shd w:val="clear" w:color="auto" w:fill="CCEEFF"/>
          </w:tcPr>
          <w:p>
            <w:pPr>
              <w:spacing w:after="0"/>
              <w:rPr>
                <w:sz w:val="20"/>
                <w:szCs w:val="20"/>
                <w:color w:val="auto"/>
              </w:rPr>
            </w:pPr>
          </w:p>
        </w:tc>
        <w:tc>
          <w:tcPr>
            <w:tcW w:w="3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Foreign currency exchange (loss) gain,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45"/>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bl>
    <w:p>
      <w:pPr>
        <w:ind w:firstLine="8"/>
        <w:spacing w:after="0" w:line="255" w:lineRule="auto"/>
        <w:tabs>
          <w:tab w:leader="none" w:pos="24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enters into derivative contracts such as foreign currency exchange forwards and cross-currency swaps as part of its xe operations. These derivative contracts are excluded from this table as they are part of the broader disclosure of foreign currency exchange revenues for this business discussed above.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See Note 10, Fair Value Measurements, for the determination of the fair values of derivatives.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Fair value measurements used in the unaudited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218" w:lineRule="exact"/>
        <w:rPr>
          <w:sz w:val="20"/>
          <w:szCs w:val="20"/>
          <w:color w:val="auto"/>
        </w:rPr>
      </w:pPr>
    </w:p>
    <w:p>
      <w:pPr>
        <w:ind w:left="720" w:hanging="360"/>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Unadjusted quoted prices in active markets for identical assets or liabilities.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660" w:right="340" w:hanging="300"/>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372" w:lineRule="exact"/>
        <w:rPr>
          <w:rFonts w:ascii="Arial" w:cs="Arial" w:eastAsia="Arial" w:hAnsi="Arial"/>
          <w:sz w:val="18"/>
          <w:szCs w:val="18"/>
          <w:color w:val="auto"/>
        </w:rPr>
      </w:pPr>
    </w:p>
    <w:p>
      <w:pPr>
        <w:ind w:left="640" w:right="220" w:hanging="280"/>
        <w:spacing w:after="0" w:line="27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financial assets and liabilities measured and recorded at fair value on a recurring basis: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rPr>
              <w:t>As of June 30, 2020</w:t>
            </w:r>
          </w:p>
        </w:tc>
        <w:tc>
          <w:tcPr>
            <w:tcW w:w="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2"/>
          </w:tcPr>
          <w:p>
            <w:pPr>
              <w:jc w:val="right"/>
              <w:ind w:right="116"/>
              <w:spacing w:after="0"/>
              <w:rPr>
                <w:sz w:val="20"/>
                <w:szCs w:val="20"/>
                <w:color w:val="auto"/>
              </w:rPr>
            </w:pPr>
            <w:r>
              <w:rPr>
                <w:rFonts w:ascii="Arial" w:cs="Arial" w:eastAsia="Arial" w:hAnsi="Arial"/>
                <w:sz w:val="14"/>
                <w:szCs w:val="14"/>
                <w:b w:val="1"/>
                <w:bCs w:val="1"/>
                <w:color w:val="auto"/>
                <w:w w:val="94"/>
              </w:rPr>
              <w:t>Balance Sheet Classification</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Level 1</w:t>
            </w:r>
          </w:p>
        </w:tc>
        <w:tc>
          <w:tcPr>
            <w:tcW w:w="4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Level 2</w:t>
            </w:r>
          </w:p>
        </w:tc>
        <w:tc>
          <w:tcPr>
            <w:tcW w:w="180" w:type="dxa"/>
            <w:vAlign w:val="bottom"/>
            <w:gridSpan w:val="2"/>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3</w:t>
            </w:r>
          </w:p>
        </w:tc>
        <w:tc>
          <w:tcPr>
            <w:tcW w:w="160" w:type="dxa"/>
            <w:vAlign w:val="bottom"/>
            <w:gridSpan w:val="2"/>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Total</w:t>
            </w:r>
          </w:p>
        </w:tc>
      </w:tr>
      <w:tr>
        <w:trPr>
          <w:trHeight w:val="243"/>
        </w:trPr>
        <w:tc>
          <w:tcPr>
            <w:tcW w:w="298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2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8"/>
              </w:rPr>
              <w:t>Foreign currency exchange contracts</w:t>
            </w:r>
          </w:p>
        </w:tc>
        <w:tc>
          <w:tcPr>
            <w:tcW w:w="23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71,590</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71,590</w:t>
            </w:r>
          </w:p>
        </w:tc>
      </w:tr>
      <w:tr>
        <w:trPr>
          <w:trHeight w:val="243"/>
        </w:trPr>
        <w:tc>
          <w:tcPr>
            <w:tcW w:w="298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2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8"/>
              </w:rPr>
              <w:t>Foreign currency exchange contracts</w:t>
            </w:r>
          </w:p>
        </w:tc>
        <w:tc>
          <w:tcPr>
            <w:tcW w:w="2320" w:type="dxa"/>
            <w:vAlign w:val="bottom"/>
            <w:tcBorders>
              <w:bottom w:val="single" w:sz="8" w:color="CCEEFF"/>
            </w:tcBorders>
            <w:gridSpan w:val="4"/>
            <w:shd w:val="clear" w:color="auto" w:fill="CCEEFF"/>
          </w:tcPr>
          <w:p>
            <w:pPr>
              <w:jc w:val="right"/>
              <w:ind w:right="620"/>
              <w:spacing w:after="0"/>
              <w:rPr>
                <w:sz w:val="20"/>
                <w:szCs w:val="20"/>
                <w:color w:val="auto"/>
              </w:rPr>
            </w:pPr>
            <w:r>
              <w:rPr>
                <w:rFonts w:ascii="Arial" w:cs="Arial" w:eastAsia="Arial" w:hAnsi="Arial"/>
                <w:sz w:val="18"/>
                <w:szCs w:val="18"/>
                <w:color w:val="auto"/>
                <w:w w:val="93"/>
              </w:rPr>
              <w:t>Other current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(51,905)</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(51,905)</w:t>
            </w:r>
          </w:p>
        </w:tc>
      </w:tr>
      <w:tr>
        <w:trPr>
          <w:trHeight w:val="615"/>
        </w:trPr>
        <w:tc>
          <w:tcPr>
            <w:tcW w:w="2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8"/>
          </w:tcPr>
          <w:p>
            <w:pPr>
              <w:ind w:left="520"/>
              <w:spacing w:after="0"/>
              <w:rPr>
                <w:sz w:val="20"/>
                <w:szCs w:val="20"/>
                <w:color w:val="auto"/>
              </w:rPr>
            </w:pPr>
            <w:r>
              <w:rPr>
                <w:rFonts w:ascii="Arial" w:cs="Arial" w:eastAsia="Arial" w:hAnsi="Arial"/>
                <w:sz w:val="14"/>
                <w:szCs w:val="14"/>
                <w:b w:val="1"/>
                <w:bCs w:val="1"/>
                <w:color w:val="auto"/>
              </w:rPr>
              <w:t>As of December 31, 2019</w:t>
            </w: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77"/>
        </w:trPr>
        <w:tc>
          <w:tcPr>
            <w:tcW w:w="2980" w:type="dxa"/>
            <w:vAlign w:val="bottom"/>
            <w:gridSpan w:val="2"/>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gridSpan w:val="2"/>
          </w:tcPr>
          <w:p>
            <w:pPr>
              <w:ind w:left="240"/>
              <w:spacing w:after="0"/>
              <w:rPr>
                <w:sz w:val="20"/>
                <w:szCs w:val="20"/>
                <w:color w:val="auto"/>
              </w:rPr>
            </w:pPr>
            <w:r>
              <w:rPr>
                <w:rFonts w:ascii="Arial" w:cs="Arial" w:eastAsia="Arial" w:hAnsi="Arial"/>
                <w:sz w:val="14"/>
                <w:szCs w:val="14"/>
                <w:b w:val="1"/>
                <w:bCs w:val="1"/>
                <w:color w:val="auto"/>
                <w:w w:val="94"/>
              </w:rPr>
              <w:t>Balance Sheet Classification</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3"/>
          </w:tcPr>
          <w:p>
            <w:pPr>
              <w:ind w:left="260"/>
              <w:spacing w:after="0"/>
              <w:rPr>
                <w:sz w:val="20"/>
                <w:szCs w:val="20"/>
                <w:color w:val="auto"/>
              </w:rPr>
            </w:pPr>
            <w:r>
              <w:rPr>
                <w:rFonts w:ascii="Arial" w:cs="Arial" w:eastAsia="Arial" w:hAnsi="Arial"/>
                <w:sz w:val="14"/>
                <w:szCs w:val="14"/>
                <w:b w:val="1"/>
                <w:bCs w:val="1"/>
                <w:color w:val="auto"/>
              </w:rPr>
              <w:t>Level 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3"/>
          </w:tcPr>
          <w:p>
            <w:pPr>
              <w:ind w:left="160"/>
              <w:spacing w:after="0"/>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476"/>
              <w:spacing w:after="0"/>
              <w:rPr>
                <w:sz w:val="20"/>
                <w:szCs w:val="20"/>
                <w:color w:val="auto"/>
              </w:rPr>
            </w:pPr>
            <w:r>
              <w:rPr>
                <w:rFonts w:ascii="Arial" w:cs="Arial" w:eastAsia="Arial" w:hAnsi="Arial"/>
                <w:sz w:val="14"/>
                <w:szCs w:val="14"/>
                <w:b w:val="1"/>
                <w:bCs w:val="1"/>
                <w:color w:val="auto"/>
              </w:rPr>
              <w:t>Total</w:t>
            </w:r>
          </w:p>
        </w:tc>
      </w:tr>
      <w:tr>
        <w:trPr>
          <w:trHeight w:val="243"/>
        </w:trPr>
        <w:tc>
          <w:tcPr>
            <w:tcW w:w="29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27"/>
        </w:trPr>
        <w:tc>
          <w:tcPr>
            <w:tcW w:w="2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412"/>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8"/>
              </w:rPr>
              <w:t>Foreign currency exchange contracts</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60" w:type="dxa"/>
            <w:vAlign w:val="bottom"/>
            <w:tcBorders>
              <w:bottom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Other current assets</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54,765</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54,765</w:t>
            </w:r>
          </w:p>
        </w:tc>
      </w:tr>
      <w:tr>
        <w:trPr>
          <w:trHeight w:val="243"/>
        </w:trPr>
        <w:tc>
          <w:tcPr>
            <w:tcW w:w="298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2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405"/>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Foreign currency exchange contracts</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(41,935)</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(41,935)</w:t>
            </w:r>
          </w:p>
        </w:tc>
      </w:tr>
      <w:tr>
        <w:trPr>
          <w:trHeight w:val="27"/>
        </w:trPr>
        <w:tc>
          <w:tcPr>
            <w:tcW w:w="27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Other Fair Value Disclosures</w:t>
      </w:r>
    </w:p>
    <w:p>
      <w:pPr>
        <w:spacing w:after="0" w:line="11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 xml:space="preserve">The carrying amounts of cash and cash equivalents, trade accounts receivable, trade accounts payable and short-term debt obligations approximate fair values due to their short maturities. The carrying values of the Company’s revolving credit agreements approximate fair values because interest is based on LIBOR that resets at various intervals of less than one year. The Company estimates the fair value of the Convertible Notes using quoted prices in inactive markets for identical liabilities (Level 2). </w:t>
      </w:r>
      <w:r>
        <w:rPr>
          <w:rFonts w:ascii="Arial" w:cs="Arial" w:eastAsia="Arial" w:hAnsi="Arial"/>
          <w:sz w:val="17"/>
          <w:szCs w:val="17"/>
          <w:color w:val="252525"/>
        </w:rPr>
        <w:t>As of June 30, 2020,</w:t>
      </w:r>
      <w:r>
        <w:rPr>
          <w:rFonts w:ascii="Arial" w:cs="Arial" w:eastAsia="Arial" w:hAnsi="Arial"/>
          <w:sz w:val="17"/>
          <w:szCs w:val="17"/>
          <w:color w:val="auto"/>
        </w:rPr>
        <w:t xml:space="preserve"> the fair values of the Convertible Notes and Senior Notes were $647.2 million and $632.3 million, respectively, with carrying values of $444.5 million and $673.9 million,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 xml:space="preserve">Euronet’s reportable operating segments have been determined in accordance with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(“ASC 280”)</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currently operates in the following three reportable operating segments:</w:t>
      </w:r>
    </w:p>
    <w:p>
      <w:pPr>
        <w:spacing w:after="0" w:line="224" w:lineRule="exact"/>
        <w:rPr>
          <w:sz w:val="20"/>
          <w:szCs w:val="20"/>
          <w:color w:val="auto"/>
        </w:rPr>
      </w:pPr>
    </w:p>
    <w:p>
      <w:pPr>
        <w:ind w:left="1040" w:right="200" w:hanging="681"/>
        <w:spacing w:after="0" w:line="296" w:lineRule="auto"/>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Through the EFT Processing Segment, the Company processes transactions for a network of ATMs and POS terminals across Europe, the Middle East, Asia Pacific and the United States. The Company provides comprehensive electronic payment solutions consisting of ATM cash withdrawal services, ATM network participation, outsourced ATM and POS management solutions, credit and debit card outsourcing, dynamic currency conversion, domestic and international surcharges and other value added services. Through this segment, the Company also offers a suite of integrated electronic financial transaction software solutions for electronic payment and transaction delivery systems.</w:t>
      </w:r>
    </w:p>
    <w:p>
      <w:pPr>
        <w:spacing w:after="0" w:line="134" w:lineRule="exact"/>
        <w:rPr>
          <w:rFonts w:ascii="Arial" w:cs="Arial" w:eastAsia="Arial" w:hAnsi="Arial"/>
          <w:sz w:val="16"/>
          <w:szCs w:val="16"/>
          <w:color w:val="auto"/>
        </w:rPr>
      </w:pPr>
    </w:p>
    <w:p>
      <w:pPr>
        <w:ind w:left="1040" w:right="460" w:hanging="681"/>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 the epay Segment, the Company provides distribution, processing and collection services for prepaid mobile airtime and other electronic payment products in Europe, the Middle East, Asia Pacific, the U.S. and South America.</w:t>
      </w:r>
    </w:p>
    <w:p>
      <w:pPr>
        <w:spacing w:after="0" w:line="251" w:lineRule="exact"/>
        <w:rPr>
          <w:rFonts w:ascii="Arial" w:cs="Arial" w:eastAsia="Arial" w:hAnsi="Arial"/>
          <w:sz w:val="18"/>
          <w:szCs w:val="18"/>
          <w:color w:val="auto"/>
        </w:rPr>
      </w:pPr>
    </w:p>
    <w:p>
      <w:pPr>
        <w:ind w:left="1040" w:right="180" w:hanging="681"/>
        <w:spacing w:after="0" w:line="271"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Through the Money Transfer Segment, the Company provides global money transfer services under the brand names Ria, AFEX Money Express, IME, and xe. Ria, AFEX Money Express and IME provide global consumer-to-consumer money transfer services through a network of sending agents, Company-owned stores and Company-owned websites, disbursing money transfers through a worldwide correspondent network. xe offers account-to-account international payment services to high-income individuals and small-to-medium sized businesses. xe is also a provider of foreign currency exchange information. The Company also offers customers bill payment services, payment alternatives such as money orders and prepaid debit cards, comprehensive check cashing services, foreign currency exchange services and mobile top-up. Furthermore, xe provides cash management solutions and foreign currency risk management services to small-to-medium sized businesses.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 addition, the Company accounts for non-operating activity, share-based compensation expense, certain intersegment eliminations and the costs of providing corporate and other administrative services in its administrative division, “Corporate Services, Eliminations and Other.” These services are not directly identifiable with the Company’s reportable operating segments.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reportable segment results for the three and six months ended June 30, 2020 and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13"/>
          </w:tcPr>
          <w:p>
            <w:pPr>
              <w:jc w:val="center"/>
              <w:ind w:right="60"/>
              <w:spacing w:after="0"/>
              <w:rPr>
                <w:sz w:val="20"/>
                <w:szCs w:val="20"/>
                <w:color w:val="auto"/>
              </w:rPr>
            </w:pPr>
            <w:r>
              <w:rPr>
                <w:rFonts w:ascii="Arial" w:cs="Arial" w:eastAsia="Arial" w:hAnsi="Arial"/>
                <w:sz w:val="14"/>
                <w:szCs w:val="14"/>
                <w:b w:val="1"/>
                <w:bCs w:val="1"/>
                <w:color w:val="auto"/>
                <w:w w:val="93"/>
              </w:rPr>
              <w:t>For the Three Months Ended June 30, 2020</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Corporate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EFT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9"/>
              </w:rPr>
              <w:t>Money</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Services,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epay</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44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(in thousands)</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Processing</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Transfer</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6"/>
              </w:rPr>
              <w:t>and Other</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78,488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187,563</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262,863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(1,111)</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527,803</w:t>
            </w:r>
          </w:p>
        </w:tc>
        <w:tc>
          <w:tcPr>
            <w:tcW w:w="0" w:type="dxa"/>
            <w:vAlign w:val="bottom"/>
          </w:tcPr>
          <w:p>
            <w:pPr>
              <w:spacing w:after="0"/>
              <w:rPr>
                <w:sz w:val="1"/>
                <w:szCs w:val="1"/>
                <w:color w:val="auto"/>
              </w:rPr>
            </w:pPr>
          </w:p>
        </w:tc>
      </w:tr>
      <w:tr>
        <w:trPr>
          <w:trHeight w:val="237"/>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62,465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144,056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144,589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350,011</w:t>
            </w:r>
          </w:p>
        </w:tc>
        <w:tc>
          <w:tcPr>
            <w:tcW w:w="0" w:type="dxa"/>
            <w:vAlign w:val="bottom"/>
          </w:tcPr>
          <w:p>
            <w:pPr>
              <w:spacing w:after="0"/>
              <w:rPr>
                <w:sz w:val="1"/>
                <w:szCs w:val="1"/>
                <w:color w:val="auto"/>
              </w:rPr>
            </w:pPr>
          </w:p>
        </w:tc>
      </w:tr>
      <w:tr>
        <w:trPr>
          <w:trHeight w:val="243"/>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3"/>
          </w:tcPr>
          <w:p>
            <w:pPr>
              <w:jc w:val="right"/>
              <w:ind w:right="10"/>
              <w:spacing w:after="0"/>
              <w:rPr>
                <w:sz w:val="20"/>
                <w:szCs w:val="20"/>
                <w:color w:val="auto"/>
              </w:rPr>
            </w:pPr>
            <w:r>
              <w:rPr>
                <w:rFonts w:ascii="Arial" w:cs="Arial" w:eastAsia="Arial" w:hAnsi="Arial"/>
                <w:sz w:val="18"/>
                <w:szCs w:val="18"/>
                <w:color w:val="auto"/>
              </w:rPr>
              <w:t>21,289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4"/>
          </w:tcPr>
          <w:p>
            <w:pPr>
              <w:jc w:val="right"/>
              <w:ind w:right="10"/>
              <w:spacing w:after="0"/>
              <w:rPr>
                <w:sz w:val="20"/>
                <w:szCs w:val="20"/>
                <w:color w:val="auto"/>
              </w:rPr>
            </w:pPr>
            <w:r>
              <w:rPr>
                <w:rFonts w:ascii="Arial" w:cs="Arial" w:eastAsia="Arial" w:hAnsi="Arial"/>
                <w:sz w:val="18"/>
                <w:szCs w:val="18"/>
                <w:color w:val="auto"/>
              </w:rPr>
              <w:t>15,191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3"/>
          </w:tcPr>
          <w:p>
            <w:pPr>
              <w:jc w:val="right"/>
              <w:ind w:right="30"/>
              <w:spacing w:after="0"/>
              <w:rPr>
                <w:sz w:val="20"/>
                <w:szCs w:val="20"/>
                <w:color w:val="auto"/>
              </w:rPr>
            </w:pPr>
            <w:r>
              <w:rPr>
                <w:rFonts w:ascii="Arial" w:cs="Arial" w:eastAsia="Arial" w:hAnsi="Arial"/>
                <w:sz w:val="18"/>
                <w:szCs w:val="18"/>
                <w:color w:val="auto"/>
              </w:rPr>
              <w:t>49,059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5,413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90,952</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9,515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8,635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33,172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53,315</w:t>
            </w:r>
          </w:p>
        </w:tc>
        <w:tc>
          <w:tcPr>
            <w:tcW w:w="0" w:type="dxa"/>
            <w:vAlign w:val="bottom"/>
          </w:tcPr>
          <w:p>
            <w:pPr>
              <w:spacing w:after="0"/>
              <w:rPr>
                <w:sz w:val="1"/>
                <w:szCs w:val="1"/>
                <w:color w:val="auto"/>
              </w:rPr>
            </w:pPr>
          </w:p>
        </w:tc>
      </w:tr>
      <w:tr>
        <w:trPr>
          <w:trHeight w:val="243"/>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Goodwill impairment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3"/>
          </w:tcPr>
          <w:p>
            <w:pPr>
              <w:jc w:val="right"/>
              <w:ind w:right="10"/>
              <w:spacing w:after="0"/>
              <w:rPr>
                <w:sz w:val="20"/>
                <w:szCs w:val="20"/>
                <w:color w:val="auto"/>
              </w:rPr>
            </w:pPr>
            <w:r>
              <w:rPr>
                <w:rFonts w:ascii="Arial" w:cs="Arial" w:eastAsia="Arial" w:hAnsi="Arial"/>
                <w:sz w:val="18"/>
                <w:szCs w:val="18"/>
                <w:color w:val="auto"/>
              </w:rPr>
              <w:t>21,861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3"/>
          </w:tcPr>
          <w:p>
            <w:pPr>
              <w:jc w:val="right"/>
              <w:ind w:right="30"/>
              <w:spacing w:after="0"/>
              <w:rPr>
                <w:sz w:val="20"/>
                <w:szCs w:val="20"/>
                <w:color w:val="auto"/>
              </w:rPr>
            </w:pPr>
            <w:r>
              <w:rPr>
                <w:rFonts w:ascii="Arial" w:cs="Arial" w:eastAsia="Arial" w:hAnsi="Arial"/>
                <w:sz w:val="18"/>
                <w:szCs w:val="18"/>
                <w:color w:val="auto"/>
              </w:rPr>
              <w:t>82,693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104,554</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19,934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1,651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8,577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30,242</w:t>
            </w:r>
          </w:p>
        </w:tc>
        <w:tc>
          <w:tcPr>
            <w:tcW w:w="0" w:type="dxa"/>
            <w:vAlign w:val="bottom"/>
          </w:tcPr>
          <w:p>
            <w:pPr>
              <w:spacing w:after="0"/>
              <w:rPr>
                <w:sz w:val="1"/>
                <w:szCs w:val="1"/>
                <w:color w:val="auto"/>
              </w:rPr>
            </w:pPr>
          </w:p>
        </w:tc>
      </w:tr>
      <w:tr>
        <w:trPr>
          <w:trHeight w:val="237"/>
        </w:trPr>
        <w:tc>
          <w:tcPr>
            <w:tcW w:w="444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135,064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169,533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318,090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6,387</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629,074</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(expense)</w:t>
            </w:r>
          </w:p>
        </w:tc>
        <w:tc>
          <w:tcPr>
            <w:tcW w:w="180" w:type="dxa"/>
            <w:vAlign w:val="bottom"/>
            <w:tcBorders>
              <w:bottom w:val="single" w:sz="8" w:color="CCEEFF"/>
            </w:tcBorders>
            <w:gridSpan w:val="2"/>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(56,576)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18,030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(55,227)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(7,498)</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(101,271)</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13"/>
          </w:tcPr>
          <w:p>
            <w:pPr>
              <w:jc w:val="right"/>
              <w:ind w:right="660"/>
              <w:spacing w:after="0"/>
              <w:rPr>
                <w:sz w:val="20"/>
                <w:szCs w:val="20"/>
                <w:color w:val="auto"/>
              </w:rPr>
            </w:pPr>
            <w:r>
              <w:rPr>
                <w:rFonts w:ascii="Arial" w:cs="Arial" w:eastAsia="Arial" w:hAnsi="Arial"/>
                <w:sz w:val="14"/>
                <w:szCs w:val="14"/>
                <w:b w:val="1"/>
                <w:bCs w:val="1"/>
                <w:color w:val="auto"/>
              </w:rPr>
              <w:t>For the Three Months Ended June 30, 2019</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tcPr>
          <w:p>
            <w:pPr>
              <w:jc w:val="center"/>
              <w:ind w:right="540"/>
              <w:spacing w:after="0" w:line="153" w:lineRule="exact"/>
              <w:rPr>
                <w:sz w:val="20"/>
                <w:szCs w:val="20"/>
                <w:color w:val="auto"/>
              </w:rPr>
            </w:pPr>
            <w:r>
              <w:rPr>
                <w:rFonts w:ascii="Arial" w:cs="Arial" w:eastAsia="Arial" w:hAnsi="Arial"/>
                <w:sz w:val="14"/>
                <w:szCs w:val="14"/>
                <w:b w:val="1"/>
                <w:bCs w:val="1"/>
                <w:color w:val="auto"/>
                <w:w w:val="95"/>
              </w:rPr>
              <w:t>Corporate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EFT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Money</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Services,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w w:val="93"/>
              </w:rPr>
              <w:t>epay</w:t>
            </w:r>
          </w:p>
        </w:tc>
        <w:tc>
          <w:tcPr>
            <w:tcW w:w="4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92"/>
        </w:trPr>
        <w:tc>
          <w:tcPr>
            <w:tcW w:w="4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Processing</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Transfer</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74"/>
              <w:spacing w:after="0"/>
              <w:rPr>
                <w:sz w:val="20"/>
                <w:szCs w:val="20"/>
                <w:color w:val="auto"/>
              </w:rPr>
            </w:pPr>
            <w:r>
              <w:rPr>
                <w:rFonts w:ascii="Arial" w:cs="Arial" w:eastAsia="Arial" w:hAnsi="Arial"/>
                <w:sz w:val="14"/>
                <w:szCs w:val="14"/>
                <w:b w:val="1"/>
                <w:bCs w:val="1"/>
                <w:color w:val="auto"/>
                <w:w w:val="96"/>
              </w:rPr>
              <w:t>and Other</w:t>
            </w:r>
          </w:p>
        </w:tc>
        <w:tc>
          <w:tcPr>
            <w:tcW w:w="18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231,946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184,160</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276,783</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(1,022)</w:t>
            </w:r>
          </w:p>
        </w:tc>
        <w:tc>
          <w:tcPr>
            <w:tcW w:w="1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691,867</w:t>
            </w:r>
          </w:p>
        </w:tc>
        <w:tc>
          <w:tcPr>
            <w:tcW w:w="0" w:type="dxa"/>
            <w:vAlign w:val="bottom"/>
          </w:tcPr>
          <w:p>
            <w:pPr>
              <w:spacing w:after="0"/>
              <w:rPr>
                <w:sz w:val="1"/>
                <w:szCs w:val="1"/>
                <w:color w:val="auto"/>
              </w:rPr>
            </w:pPr>
          </w:p>
        </w:tc>
      </w:tr>
      <w:tr>
        <w:trPr>
          <w:trHeight w:val="237"/>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105,568</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140,427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148,834</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(1,018)</w:t>
            </w: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393,811</w:t>
            </w:r>
          </w:p>
        </w:tc>
        <w:tc>
          <w:tcPr>
            <w:tcW w:w="0" w:type="dxa"/>
            <w:vAlign w:val="bottom"/>
          </w:tcPr>
          <w:p>
            <w:pPr>
              <w:spacing w:after="0"/>
              <w:rPr>
                <w:sz w:val="1"/>
                <w:szCs w:val="1"/>
                <w:color w:val="auto"/>
              </w:rPr>
            </w:pPr>
          </w:p>
        </w:tc>
      </w:tr>
      <w:tr>
        <w:trPr>
          <w:trHeight w:val="243"/>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21,339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14,998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52,713</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74"/>
              <w:spacing w:after="0"/>
              <w:rPr>
                <w:sz w:val="20"/>
                <w:szCs w:val="20"/>
                <w:color w:val="auto"/>
              </w:rPr>
            </w:pPr>
            <w:r>
              <w:rPr>
                <w:rFonts w:ascii="Arial" w:cs="Arial" w:eastAsia="Arial" w:hAnsi="Arial"/>
                <w:sz w:val="18"/>
                <w:szCs w:val="18"/>
                <w:color w:val="auto"/>
              </w:rPr>
              <w:t>9,500</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98,550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10,745</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31,731</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1,942</w:t>
            </w: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53,842</w:t>
            </w:r>
          </w:p>
        </w:tc>
        <w:tc>
          <w:tcPr>
            <w:tcW w:w="0" w:type="dxa"/>
            <w:vAlign w:val="bottom"/>
          </w:tcPr>
          <w:p>
            <w:pPr>
              <w:spacing w:after="0"/>
              <w:rPr>
                <w:sz w:val="1"/>
                <w:szCs w:val="1"/>
                <w:color w:val="auto"/>
              </w:rPr>
            </w:pPr>
          </w:p>
        </w:tc>
      </w:tr>
      <w:tr>
        <w:trPr>
          <w:trHeight w:val="243"/>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17,778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1,756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8,159</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74"/>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27,767</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155,430</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166,605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241,437</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10,498</w:t>
            </w: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573,970</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44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76,516</w:t>
            </w:r>
          </w:p>
        </w:tc>
        <w:tc>
          <w:tcPr>
            <w:tcW w:w="16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17,555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35,346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(11,520)</w:t>
            </w:r>
          </w:p>
        </w:tc>
        <w:tc>
          <w:tcPr>
            <w:tcW w:w="180" w:type="dxa"/>
            <w:vAlign w:val="bottom"/>
          </w:tcPr>
          <w:p>
            <w:pPr>
              <w:spacing w:after="0"/>
              <w:rPr>
                <w:sz w:val="22"/>
                <w:szCs w:val="22"/>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117,897</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2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4"/>
                <w:szCs w:val="14"/>
                <w:b w:val="1"/>
                <w:bCs w:val="1"/>
                <w:color w:val="auto"/>
                <w:w w:val="93"/>
              </w:rPr>
              <w:t>For the Six Months Ended June 30, 2020</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Money</w:t>
            </w:r>
          </w:p>
        </w:tc>
        <w:tc>
          <w:tcPr>
            <w:tcW w:w="16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60" w:type="dxa"/>
            <w:vAlign w:val="bottom"/>
          </w:tcPr>
          <w:p>
            <w:pPr>
              <w:spacing w:after="0"/>
              <w:rPr>
                <w:sz w:val="12"/>
                <w:szCs w:val="12"/>
                <w:color w:val="auto"/>
              </w:rPr>
            </w:pPr>
          </w:p>
        </w:tc>
        <w:tc>
          <w:tcPr>
            <w:tcW w:w="10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4"/>
              </w:rPr>
              <w:t>Processing</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3"/>
              </w:rPr>
              <w:t>and Other</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224,313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360,474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529,097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(2,174)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1,111,710</w:t>
            </w:r>
          </w:p>
        </w:tc>
        <w:tc>
          <w:tcPr>
            <w:tcW w:w="0" w:type="dxa"/>
            <w:vAlign w:val="bottom"/>
          </w:tcPr>
          <w:p>
            <w:pPr>
              <w:spacing w:after="0"/>
              <w:rPr>
                <w:sz w:val="1"/>
                <w:szCs w:val="1"/>
                <w:color w:val="auto"/>
              </w:rPr>
            </w:pPr>
          </w:p>
        </w:tc>
      </w:tr>
      <w:tr>
        <w:trPr>
          <w:trHeight w:val="237"/>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150,001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274,130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287,498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709,467</w:t>
            </w:r>
          </w:p>
        </w:tc>
        <w:tc>
          <w:tcPr>
            <w:tcW w:w="0" w:type="dxa"/>
            <w:vAlign w:val="bottom"/>
          </w:tcPr>
          <w:p>
            <w:pPr>
              <w:spacing w:after="0"/>
              <w:rPr>
                <w:sz w:val="1"/>
                <w:szCs w:val="1"/>
                <w:color w:val="auto"/>
              </w:rPr>
            </w:pPr>
          </w:p>
        </w:tc>
      </w:tr>
      <w:tr>
        <w:trPr>
          <w:trHeight w:val="243"/>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43,380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30,888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102,923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15,001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192,192</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20,456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17,473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71,754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114,108</w:t>
            </w:r>
          </w:p>
        </w:tc>
        <w:tc>
          <w:tcPr>
            <w:tcW w:w="0" w:type="dxa"/>
            <w:vAlign w:val="bottom"/>
          </w:tcPr>
          <w:p>
            <w:pPr>
              <w:spacing w:after="0"/>
              <w:rPr>
                <w:sz w:val="1"/>
                <w:szCs w:val="1"/>
                <w:color w:val="auto"/>
              </w:rPr>
            </w:pPr>
          </w:p>
        </w:tc>
      </w:tr>
      <w:tr>
        <w:trPr>
          <w:trHeight w:val="243"/>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Goodwill impairment</w:t>
            </w:r>
          </w:p>
        </w:tc>
        <w:tc>
          <w:tcPr>
            <w:tcW w:w="2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21,861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82,693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104,554</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40,256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3,495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17,148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61,058</w:t>
            </w:r>
          </w:p>
        </w:tc>
        <w:tc>
          <w:tcPr>
            <w:tcW w:w="0" w:type="dxa"/>
            <w:vAlign w:val="bottom"/>
          </w:tcPr>
          <w:p>
            <w:pPr>
              <w:spacing w:after="0"/>
              <w:rPr>
                <w:sz w:val="1"/>
                <w:szCs w:val="1"/>
                <w:color w:val="auto"/>
              </w:rPr>
            </w:pPr>
          </w:p>
        </w:tc>
      </w:tr>
      <w:tr>
        <w:trPr>
          <w:trHeight w:val="237"/>
        </w:trPr>
        <w:tc>
          <w:tcPr>
            <w:tcW w:w="462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275,954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325,986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562,016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17,423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1,181,379</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(51,641)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34,488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(32,919)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(19,597)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(69,669)</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4"/>
                <w:szCs w:val="14"/>
                <w:b w:val="1"/>
                <w:bCs w:val="1"/>
                <w:color w:val="auto"/>
                <w:w w:val="93"/>
              </w:rPr>
              <w:t>For the Six Months Ended June 30, 2019</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4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center"/>
              <w:ind w:right="300"/>
              <w:spacing w:after="0" w:line="125" w:lineRule="exact"/>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Money</w:t>
            </w:r>
          </w:p>
        </w:tc>
        <w:tc>
          <w:tcPr>
            <w:tcW w:w="16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60" w:type="dxa"/>
            <w:vAlign w:val="bottom"/>
          </w:tcPr>
          <w:p>
            <w:pPr>
              <w:spacing w:after="0"/>
              <w:rPr>
                <w:sz w:val="12"/>
                <w:szCs w:val="12"/>
                <w:color w:val="auto"/>
              </w:rPr>
            </w:pPr>
          </w:p>
        </w:tc>
        <w:tc>
          <w:tcPr>
            <w:tcW w:w="10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71"/>
        </w:trPr>
        <w:tc>
          <w:tcPr>
            <w:tcW w:w="4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4"/>
              </w:rPr>
              <w:t>Processing</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3"/>
              </w:rPr>
              <w:t>and Other</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377,649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360,274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533,364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1,269,376</w:t>
            </w:r>
          </w:p>
        </w:tc>
        <w:tc>
          <w:tcPr>
            <w:tcW w:w="0" w:type="dxa"/>
            <w:vAlign w:val="bottom"/>
          </w:tcPr>
          <w:p>
            <w:pPr>
              <w:spacing w:after="0"/>
              <w:rPr>
                <w:sz w:val="1"/>
                <w:szCs w:val="1"/>
                <w:color w:val="auto"/>
              </w:rPr>
            </w:pPr>
          </w:p>
        </w:tc>
      </w:tr>
      <w:tr>
        <w:trPr>
          <w:trHeight w:val="237"/>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189,344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273,952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286,238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747,644</w:t>
            </w:r>
          </w:p>
        </w:tc>
        <w:tc>
          <w:tcPr>
            <w:tcW w:w="0" w:type="dxa"/>
            <w:vAlign w:val="bottom"/>
          </w:tcPr>
          <w:p>
            <w:pPr>
              <w:spacing w:after="0"/>
              <w:rPr>
                <w:sz w:val="1"/>
                <w:szCs w:val="1"/>
                <w:color w:val="auto"/>
              </w:rPr>
            </w:pPr>
          </w:p>
        </w:tc>
      </w:tr>
      <w:tr>
        <w:trPr>
          <w:trHeight w:val="243"/>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40,770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29,751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103,869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16,955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191,345</w:t>
            </w:r>
          </w:p>
        </w:tc>
        <w:tc>
          <w:tcPr>
            <w:tcW w:w="0" w:type="dxa"/>
            <w:vAlign w:val="bottom"/>
          </w:tcPr>
          <w:p>
            <w:pPr>
              <w:spacing w:after="0"/>
              <w:rPr>
                <w:sz w:val="1"/>
                <w:szCs w:val="1"/>
                <w:color w:val="auto"/>
              </w:rPr>
            </w:pPr>
          </w:p>
        </w:tc>
      </w:tr>
      <w:tr>
        <w:trPr>
          <w:trHeight w:val="27"/>
        </w:trPr>
        <w:tc>
          <w:tcPr>
            <w:tcW w:w="46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19,831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17,476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60,840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101,989</w:t>
            </w:r>
          </w:p>
        </w:tc>
        <w:tc>
          <w:tcPr>
            <w:tcW w:w="0" w:type="dxa"/>
            <w:vAlign w:val="bottom"/>
          </w:tcPr>
          <w:p>
            <w:pPr>
              <w:spacing w:after="0"/>
              <w:rPr>
                <w:sz w:val="1"/>
                <w:szCs w:val="1"/>
                <w:color w:val="auto"/>
              </w:rPr>
            </w:pPr>
          </w:p>
        </w:tc>
      </w:tr>
      <w:tr>
        <w:trPr>
          <w:trHeight w:val="243"/>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34,420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3,541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16,297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54,407</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284,365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324,720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467,244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19,056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1,095,385</w:t>
            </w:r>
          </w:p>
        </w:tc>
        <w:tc>
          <w:tcPr>
            <w:tcW w:w="0" w:type="dxa"/>
            <w:vAlign w:val="bottom"/>
          </w:tcPr>
          <w:p>
            <w:pPr>
              <w:spacing w:after="0"/>
              <w:rPr>
                <w:sz w:val="1"/>
                <w:szCs w:val="1"/>
                <w:color w:val="auto"/>
              </w:rPr>
            </w:pPr>
          </w:p>
        </w:tc>
      </w:tr>
      <w:tr>
        <w:trPr>
          <w:trHeight w:val="257"/>
        </w:trPr>
        <w:tc>
          <w:tcPr>
            <w:tcW w:w="462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93,284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35,554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66,120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(20,967)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173,991</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total assets by reportable segment: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93"/>
              <w:spacing w:after="0"/>
              <w:rPr>
                <w:sz w:val="20"/>
                <w:szCs w:val="20"/>
                <w:color w:val="auto"/>
              </w:rPr>
            </w:pPr>
            <w:r>
              <w:rPr>
                <w:rFonts w:ascii="Arial" w:cs="Arial" w:eastAsia="Arial" w:hAnsi="Arial"/>
                <w:sz w:val="14"/>
                <w:szCs w:val="14"/>
                <w:b w:val="1"/>
                <w:bCs w:val="1"/>
                <w:color w:val="auto"/>
              </w:rPr>
              <w:t>Total Assets as of</w:t>
            </w:r>
          </w:p>
        </w:tc>
        <w:tc>
          <w:tcPr>
            <w:tcW w:w="0" w:type="dxa"/>
            <w:vAlign w:val="bottom"/>
          </w:tcPr>
          <w:p>
            <w:pPr>
              <w:spacing w:after="0"/>
              <w:rPr>
                <w:sz w:val="1"/>
                <w:szCs w:val="1"/>
                <w:color w:val="auto"/>
              </w:rPr>
            </w:pPr>
          </w:p>
        </w:tc>
      </w:tr>
      <w:tr>
        <w:trPr>
          <w:trHeight w:val="250"/>
        </w:trPr>
        <w:tc>
          <w:tcPr>
            <w:tcW w:w="436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3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Pr>
          <w:p>
            <w:pPr>
              <w:spacing w:after="0"/>
              <w:rPr>
                <w:sz w:val="21"/>
                <w:szCs w:val="21"/>
                <w:color w:val="auto"/>
              </w:rPr>
            </w:pPr>
          </w:p>
        </w:tc>
        <w:tc>
          <w:tcPr>
            <w:tcW w:w="1300" w:type="dxa"/>
            <w:vAlign w:val="bottom"/>
          </w:tcPr>
          <w:p>
            <w:pPr>
              <w:jc w:val="right"/>
              <w:ind w:right="53"/>
              <w:spacing w:after="0"/>
              <w:rPr>
                <w:sz w:val="20"/>
                <w:szCs w:val="20"/>
                <w:color w:val="auto"/>
              </w:rPr>
            </w:pPr>
            <w:r>
              <w:rPr>
                <w:rFonts w:ascii="Arial" w:cs="Arial" w:eastAsia="Arial" w:hAnsi="Arial"/>
                <w:sz w:val="14"/>
                <w:szCs w:val="14"/>
                <w:b w:val="1"/>
                <w:bCs w:val="1"/>
                <w:color w:val="auto"/>
                <w:w w:val="90"/>
              </w:rPr>
              <w:t>December 31, 2019</w:t>
            </w:r>
          </w:p>
        </w:tc>
        <w:tc>
          <w:tcPr>
            <w:tcW w:w="0" w:type="dxa"/>
            <w:vAlign w:val="bottom"/>
          </w:tcPr>
          <w:p>
            <w:pPr>
              <w:spacing w:after="0"/>
              <w:rPr>
                <w:sz w:val="1"/>
                <w:szCs w:val="1"/>
                <w:color w:val="auto"/>
              </w:rPr>
            </w:pPr>
          </w:p>
        </w:tc>
      </w:tr>
      <w:tr>
        <w:trPr>
          <w:trHeight w:val="250"/>
        </w:trPr>
        <w:tc>
          <w:tcPr>
            <w:tcW w:w="43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404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1,394,600</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1,914,144</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epay</w:t>
            </w:r>
          </w:p>
        </w:tc>
        <w:tc>
          <w:tcPr>
            <w:tcW w:w="3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801,003</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962,671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3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1,517,809</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1,560,136</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Corporate Services, Eliminations and Other</w:t>
            </w:r>
          </w:p>
        </w:tc>
        <w:tc>
          <w:tcPr>
            <w:tcW w:w="3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248,123</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220,715</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4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3,961,535</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4,657,666</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Arial" w:cs="Arial" w:eastAsia="Arial" w:hAnsi="Arial"/>
                <w:sz w:val="18"/>
                <w:szCs w:val="18"/>
                <w:color w:val="auto"/>
              </w:rPr>
              <w:t>18</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60" w:type="dxa"/>
            <w:vAlign w:val="bottom"/>
          </w:tcPr>
          <w:p>
            <w:pPr>
              <w:spacing w:after="0"/>
              <w:rPr>
                <w:sz w:val="20"/>
                <w:szCs w:val="20"/>
                <w:color w:val="auto"/>
              </w:rPr>
            </w:pPr>
          </w:p>
        </w:tc>
        <w:tc>
          <w:tcPr>
            <w:tcW w:w="38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4360" w:type="dxa"/>
            <w:vAlign w:val="bottom"/>
            <w:tcBorders>
              <w:bottom w:val="single" w:sz="8" w:color="auto"/>
            </w:tcBorders>
          </w:tcPr>
          <w:p>
            <w:pPr>
              <w:spacing w:after="0"/>
              <w:rPr>
                <w:sz w:val="11"/>
                <w:szCs w:val="11"/>
                <w:color w:val="auto"/>
              </w:rPr>
            </w:pPr>
          </w:p>
        </w:tc>
        <w:tc>
          <w:tcPr>
            <w:tcW w:w="38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following table presents the Company's revenues disaggregated by segment and region. Sales and usage-based taxes are excluded from revenues. The Company believes disaggregation by segment and region best depicts how the nature, amount, timing, and uncertainty of revenue and cash flows are affected by economic factors. The disaggregation of revenues by segment and region is based on management's assessment of segment performance together with allocation of financial resources, both capital and operating support costs, on a segment and regional level. Both segments and regions benefit from synergies achieved through concentration of operations and are influenced by macro-economic, regulatory and political factors in the respective segment and region.</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13"/>
          </w:tcPr>
          <w:p>
            <w:pPr>
              <w:jc w:val="right"/>
              <w:spacing w:after="0"/>
              <w:rPr>
                <w:sz w:val="20"/>
                <w:szCs w:val="20"/>
                <w:color w:val="auto"/>
              </w:rPr>
            </w:pPr>
            <w:r>
              <w:rPr>
                <w:rFonts w:ascii="Arial" w:cs="Arial" w:eastAsia="Arial" w:hAnsi="Arial"/>
                <w:sz w:val="14"/>
                <w:szCs w:val="14"/>
                <w:b w:val="1"/>
                <w:bCs w:val="1"/>
                <w:color w:val="auto"/>
              </w:rPr>
              <w:t>For the Three Months Ended June 30, 2020</w:t>
            </w: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14"/>
          </w:tcPr>
          <w:p>
            <w:pPr>
              <w:jc w:val="right"/>
              <w:ind w:right="40"/>
              <w:spacing w:after="0"/>
              <w:rPr>
                <w:sz w:val="20"/>
                <w:szCs w:val="20"/>
                <w:color w:val="auto"/>
              </w:rPr>
            </w:pPr>
            <w:r>
              <w:rPr>
                <w:rFonts w:ascii="Arial" w:cs="Arial" w:eastAsia="Arial" w:hAnsi="Arial"/>
                <w:sz w:val="14"/>
                <w:szCs w:val="14"/>
                <w:b w:val="1"/>
                <w:bCs w:val="1"/>
                <w:color w:val="auto"/>
                <w:w w:val="92"/>
              </w:rPr>
              <w:t>For the Six Months Ended June 30, 2020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4"/>
          </w:tcPr>
          <w:p>
            <w:pPr>
              <w:jc w:val="center"/>
              <w:ind w:right="260"/>
              <w:spacing w:after="0" w:line="153" w:lineRule="exact"/>
              <w:rPr>
                <w:sz w:val="20"/>
                <w:szCs w:val="20"/>
                <w:color w:val="auto"/>
              </w:rPr>
            </w:pPr>
            <w:r>
              <w:rPr>
                <w:rFonts w:ascii="Arial" w:cs="Arial" w:eastAsia="Arial" w:hAnsi="Arial"/>
                <w:sz w:val="14"/>
                <w:szCs w:val="14"/>
                <w:b w:val="1"/>
                <w:bCs w:val="1"/>
                <w:color w:val="auto"/>
              </w:rPr>
              <w:t>EFT</w:t>
            </w:r>
          </w:p>
        </w:tc>
        <w:tc>
          <w:tcPr>
            <w:tcW w:w="220" w:type="dxa"/>
            <w:vAlign w:val="bottom"/>
          </w:tcPr>
          <w:p>
            <w:pPr>
              <w:spacing w:after="0"/>
              <w:rPr>
                <w:sz w:val="13"/>
                <w:szCs w:val="13"/>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epay</w:t>
            </w:r>
          </w:p>
        </w:tc>
        <w:tc>
          <w:tcPr>
            <w:tcW w:w="10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Money</w:t>
            </w:r>
          </w:p>
        </w:tc>
        <w:tc>
          <w:tcPr>
            <w:tcW w:w="220" w:type="dxa"/>
            <w:vAlign w:val="bottom"/>
          </w:tcPr>
          <w:p>
            <w:pPr>
              <w:spacing w:after="0"/>
              <w:rPr>
                <w:sz w:val="13"/>
                <w:szCs w:val="13"/>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195"/>
              <w:spacing w:after="0" w:line="153" w:lineRule="exact"/>
              <w:rPr>
                <w:sz w:val="20"/>
                <w:szCs w:val="20"/>
                <w:color w:val="auto"/>
              </w:rPr>
            </w:pPr>
            <w:r>
              <w:rPr>
                <w:rFonts w:ascii="Arial" w:cs="Arial" w:eastAsia="Arial" w:hAnsi="Arial"/>
                <w:sz w:val="14"/>
                <w:szCs w:val="14"/>
                <w:b w:val="1"/>
                <w:bCs w:val="1"/>
                <w:color w:val="auto"/>
              </w:rPr>
              <w:t>EFT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epay</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4"/>
              </w:rPr>
              <w:t>Money</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gridSpan w:val="2"/>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gridSpan w:val="2"/>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0"/>
              </w:rPr>
              <w:t>Processing</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6"/>
              </w:rPr>
              <w:t>Transfer</w:t>
            </w: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0" w:type="dxa"/>
            <w:vAlign w:val="bottom"/>
            <w:shd w:val="clear" w:color="auto" w:fill="CCEEFF"/>
          </w:tcPr>
          <w:p>
            <w:pPr>
              <w:spacing w:after="0"/>
              <w:rPr>
                <w:sz w:val="23"/>
                <w:szCs w:val="23"/>
                <w:color w:val="auto"/>
              </w:rPr>
            </w:pPr>
          </w:p>
        </w:tc>
        <w:tc>
          <w:tcPr>
            <w:tcW w:w="2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44,927</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122,675</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98,730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266,332</w:t>
            </w:r>
          </w:p>
        </w:tc>
        <w:tc>
          <w:tcPr>
            <w:tcW w:w="20" w:type="dxa"/>
            <w:vAlign w:val="bottom"/>
            <w:shd w:val="clear" w:color="auto" w:fill="CCEEFF"/>
          </w:tcPr>
          <w:p>
            <w:pPr>
              <w:spacing w:after="0"/>
              <w:rPr>
                <w:sz w:val="23"/>
                <w:szCs w:val="23"/>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144,401</w:t>
            </w:r>
          </w:p>
        </w:tc>
        <w:tc>
          <w:tcPr>
            <w:tcW w:w="4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237,952</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189,788</w:t>
            </w:r>
          </w:p>
        </w:tc>
        <w:tc>
          <w:tcPr>
            <w:tcW w:w="40" w:type="dxa"/>
            <w:vAlign w:val="bottom"/>
            <w:shd w:val="clear" w:color="auto" w:fill="CCEEFF"/>
          </w:tcPr>
          <w:p>
            <w:pPr>
              <w:spacing w:after="0"/>
              <w:rPr>
                <w:sz w:val="23"/>
                <w:szCs w:val="23"/>
                <w:color w:val="auto"/>
              </w:rPr>
            </w:pPr>
          </w:p>
        </w:tc>
        <w:tc>
          <w:tcPr>
            <w:tcW w:w="2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572,141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360" w:type="dxa"/>
            <w:vAlign w:val="bottom"/>
            <w:gridSpan w:val="3"/>
          </w:tcPr>
          <w:p>
            <w:pPr>
              <w:ind w:left="20"/>
              <w:spacing w:after="0"/>
              <w:rPr>
                <w:sz w:val="20"/>
                <w:szCs w:val="20"/>
                <w:color w:val="auto"/>
              </w:rPr>
            </w:pPr>
            <w:r>
              <w:rPr>
                <w:rFonts w:ascii="Arial" w:cs="Arial" w:eastAsia="Arial" w:hAnsi="Arial"/>
                <w:sz w:val="18"/>
                <w:szCs w:val="18"/>
                <w:color w:val="auto"/>
              </w:rPr>
              <w:t>North America</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13,123</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36,106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132,891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182,120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28,142</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69,958</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270,786</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368,886</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20,438</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22,782</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26,232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69,452</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51,766</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42,056</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57,080</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150,902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360" w:type="dxa"/>
            <w:vAlign w:val="bottom"/>
            <w:gridSpan w:val="3"/>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3"/>
                <w:szCs w:val="23"/>
                <w:color w:val="auto"/>
              </w:rPr>
            </w:pPr>
          </w:p>
        </w:tc>
        <w:tc>
          <w:tcPr>
            <w:tcW w:w="10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6,000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5,010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11,010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10,508</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11,443</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21,955</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(1,111)</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(2,174)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360" w:type="dxa"/>
            <w:vAlign w:val="bottom"/>
            <w:gridSpan w:val="3"/>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78,488</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187,563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262,863</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527,803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224,313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360,474</w:t>
            </w: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529,097</w:t>
            </w:r>
          </w:p>
        </w:tc>
        <w:tc>
          <w:tcPr>
            <w:tcW w:w="40" w:type="dxa"/>
            <w:vAlign w:val="bottom"/>
          </w:tcPr>
          <w:p>
            <w:pPr>
              <w:spacing w:after="0"/>
              <w:rPr>
                <w:sz w:val="22"/>
                <w:szCs w:val="22"/>
                <w:color w:val="auto"/>
              </w:rPr>
            </w:pPr>
          </w:p>
        </w:tc>
        <w:tc>
          <w:tcPr>
            <w:tcW w:w="24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w w:val="92"/>
              </w:rPr>
              <w:t>1,111,710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gridSpan w:val="13"/>
          </w:tcPr>
          <w:p>
            <w:pPr>
              <w:jc w:val="right"/>
              <w:ind w:right="10"/>
              <w:spacing w:after="0"/>
              <w:rPr>
                <w:sz w:val="20"/>
                <w:szCs w:val="20"/>
                <w:color w:val="auto"/>
              </w:rPr>
            </w:pPr>
            <w:r>
              <w:rPr>
                <w:rFonts w:ascii="Arial" w:cs="Arial" w:eastAsia="Arial" w:hAnsi="Arial"/>
                <w:sz w:val="14"/>
                <w:szCs w:val="14"/>
                <w:b w:val="1"/>
                <w:bCs w:val="1"/>
                <w:color w:val="auto"/>
              </w:rPr>
              <w:t>For the Three Months Ended June 30, 2019</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40" w:type="dxa"/>
            <w:vAlign w:val="bottom"/>
            <w:gridSpan w:val="15"/>
          </w:tcPr>
          <w:p>
            <w:pPr>
              <w:jc w:val="right"/>
              <w:ind w:right="120"/>
              <w:spacing w:after="0"/>
              <w:rPr>
                <w:sz w:val="20"/>
                <w:szCs w:val="20"/>
                <w:color w:val="auto"/>
              </w:rPr>
            </w:pPr>
            <w:r>
              <w:rPr>
                <w:rFonts w:ascii="Arial" w:cs="Arial" w:eastAsia="Arial" w:hAnsi="Arial"/>
                <w:sz w:val="14"/>
                <w:szCs w:val="14"/>
                <w:b w:val="1"/>
                <w:bCs w:val="1"/>
                <w:color w:val="auto"/>
              </w:rPr>
              <w:t>For the Six Months Ended June 30, 2019</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4"/>
          </w:tcPr>
          <w:p>
            <w:pPr>
              <w:ind w:left="220"/>
              <w:spacing w:after="0" w:line="147" w:lineRule="exact"/>
              <w:rPr>
                <w:sz w:val="20"/>
                <w:szCs w:val="20"/>
                <w:color w:val="auto"/>
              </w:rPr>
            </w:pPr>
            <w:r>
              <w:rPr>
                <w:rFonts w:ascii="Arial" w:cs="Arial" w:eastAsia="Arial" w:hAnsi="Arial"/>
                <w:sz w:val="14"/>
                <w:szCs w:val="14"/>
                <w:b w:val="1"/>
                <w:bCs w:val="1"/>
                <w:color w:val="auto"/>
              </w:rPr>
              <w:t>EFT</w:t>
            </w:r>
          </w:p>
        </w:tc>
        <w:tc>
          <w:tcPr>
            <w:tcW w:w="220" w:type="dxa"/>
            <w:vAlign w:val="bottom"/>
          </w:tcPr>
          <w:p>
            <w:pPr>
              <w:spacing w:after="0"/>
              <w:rPr>
                <w:sz w:val="12"/>
                <w:szCs w:val="12"/>
                <w:color w:val="auto"/>
              </w:rPr>
            </w:pPr>
          </w:p>
        </w:tc>
        <w:tc>
          <w:tcPr>
            <w:tcW w:w="78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epay</w:t>
            </w:r>
          </w:p>
        </w:tc>
        <w:tc>
          <w:tcPr>
            <w:tcW w:w="120" w:type="dxa"/>
            <w:vAlign w:val="bottom"/>
            <w:gridSpan w:val="2"/>
            <w:vMerge w:val="restart"/>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4"/>
              </w:rPr>
              <w:t>Money</w:t>
            </w:r>
          </w:p>
        </w:tc>
        <w:tc>
          <w:tcPr>
            <w:tcW w:w="220" w:type="dxa"/>
            <w:vAlign w:val="bottom"/>
          </w:tcPr>
          <w:p>
            <w:pPr>
              <w:spacing w:after="0"/>
              <w:rPr>
                <w:sz w:val="12"/>
                <w:szCs w:val="12"/>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215"/>
              <w:spacing w:after="0" w:line="147" w:lineRule="exact"/>
              <w:rPr>
                <w:sz w:val="20"/>
                <w:szCs w:val="20"/>
                <w:color w:val="auto"/>
              </w:rPr>
            </w:pPr>
            <w:r>
              <w:rPr>
                <w:rFonts w:ascii="Arial" w:cs="Arial" w:eastAsia="Arial" w:hAnsi="Arial"/>
                <w:sz w:val="14"/>
                <w:szCs w:val="14"/>
                <w:b w:val="1"/>
                <w:bCs w:val="1"/>
                <w:color w:val="auto"/>
              </w:rPr>
              <w:t>EFT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epay</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Money</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7"/>
              </w:rPr>
              <w:t>Processing</w:t>
            </w:r>
          </w:p>
        </w:tc>
        <w:tc>
          <w:tcPr>
            <w:tcW w:w="14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7"/>
              </w:rPr>
              <w:t>Processing</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Transfer</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192,696</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123,322</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93,576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8"/>
              </w:rPr>
              <w:t>409,594</w:t>
            </w:r>
          </w:p>
        </w:tc>
        <w:tc>
          <w:tcPr>
            <w:tcW w:w="20" w:type="dxa"/>
            <w:vAlign w:val="bottom"/>
            <w:shd w:val="clear" w:color="auto" w:fill="CCEEFF"/>
          </w:tcPr>
          <w:p>
            <w:pPr>
              <w:spacing w:after="0"/>
              <w:rPr>
                <w:sz w:val="23"/>
                <w:szCs w:val="23"/>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300,307</w:t>
            </w:r>
          </w:p>
        </w:tc>
        <w:tc>
          <w:tcPr>
            <w:tcW w:w="4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238,228</w:t>
            </w:r>
          </w:p>
        </w:tc>
        <w:tc>
          <w:tcPr>
            <w:tcW w:w="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179,135</w:t>
            </w:r>
          </w:p>
        </w:tc>
        <w:tc>
          <w:tcPr>
            <w:tcW w:w="40" w:type="dxa"/>
            <w:vAlign w:val="bottom"/>
            <w:shd w:val="clear" w:color="auto" w:fill="CCEEFF"/>
          </w:tcPr>
          <w:p>
            <w:pPr>
              <w:spacing w:after="0"/>
              <w:rPr>
                <w:sz w:val="23"/>
                <w:szCs w:val="23"/>
                <w:color w:val="auto"/>
              </w:rPr>
            </w:pPr>
          </w:p>
        </w:tc>
        <w:tc>
          <w:tcPr>
            <w:tcW w:w="2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717,670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360" w:type="dxa"/>
            <w:vAlign w:val="bottom"/>
            <w:gridSpan w:val="3"/>
          </w:tcPr>
          <w:p>
            <w:pPr>
              <w:ind w:left="20"/>
              <w:spacing w:after="0"/>
              <w:rPr>
                <w:sz w:val="20"/>
                <w:szCs w:val="20"/>
                <w:color w:val="auto"/>
              </w:rPr>
            </w:pPr>
            <w:r>
              <w:rPr>
                <w:rFonts w:ascii="Arial" w:cs="Arial" w:eastAsia="Arial" w:hAnsi="Arial"/>
                <w:sz w:val="18"/>
                <w:szCs w:val="18"/>
                <w:color w:val="auto"/>
              </w:rPr>
              <w:t>North America</w:t>
            </w:r>
          </w:p>
        </w:tc>
        <w:tc>
          <w:tcPr>
            <w:tcW w:w="160" w:type="dxa"/>
            <w:vAlign w:val="bottom"/>
          </w:tcPr>
          <w:p>
            <w:pPr>
              <w:spacing w:after="0"/>
              <w:rPr>
                <w:sz w:val="23"/>
                <w:szCs w:val="23"/>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7,958</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37,732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145,528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w w:val="98"/>
              </w:rPr>
              <w:t>191,218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16,163</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77,396</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280,360</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373,919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31,287</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18,920</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31,577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81,784</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61,164</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36,294</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62,290</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159,748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360" w:type="dxa"/>
            <w:vAlign w:val="bottom"/>
            <w:gridSpan w:val="3"/>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3"/>
                <w:szCs w:val="23"/>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4,186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6,102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10,293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8,356</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11,579</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19,950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360" w:type="dxa"/>
            <w:vAlign w:val="bottom"/>
            <w:gridSpan w:val="3"/>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231,946</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184,160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276,783</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w w:val="98"/>
              </w:rPr>
              <w:t>691,867</w:t>
            </w:r>
          </w:p>
        </w:tc>
        <w:tc>
          <w:tcPr>
            <w:tcW w:w="2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377,649</w:t>
            </w:r>
          </w:p>
        </w:tc>
        <w:tc>
          <w:tcPr>
            <w:tcW w:w="4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360,274</w:t>
            </w:r>
          </w:p>
        </w:tc>
        <w:tc>
          <w:tcPr>
            <w:tcW w:w="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533,364</w:t>
            </w:r>
          </w:p>
        </w:tc>
        <w:tc>
          <w:tcPr>
            <w:tcW w:w="40" w:type="dxa"/>
            <w:vAlign w:val="bottom"/>
          </w:tcPr>
          <w:p>
            <w:pPr>
              <w:spacing w:after="0"/>
              <w:rPr>
                <w:sz w:val="22"/>
                <w:szCs w:val="22"/>
                <w:color w:val="auto"/>
              </w:rPr>
            </w:pPr>
          </w:p>
        </w:tc>
        <w:tc>
          <w:tcPr>
            <w:tcW w:w="24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w w:val="89"/>
              </w:rPr>
              <w:t>1,269,376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Company's effective income tax rate was (8.4)% and (11.1)% for the three and six months ended </w:t>
      </w:r>
      <w:r>
        <w:rPr>
          <w:rFonts w:ascii="Arial" w:cs="Arial" w:eastAsia="Arial" w:hAnsi="Arial"/>
          <w:sz w:val="17"/>
          <w:szCs w:val="17"/>
          <w:color w:val="252525"/>
        </w:rPr>
        <w:t>June 30, 2020</w:t>
      </w:r>
      <w:r>
        <w:rPr>
          <w:rFonts w:ascii="Arial" w:cs="Arial" w:eastAsia="Arial" w:hAnsi="Arial"/>
          <w:sz w:val="17"/>
          <w:szCs w:val="17"/>
          <w:color w:val="auto"/>
        </w:rPr>
        <w:t>, respectively, compared to</w:t>
      </w:r>
    </w:p>
    <w:p>
      <w:pPr>
        <w:spacing w:after="0" w:line="3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 xml:space="preserve">31.5% and 31.6% for the three and six months ended </w:t>
      </w:r>
      <w:r>
        <w:rPr>
          <w:rFonts w:ascii="Arial" w:cs="Arial" w:eastAsia="Arial" w:hAnsi="Arial"/>
          <w:sz w:val="17"/>
          <w:szCs w:val="17"/>
          <w:color w:val="252525"/>
        </w:rPr>
        <w:t>June 30, 2019</w:t>
      </w:r>
      <w:r>
        <w:rPr>
          <w:rFonts w:ascii="Arial" w:cs="Arial" w:eastAsia="Arial" w:hAnsi="Arial"/>
          <w:sz w:val="17"/>
          <w:szCs w:val="17"/>
          <w:color w:val="auto"/>
        </w:rPr>
        <w:t xml:space="preserve">, respectively. The Company's effective income tax rate for the three and six months ended </w:t>
      </w:r>
      <w:r>
        <w:rPr>
          <w:rFonts w:ascii="Arial" w:cs="Arial" w:eastAsia="Arial" w:hAnsi="Arial"/>
          <w:sz w:val="17"/>
          <w:szCs w:val="17"/>
          <w:color w:val="252525"/>
        </w:rPr>
        <w:t>June 30, 2020</w:t>
      </w:r>
      <w:r>
        <w:rPr>
          <w:rFonts w:ascii="Arial" w:cs="Arial" w:eastAsia="Arial" w:hAnsi="Arial"/>
          <w:sz w:val="17"/>
          <w:szCs w:val="17"/>
          <w:color w:val="auto"/>
        </w:rPr>
        <w:t xml:space="preserve"> was different than the applicable statutory income tax rate of 21% primarily due to the non-deductible goodwill impairment charge during the second quarter of 2020 and as a result of an increase in the valuation allowance in certain jurisdictions relating to the reversal of tax benefits recognized in the first quarter of 2020 for net operating losses in those jurisdictions which have a limited history of profitable earnings. The Company's effective income tax rate for the three and six months ended June 30, 2019 was higher than the applicable statutory income tax rate of 21% largely because of the application to the Company of the global intangible low-taxed income ("GILTI") tax provision and certain foreign earnings of the Company being subject to higher local statutory income tax rates.</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w:t>
      </w:r>
    </w:p>
    <w:p>
      <w:pPr>
        <w:spacing w:after="0" w:line="200" w:lineRule="exact"/>
        <w:rPr>
          <w:sz w:val="20"/>
          <w:szCs w:val="20"/>
          <w:color w:val="auto"/>
        </w:rPr>
      </w:pPr>
    </w:p>
    <w:p>
      <w:pPr>
        <w:spacing w:after="0" w:line="20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As of June 30, 2020, the Company had $74.6 million of stand-by letters of credit/bank guarantees issued on its behalf, of which $52.1 million are outstanding under the Credit Facility. The remaining stand-by letters of credit/bank guarantees are collateralized by $4.0 million of cash deposits held by the respective issuing banks.</w:t>
      </w:r>
    </w:p>
    <w:p>
      <w:pPr>
        <w:spacing w:after="0" w:line="7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certain circumstances, Euronet grants guarantees in support of obligations of subsidiaries. As of June 30, 2020, the Company had granted off balance sheet guarantees for cash in various ATM networks amounting to $11.8 million over the terms of the cash supply agreements and performance guarantees amounting to approximately $39.3 million over the terms of agreements with the customers.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From time to time, the Company enters into agreements with commercial counterparties that contain indemnification provisions, the terms of which may vary depending on the negotiated terms of each respective agreement. The amount of such potential obligations is generally not stated in the agreements. Euronet's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347" w:lineRule="exact"/>
        <w:rPr>
          <w:sz w:val="20"/>
          <w:szCs w:val="20"/>
          <w:color w:val="auto"/>
        </w:rPr>
      </w:pPr>
    </w:p>
    <w:p>
      <w:pPr>
        <w:jc w:val="both"/>
        <w:ind w:left="960" w:right="40" w:hanging="636"/>
        <w:spacing w:after="0" w:line="286" w:lineRule="auto"/>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connection with contracts with financial institutions in the EFT Processing Segment, the Company is responsible for damage to ATMs and theft of ATM network cash. As of June 30, 2020, the balance of such cash used in the Company's ATM networks for which the Company was responsible was approximately $512 million. The Company maintains insurance policies to mitigate this exposure;</w:t>
      </w:r>
    </w:p>
    <w:p>
      <w:pPr>
        <w:spacing w:after="0" w:line="246" w:lineRule="exact"/>
        <w:rPr>
          <w:rFonts w:ascii="Arial" w:cs="Arial" w:eastAsia="Arial" w:hAnsi="Arial"/>
          <w:sz w:val="17"/>
          <w:szCs w:val="17"/>
          <w:color w:val="auto"/>
        </w:rPr>
      </w:pPr>
    </w:p>
    <w:p>
      <w:pPr>
        <w:ind w:left="1040" w:right="40" w:hanging="681"/>
        <w:spacing w:after="0" w:line="259" w:lineRule="auto"/>
        <w:tabs>
          <w:tab w:leader="none" w:pos="104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 connection with contracts with financial institutions in the EFT Processing Segment, the Company is responsible for losses suffered by its customers and other parties as a result of the breach of its computer systems, including in particular, losses arising from fraudulent transactions made using information stolen through its processing systems. The Company maintains insurance policies to mitigate this exposure;</w:t>
      </w:r>
    </w:p>
    <w:p>
      <w:pPr>
        <w:spacing w:after="0" w:line="159" w:lineRule="exact"/>
        <w:rPr>
          <w:rFonts w:ascii="Arial" w:cs="Arial" w:eastAsia="Arial" w:hAnsi="Arial"/>
          <w:sz w:val="18"/>
          <w:szCs w:val="18"/>
          <w:color w:val="auto"/>
        </w:rPr>
      </w:pPr>
    </w:p>
    <w:p>
      <w:pPr>
        <w:ind w:left="1040" w:hanging="681"/>
        <w:spacing w:after="0" w:line="263" w:lineRule="auto"/>
        <w:tabs>
          <w:tab w:leader="none" w:pos="104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156" w:lineRule="exact"/>
        <w:rPr>
          <w:rFonts w:ascii="Arial" w:cs="Arial" w:eastAsia="Arial" w:hAnsi="Arial"/>
          <w:sz w:val="18"/>
          <w:szCs w:val="18"/>
          <w:color w:val="auto"/>
        </w:rPr>
      </w:pPr>
    </w:p>
    <w:p>
      <w:pPr>
        <w:jc w:val="both"/>
        <w:ind w:left="1040" w:right="320" w:hanging="681"/>
        <w:spacing w:after="0" w:line="286" w:lineRule="auto"/>
        <w:tabs>
          <w:tab w:leader="none" w:pos="1040" w:val="left"/>
        </w:tabs>
        <w:numPr>
          <w:ilvl w:val="1"/>
          <w:numId w:val="7"/>
        </w:numPr>
        <w:rPr>
          <w:rFonts w:ascii="Arial" w:cs="Arial" w:eastAsia="Arial" w:hAnsi="Arial"/>
          <w:sz w:val="17"/>
          <w:szCs w:val="17"/>
          <w:color w:val="auto"/>
        </w:rPr>
      </w:pPr>
      <w:r>
        <w:rPr>
          <w:rFonts w:ascii="Arial" w:cs="Arial" w:eastAsia="Arial" w:hAnsi="Arial"/>
          <w:sz w:val="17"/>
          <w:szCs w:val="17"/>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138" w:lineRule="exact"/>
        <w:rPr>
          <w:rFonts w:ascii="Arial" w:cs="Arial" w:eastAsia="Arial" w:hAnsi="Arial"/>
          <w:sz w:val="17"/>
          <w:szCs w:val="17"/>
          <w:color w:val="auto"/>
        </w:rPr>
      </w:pPr>
    </w:p>
    <w:p>
      <w:pPr>
        <w:ind w:left="1040" w:hanging="681"/>
        <w:spacing w:after="0" w:line="254" w:lineRule="auto"/>
        <w:tabs>
          <w:tab w:leader="none" w:pos="104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Euronet, the Company has agreed to indemnify the seller against third party claims made against the seller relating to the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167" w:lineRule="exact"/>
        <w:rPr>
          <w:rFonts w:ascii="Arial" w:cs="Arial" w:eastAsia="Arial" w:hAnsi="Arial"/>
          <w:sz w:val="18"/>
          <w:szCs w:val="18"/>
          <w:color w:val="auto"/>
        </w:rPr>
      </w:pPr>
    </w:p>
    <w:p>
      <w:pPr>
        <w:ind w:left="1040" w:right="120" w:hanging="681"/>
        <w:spacing w:after="0" w:line="263" w:lineRule="auto"/>
        <w:tabs>
          <w:tab w:leader="none" w:pos="1040" w:val="left"/>
        </w:tabs>
        <w:numPr>
          <w:ilvl w:val="1"/>
          <w:numId w:val="7"/>
        </w:numPr>
        <w:rPr>
          <w:rFonts w:ascii="Arial" w:cs="Arial" w:eastAsia="Arial" w:hAnsi="Arial"/>
          <w:sz w:val="18"/>
          <w:szCs w:val="18"/>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third-party claims relating to carrying out their respective duties under such agreements.</w:t>
      </w:r>
    </w:p>
    <w:p>
      <w:pPr>
        <w:spacing w:after="0" w:line="251"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Company is also required to meet minimum capitalization and cash requirements of various regulatory authorities in the jurisdictions in which the Company has money transfer operations. The Company has obtained surety bonds in compliance with money transfer licensing requirements of the applicable governmental authorities.</w:t>
      </w:r>
    </w:p>
    <w:p>
      <w:pPr>
        <w:spacing w:after="0" w:line="103" w:lineRule="exact"/>
        <w:rPr>
          <w:sz w:val="20"/>
          <w:szCs w:val="20"/>
          <w:color w:val="auto"/>
        </w:rPr>
      </w:pPr>
    </w:p>
    <w:p>
      <w:pPr>
        <w:ind w:left="60" w:right="180"/>
        <w:spacing w:after="0" w:line="277" w:lineRule="auto"/>
        <w:rPr>
          <w:sz w:val="20"/>
          <w:szCs w:val="20"/>
          <w:color w:val="auto"/>
        </w:rPr>
      </w:pPr>
      <w:r>
        <w:rPr>
          <w:rFonts w:ascii="Arial" w:cs="Arial" w:eastAsia="Arial" w:hAnsi="Arial"/>
          <w:sz w:val="18"/>
          <w:szCs w:val="18"/>
          <w:color w:val="auto"/>
        </w:rPr>
        <w:t>To date, the Company is not aware of any significant claims made by the indemnified parties or third parties to guarantee agreements with the Company and, accordingly, no liabilities were recorded as of June 30, 2020 or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LITIGATION AND CONTINGENCIES</w:t>
      </w:r>
    </w:p>
    <w:p>
      <w:pPr>
        <w:spacing w:after="0" w:line="229"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From time to time, the Company is a party to legal or regulatory proceedings arising in the ordinary course of its business. Currently, there are no legal proceedings or regulatory findings that management believes, either individually or in the aggregate, would have a material adverse effect on the Company's consolidated financial condition or results of operations.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LEASES</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Company enters into operating leases for ATM sites, office spaces, retail stores and equipment. The Company's finance leases are immaterial. Right of use assets and lease liabilities are recognized at the lease commencement date based on the present value of the lease payments over the lease terms.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The present value of lease payments is determined using the incremental borrowing rate based on information available at the lease commencement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recognizes lease expense for these leases on a straight-line basis over the lease term.</w:t>
      </w:r>
    </w:p>
    <w:p>
      <w:pPr>
        <w:spacing w:after="0" w:line="13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Most leases include an option to renew, with renewal terms that can extend the lease terms. The exercise of lease renewal options is at the Company’s sole discretion. The depreciable life of assets and leasehold improvements are limited by the expected lease terms. The Company also has a unilateral termination right for most of the ATM site leases. The Company evaluated the likelihood of exercising the renewal and termination options beginning with the adoption of the new accounting lease standard on January 1, 2019, concluding 1) the options were not reasonably certain to be exercised and thus were not considered in determining the lease terms, and associated payment impacts were excluded from lease payments and 2) termination options were reasonably certain not to be exercised and therefore the stated lease payment schedule of the lease was used to determine the lease term.</w:t>
      </w:r>
    </w:p>
    <w:p>
      <w:pPr>
        <w:spacing w:after="0" w:line="16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During the second quarter of 2020, the impact of the COVID-19 pandemic was a significant event that caused a significant change in circumstances and business plans to manage our portfolio of ATM leases. Specifically we downsized, through the exercise of termination clauses and the reduction of monthly costs by renegotiating payment terms of our ATM leases. The Company's execution of the business plan to renegotiate terms and downsize the portfolio of ATM leases constituted a reassessment event during the second quarter of 2020. The reassessment event required the Company to reevaluate the accounting for the portfolio of ATM leases, including lease terms. Due to the recent increased frequency of ATM site lease terminations, modifications, and greater unpredictability whether or not future lease terminations will be exercised, the Company is no longer able to conclude that termination options are reasonably certain not to be exercised. This reassessment conclusion impacts the lease term evaluation, instead of determining the lease term based on the stated lease payment schedule of the lease, now the lease term will be evaluated when the Company has the contractual ability to terminate the lease (most leases allow for a termination upon advance notice of between 30 and 90 days of notice). As a result of the lease term reassessment, $211.9 million of right of use assets and $211.9 million lease liabilities were reassessed to have a term shorter than 12 months, thus were subject to the short-term lease exemption and removed from the balance sheet as of June 30, 2020. Future payments for ATM site leases with termination options, exercisable less than 12 months, are excluded from the right of use asset and lease liability balances.</w:t>
      </w:r>
    </w:p>
    <w:p>
      <w:pPr>
        <w:spacing w:after="0" w:line="8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Payments for ATM site leases with termination options subject to the short-term lease exemption are expensed in the period incurred. The short-term lease expense for the three months ended June 30, 2020 reasonably reflects the Company’s short-term lease commitments. Certain of the Company's lease agreements include variable rental payments based on revenues generated from the use of the leased location and certain leases include rental payments adjusted periodically for inflation. Variable lease payments are recognized when the event, activity or circumstance in the lease agreement on which those payments are assessed occurs and are excluded from the right of use assets and lease liabilities balances. The lease agreements do not contain any material residual value guarantees or material restrictive covenants.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minimum lease payments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under non-cancelable operating leases (with initial lease terms in excess of one year) as of June 30, 2020 are:</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As of June 30, 2020</w:t>
            </w:r>
          </w:p>
        </w:tc>
      </w:tr>
      <w:tr>
        <w:trPr>
          <w:trHeight w:val="250"/>
        </w:trPr>
        <w:tc>
          <w:tcPr>
            <w:tcW w:w="86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Maturity of Lease Liabilities </w:t>
            </w: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Operating Leases (1)</w:t>
            </w:r>
          </w:p>
        </w:tc>
      </w:tr>
      <w:tr>
        <w:trPr>
          <w:trHeight w:val="216"/>
        </w:trPr>
        <w:tc>
          <w:tcPr>
            <w:tcW w:w="8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Remainder of 2020</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2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26,198</w:t>
            </w:r>
          </w:p>
        </w:tc>
      </w:tr>
      <w:tr>
        <w:trPr>
          <w:trHeight w:val="216"/>
        </w:trPr>
        <w:tc>
          <w:tcPr>
            <w:tcW w:w="8600" w:type="dxa"/>
            <w:vAlign w:val="bottom"/>
          </w:tcPr>
          <w:p>
            <w:pPr>
              <w:ind w:left="40"/>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18"/>
                <w:szCs w:val="18"/>
                <w:color w:val="auto"/>
              </w:rPr>
            </w:pPr>
          </w:p>
        </w:tc>
        <w:tc>
          <w:tcPr>
            <w:tcW w:w="2260" w:type="dxa"/>
            <w:vAlign w:val="bottom"/>
          </w:tcPr>
          <w:p>
            <w:pPr>
              <w:jc w:val="right"/>
              <w:ind w:right="13"/>
              <w:spacing w:after="0"/>
              <w:rPr>
                <w:sz w:val="20"/>
                <w:szCs w:val="20"/>
                <w:color w:val="auto"/>
              </w:rPr>
            </w:pPr>
            <w:r>
              <w:rPr>
                <w:rFonts w:ascii="Arial" w:cs="Arial" w:eastAsia="Arial" w:hAnsi="Arial"/>
                <w:sz w:val="18"/>
                <w:szCs w:val="18"/>
                <w:color w:val="auto"/>
              </w:rPr>
              <w:t>42,182</w:t>
            </w:r>
          </w:p>
        </w:tc>
      </w:tr>
      <w:tr>
        <w:trPr>
          <w:trHeight w:val="216"/>
        </w:trPr>
        <w:tc>
          <w:tcPr>
            <w:tcW w:w="8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29,304</w:t>
            </w:r>
          </w:p>
        </w:tc>
      </w:tr>
      <w:tr>
        <w:trPr>
          <w:trHeight w:val="216"/>
        </w:trPr>
        <w:tc>
          <w:tcPr>
            <w:tcW w:w="8600" w:type="dxa"/>
            <w:vAlign w:val="bottom"/>
          </w:tcPr>
          <w:p>
            <w:pPr>
              <w:ind w:left="40"/>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18"/>
                <w:szCs w:val="18"/>
                <w:color w:val="auto"/>
              </w:rPr>
            </w:pPr>
          </w:p>
        </w:tc>
        <w:tc>
          <w:tcPr>
            <w:tcW w:w="2260" w:type="dxa"/>
            <w:vAlign w:val="bottom"/>
          </w:tcPr>
          <w:p>
            <w:pPr>
              <w:jc w:val="right"/>
              <w:ind w:right="13"/>
              <w:spacing w:after="0"/>
              <w:rPr>
                <w:sz w:val="20"/>
                <w:szCs w:val="20"/>
                <w:color w:val="auto"/>
              </w:rPr>
            </w:pPr>
            <w:r>
              <w:rPr>
                <w:rFonts w:ascii="Arial" w:cs="Arial" w:eastAsia="Arial" w:hAnsi="Arial"/>
                <w:sz w:val="18"/>
                <w:szCs w:val="18"/>
                <w:color w:val="auto"/>
              </w:rPr>
              <w:t>20,294</w:t>
            </w:r>
          </w:p>
        </w:tc>
      </w:tr>
      <w:tr>
        <w:trPr>
          <w:trHeight w:val="216"/>
        </w:trPr>
        <w:tc>
          <w:tcPr>
            <w:tcW w:w="8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13,105</w:t>
            </w:r>
          </w:p>
        </w:tc>
      </w:tr>
      <w:tr>
        <w:trPr>
          <w:trHeight w:val="216"/>
        </w:trPr>
        <w:tc>
          <w:tcPr>
            <w:tcW w:w="86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26,319</w:t>
            </w:r>
          </w:p>
        </w:tc>
      </w:tr>
      <w:tr>
        <w:trPr>
          <w:trHeight w:val="209"/>
        </w:trPr>
        <w:tc>
          <w:tcPr>
            <w:tcW w:w="8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2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157,402</w:t>
            </w:r>
          </w:p>
        </w:tc>
      </w:tr>
      <w:tr>
        <w:trPr>
          <w:trHeight w:val="216"/>
        </w:trPr>
        <w:tc>
          <w:tcPr>
            <w:tcW w:w="86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imputed interest</w:t>
            </w:r>
          </w:p>
        </w:tc>
        <w:tc>
          <w:tcPr>
            <w:tcW w:w="3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(3,754)</w:t>
            </w:r>
          </w:p>
        </w:tc>
      </w:tr>
      <w:tr>
        <w:trPr>
          <w:trHeight w:val="209"/>
        </w:trPr>
        <w:tc>
          <w:tcPr>
            <w:tcW w:w="8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Present value of lease liabilities</w:t>
            </w: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2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153,648</w:t>
            </w:r>
          </w:p>
        </w:tc>
      </w:tr>
    </w:tbl>
    <w:p>
      <w:pPr>
        <w:spacing w:after="0" w:line="310" w:lineRule="exact"/>
        <w:rPr>
          <w:sz w:val="20"/>
          <w:szCs w:val="20"/>
          <w:color w:val="auto"/>
        </w:rPr>
      </w:pPr>
    </w:p>
    <w:p>
      <w:pPr>
        <w:jc w:val="both"/>
        <w:ind w:left="660" w:right="140" w:hanging="328"/>
        <w:spacing w:after="0" w:line="311" w:lineRule="auto"/>
        <w:tabs>
          <w:tab w:leader="none" w:pos="672" w:val="left"/>
        </w:tabs>
        <w:numPr>
          <w:ilvl w:val="0"/>
          <w:numId w:val="8"/>
        </w:numPr>
        <w:rPr>
          <w:rFonts w:ascii="Arial" w:cs="Arial" w:eastAsia="Arial" w:hAnsi="Arial"/>
          <w:sz w:val="16"/>
          <w:szCs w:val="16"/>
          <w:color w:val="auto"/>
        </w:rPr>
      </w:pPr>
      <w:r>
        <w:rPr>
          <w:rFonts w:ascii="Arial" w:cs="Arial" w:eastAsia="Arial" w:hAnsi="Arial"/>
          <w:sz w:val="16"/>
          <w:szCs w:val="16"/>
          <w:color w:val="auto"/>
        </w:rPr>
        <w:t>Operating lease payments reflect the Company's current fixed obligations under the operating lease agreements. Certain ATM site leases contain termination options that grant the Company the option to terminate the lease prior to the stated term of the agreement. The Company includes the future minimum lease payments for these ATM site leases only to the extent that the termination option is not reasonably certain to be exercised.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Lease expense recognized in the Consolidated Statements of Income is summarized as follows:</w:t>
      </w:r>
    </w:p>
    <w:p>
      <w:pPr>
        <w:spacing w:after="0" w:line="366"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Three Months</w:t>
            </w:r>
          </w:p>
        </w:tc>
        <w:tc>
          <w:tcPr>
            <w:tcW w:w="14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48"/>
        </w:trPr>
        <w:tc>
          <w:tcPr>
            <w:tcW w:w="206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0"/>
              </w:rPr>
              <w:t xml:space="preserve">Lease Expense </w:t>
            </w:r>
            <w:r>
              <w:rPr>
                <w:rFonts w:ascii="Arial" w:cs="Arial" w:eastAsia="Arial" w:hAnsi="Arial"/>
                <w:sz w:val="14"/>
                <w:szCs w:val="14"/>
                <w:i w:val="1"/>
                <w:iCs w:val="1"/>
                <w:color w:val="auto"/>
                <w:w w:val="90"/>
              </w:rPr>
              <w:t>(in thousands)</w:t>
            </w:r>
          </w:p>
        </w:tc>
        <w:tc>
          <w:tcPr>
            <w:tcW w:w="30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Income Statement Classification</w:t>
            </w:r>
          </w:p>
        </w:tc>
        <w:tc>
          <w:tcPr>
            <w:tcW w:w="100" w:type="dxa"/>
            <w:vAlign w:val="bottom"/>
            <w:vMerge w:val="restart"/>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14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60" w:type="dxa"/>
            <w:vAlign w:val="bottom"/>
            <w:tcBorders>
              <w:bottom w:val="single" w:sz="8" w:color="auto"/>
            </w:tcBorders>
            <w:vMerge w:val="continue"/>
          </w:tcPr>
          <w:p>
            <w:pPr>
              <w:spacing w:after="0"/>
              <w:rPr>
                <w:sz w:val="16"/>
                <w:szCs w:val="16"/>
                <w:color w:val="auto"/>
              </w:rPr>
            </w:pPr>
          </w:p>
        </w:tc>
        <w:tc>
          <w:tcPr>
            <w:tcW w:w="30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8"/>
              </w:rPr>
              <w:t>June 30, 2020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2"/>
              </w:rPr>
              <w:t>June 30, 2019</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6"/>
              </w:rPr>
              <w:t>June 30, 2020</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228"/>
        </w:trPr>
        <w:tc>
          <w:tcPr>
            <w:tcW w:w="2060" w:type="dxa"/>
            <w:vAlign w:val="bottom"/>
          </w:tcPr>
          <w:p>
            <w:pPr>
              <w:spacing w:after="0"/>
              <w:rPr>
                <w:sz w:val="19"/>
                <w:szCs w:val="19"/>
                <w:color w:val="auto"/>
              </w:rPr>
            </w:pPr>
          </w:p>
        </w:tc>
        <w:tc>
          <w:tcPr>
            <w:tcW w:w="3140" w:type="dxa"/>
            <w:vAlign w:val="bottom"/>
            <w:gridSpan w:val="2"/>
          </w:tcPr>
          <w:p>
            <w:pPr>
              <w:ind w:left="60"/>
              <w:spacing w:after="0"/>
              <w:rPr>
                <w:sz w:val="20"/>
                <w:szCs w:val="20"/>
                <w:color w:val="auto"/>
              </w:rPr>
            </w:pPr>
            <w:r>
              <w:rPr>
                <w:rFonts w:ascii="Arial" w:cs="Arial" w:eastAsia="Arial" w:hAnsi="Arial"/>
                <w:sz w:val="18"/>
                <w:szCs w:val="18"/>
                <w:color w:val="auto"/>
                <w:w w:val="98"/>
              </w:rPr>
              <w:t>Selling, general and administrative and</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60" w:type="dxa"/>
            <w:vAlign w:val="bottom"/>
          </w:tcPr>
          <w:p>
            <w:pPr>
              <w:ind w:left="20"/>
              <w:spacing w:after="0"/>
              <w:rPr>
                <w:sz w:val="20"/>
                <w:szCs w:val="20"/>
                <w:color w:val="auto"/>
              </w:rPr>
            </w:pPr>
            <w:r>
              <w:rPr>
                <w:rFonts w:ascii="Arial" w:cs="Arial" w:eastAsia="Arial" w:hAnsi="Arial"/>
                <w:sz w:val="18"/>
                <w:szCs w:val="18"/>
                <w:color w:val="auto"/>
              </w:rPr>
              <w:t>Operating lease expense</w:t>
            </w:r>
          </w:p>
        </w:tc>
        <w:tc>
          <w:tcPr>
            <w:tcW w:w="3140" w:type="dxa"/>
            <w:vAlign w:val="bottom"/>
            <w:gridSpan w:val="2"/>
          </w:tcPr>
          <w:p>
            <w:pPr>
              <w:ind w:left="60"/>
              <w:spacing w:after="0"/>
              <w:rPr>
                <w:sz w:val="20"/>
                <w:szCs w:val="20"/>
                <w:color w:val="auto"/>
              </w:rPr>
            </w:pPr>
            <w:r>
              <w:rPr>
                <w:rFonts w:ascii="Arial" w:cs="Arial" w:eastAsia="Arial" w:hAnsi="Arial"/>
                <w:sz w:val="18"/>
                <w:szCs w:val="18"/>
                <w:color w:val="auto"/>
              </w:rPr>
              <w:t>Direct operating costs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21,045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33,113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54,233</w:t>
            </w:r>
          </w:p>
        </w:tc>
        <w:tc>
          <w:tcPr>
            <w:tcW w:w="1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63,573</w:t>
            </w: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and variable</w:t>
            </w:r>
          </w:p>
        </w:tc>
        <w:tc>
          <w:tcPr>
            <w:tcW w:w="31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8"/>
              </w:rPr>
              <w:t>Selling, general and administrative and</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expense</w:t>
            </w:r>
          </w:p>
        </w:tc>
        <w:tc>
          <w:tcPr>
            <w:tcW w:w="31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Direct operating costs</w:t>
            </w: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20,961</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18,889</w:t>
            </w:r>
          </w:p>
        </w:tc>
        <w:tc>
          <w:tcPr>
            <w:tcW w:w="0" w:type="dxa"/>
            <w:vAlign w:val="bottom"/>
          </w:tcPr>
          <w:p>
            <w:pPr>
              <w:spacing w:after="0"/>
              <w:rPr>
                <w:sz w:val="1"/>
                <w:szCs w:val="1"/>
                <w:color w:val="auto"/>
              </w:rPr>
            </w:pPr>
          </w:p>
        </w:tc>
      </w:tr>
      <w:tr>
        <w:trPr>
          <w:trHeight w:val="263"/>
        </w:trPr>
        <w:tc>
          <w:tcPr>
            <w:tcW w:w="20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Total lease expense</w:t>
            </w:r>
          </w:p>
        </w:tc>
        <w:tc>
          <w:tcPr>
            <w:tcW w:w="30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33,326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45,433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75,194</w:t>
            </w:r>
          </w:p>
        </w:tc>
        <w:tc>
          <w:tcPr>
            <w:tcW w:w="1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82,462</w:t>
            </w: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about lease amounts recognized in the consolidated financial statements is summarized as follows:</w:t>
      </w:r>
    </w:p>
    <w:p>
      <w:pPr>
        <w:sectPr>
          <w:pgSz w:w="11900" w:h="16838" w:orient="portrait"/>
          <w:cols w:equalWidth="0" w:num="1">
            <w:col w:w="11240"/>
          </w:cols>
          <w:pgMar w:left="320" w:top="125" w:right="339" w:bottom="1440" w:gutter="0" w:footer="0" w:header="0"/>
        </w:sectPr>
      </w:pP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Lease Term and Discount Rate of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remaining lease term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 of June 30, 2020</w:t>
      </w:r>
    </w:p>
    <w:p>
      <w:pPr>
        <w:spacing w:after="0" w:line="6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4.8</w:t>
      </w:r>
    </w:p>
    <w:p>
      <w:pPr>
        <w:spacing w:after="0" w:line="63"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2.1%</w:t>
      </w:r>
    </w:p>
    <w:p>
      <w:pPr>
        <w:spacing w:after="0" w:line="234" w:lineRule="exact"/>
        <w:rPr>
          <w:sz w:val="20"/>
          <w:szCs w:val="20"/>
          <w:color w:val="auto"/>
        </w:rPr>
      </w:pPr>
    </w:p>
    <w:p>
      <w:pPr>
        <w:sectPr>
          <w:pgSz w:w="11900" w:h="16838" w:orient="portrait"/>
          <w:cols w:equalWidth="0" w:num="2">
            <w:col w:w="8760" w:space="720"/>
            <w:col w:w="1760"/>
          </w:cols>
          <w:pgMar w:left="320" w:top="125" w:right="339" w:bottom="1440" w:gutter="0" w:footer="0" w:header="0"/>
          <w:type w:val="continuous"/>
        </w:sect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supplemental cash flow and non-cash information related to leases.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 xml:space="preserve">Other Information </w:t>
            </w:r>
            <w:r>
              <w:rPr>
                <w:rFonts w:ascii="Arial" w:cs="Arial" w:eastAsia="Arial" w:hAnsi="Arial"/>
                <w:sz w:val="14"/>
                <w:szCs w:val="14"/>
                <w:i w:val="1"/>
                <w:iCs w:val="1"/>
                <w:color w:val="auto"/>
              </w:rPr>
              <w:t>(in thousands)</w:t>
            </w:r>
          </w:p>
        </w:tc>
        <w:tc>
          <w:tcPr>
            <w:tcW w:w="760" w:type="dxa"/>
            <w:vAlign w:val="bottom"/>
          </w:tcPr>
          <w:p>
            <w:pPr>
              <w:spacing w:after="0"/>
              <w:rPr>
                <w:sz w:val="14"/>
                <w:szCs w:val="14"/>
                <w:color w:val="auto"/>
              </w:rPr>
            </w:pPr>
          </w:p>
        </w:tc>
        <w:tc>
          <w:tcPr>
            <w:tcW w:w="1400" w:type="dxa"/>
            <w:vAlign w:val="bottom"/>
          </w:tcPr>
          <w:p>
            <w:pPr>
              <w:jc w:val="right"/>
              <w:ind w:right="159"/>
              <w:spacing w:after="0"/>
              <w:rPr>
                <w:sz w:val="20"/>
                <w:szCs w:val="20"/>
                <w:color w:val="auto"/>
              </w:rPr>
            </w:pPr>
            <w:r>
              <w:rPr>
                <w:rFonts w:ascii="Arial" w:cs="Arial" w:eastAsia="Arial" w:hAnsi="Arial"/>
                <w:sz w:val="14"/>
                <w:szCs w:val="14"/>
                <w:b w:val="1"/>
                <w:bCs w:val="1"/>
                <w:color w:val="auto"/>
                <w:w w:val="93"/>
              </w:rPr>
              <w:t>Six Months Ended</w:t>
            </w:r>
          </w:p>
        </w:tc>
        <w:tc>
          <w:tcPr>
            <w:tcW w:w="280" w:type="dxa"/>
            <w:vAlign w:val="bottom"/>
          </w:tcPr>
          <w:p>
            <w:pPr>
              <w:spacing w:after="0"/>
              <w:rPr>
                <w:sz w:val="14"/>
                <w:szCs w:val="14"/>
                <w:color w:val="auto"/>
              </w:rPr>
            </w:pPr>
          </w:p>
        </w:tc>
        <w:tc>
          <w:tcPr>
            <w:tcW w:w="1460" w:type="dxa"/>
            <w:vAlign w:val="bottom"/>
          </w:tcPr>
          <w:p>
            <w:pPr>
              <w:jc w:val="right"/>
              <w:ind w:right="159"/>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June 30, 2020</w:t>
            </w: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320" w:type="dxa"/>
            <w:vAlign w:val="bottom"/>
          </w:tcPr>
          <w:p>
            <w:pPr>
              <w:ind w:left="20"/>
              <w:spacing w:after="0"/>
              <w:rPr>
                <w:sz w:val="20"/>
                <w:szCs w:val="20"/>
                <w:color w:val="auto"/>
              </w:rPr>
            </w:pPr>
            <w:r>
              <w:rPr>
                <w:rFonts w:ascii="Arial" w:cs="Arial" w:eastAsia="Arial" w:hAnsi="Arial"/>
                <w:sz w:val="18"/>
                <w:szCs w:val="18"/>
                <w:color w:val="auto"/>
              </w:rPr>
              <w:t xml:space="preserve">Cash paid for amounts included in the measurement of lease liabilities </w:t>
            </w:r>
            <w:r>
              <w:rPr>
                <w:rFonts w:ascii="Arial" w:cs="Arial" w:eastAsia="Arial" w:hAnsi="Arial"/>
                <w:sz w:val="18"/>
                <w:szCs w:val="18"/>
                <w:i w:val="1"/>
                <w:iCs w:val="1"/>
                <w:color w:val="auto"/>
              </w:rPr>
              <w:t>(a)</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9"/>
              <w:spacing w:after="0"/>
              <w:rPr>
                <w:sz w:val="20"/>
                <w:szCs w:val="20"/>
                <w:color w:val="auto"/>
              </w:rPr>
            </w:pPr>
            <w:r>
              <w:rPr>
                <w:rFonts w:ascii="Arial" w:cs="Arial" w:eastAsia="Arial" w:hAnsi="Arial"/>
                <w:sz w:val="18"/>
                <w:szCs w:val="18"/>
                <w:color w:val="auto"/>
              </w:rPr>
              <w:t>53,869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62,935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Supplemental non-cash information on lease liabilities arising from obtaining ROU assets</w:t>
            </w:r>
          </w:p>
        </w:tc>
        <w:tc>
          <w:tcPr>
            <w:tcW w:w="7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3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ROU assets obtained in exchange for new operating lease liabilities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52,764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157,914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320" w:type="dxa"/>
            <w:vAlign w:val="bottom"/>
          </w:tcPr>
          <w:p>
            <w:pPr>
              <w:spacing w:after="0"/>
              <w:rPr>
                <w:sz w:val="20"/>
                <w:szCs w:val="20"/>
                <w:color w:val="auto"/>
              </w:rPr>
            </w:pPr>
            <w:r>
              <w:rPr>
                <w:rFonts w:ascii="Arial" w:cs="Arial" w:eastAsia="Arial" w:hAnsi="Arial"/>
                <w:sz w:val="14"/>
                <w:szCs w:val="14"/>
                <w:i w:val="1"/>
                <w:iCs w:val="1"/>
                <w:color w:val="auto"/>
              </w:rPr>
              <w:t>(a) Included in Net cash provided by operating activities on the Company's Consolidated Statements of Cash Flows.</w:t>
            </w:r>
          </w:p>
        </w:tc>
        <w:tc>
          <w:tcPr>
            <w:tcW w:w="7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7340" w:type="dxa"/>
            <w:vAlign w:val="bottom"/>
            <w:gridSpan w:val="2"/>
          </w:tcPr>
          <w:p>
            <w:pPr>
              <w:jc w:val="right"/>
              <w:ind w:right="1534"/>
              <w:spacing w:after="0"/>
              <w:rPr>
                <w:sz w:val="20"/>
                <w:szCs w:val="20"/>
                <w:color w:val="auto"/>
              </w:rPr>
            </w:pPr>
            <w:r>
              <w:rPr>
                <w:rFonts w:ascii="Arial" w:cs="Arial" w:eastAsia="Arial" w:hAnsi="Arial"/>
                <w:sz w:val="18"/>
                <w:szCs w:val="18"/>
                <w:color w:val="auto"/>
              </w:rPr>
              <w:t>22</w:t>
            </w: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auto"/>
            </w:tcBorders>
          </w:tcPr>
          <w:p>
            <w:pPr>
              <w:spacing w:after="0"/>
              <w:rPr>
                <w:sz w:val="11"/>
                <w:szCs w:val="11"/>
                <w:color w:val="auto"/>
              </w:rPr>
            </w:pPr>
          </w:p>
        </w:tc>
        <w:tc>
          <w:tcPr>
            <w:tcW w:w="73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terms "Euronet," the "Company," "we" and "us" as used herein refer to Euronet Worldwide, Inc. and its subsidiaries.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report contains statements that constitute forward-looking statements within the meaning of section 27A of the Securities Act of 1933 and section 21E of the Securities Exchange Act of 1934 (“Exchange Act”). Generally, the words "believe," "expect," "anticipate," "intend," "estimate," "will" and similar 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w:t>
      </w:r>
    </w:p>
    <w:p>
      <w:pPr>
        <w:spacing w:after="0" w:line="134" w:lineRule="exact"/>
        <w:rPr>
          <w:sz w:val="20"/>
          <w:szCs w:val="20"/>
          <w:color w:val="auto"/>
        </w:rPr>
      </w:pPr>
    </w:p>
    <w:p>
      <w:pPr>
        <w:ind w:left="1040" w:hanging="681"/>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plans and financing plans and requirements;</w:t>
      </w:r>
    </w:p>
    <w:p>
      <w:pPr>
        <w:spacing w:after="0" w:line="90" w:lineRule="exact"/>
        <w:rPr>
          <w:rFonts w:ascii="Arial" w:cs="Arial" w:eastAsia="Arial" w:hAnsi="Arial"/>
          <w:sz w:val="18"/>
          <w:szCs w:val="18"/>
          <w:color w:val="auto"/>
        </w:rPr>
      </w:pPr>
    </w:p>
    <w:p>
      <w:pPr>
        <w:ind w:left="1040" w:hanging="681"/>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trends affecting our business plans and financing plans and requirements;</w:t>
      </w:r>
    </w:p>
    <w:p>
      <w:pPr>
        <w:spacing w:after="0" w:line="90" w:lineRule="exact"/>
        <w:rPr>
          <w:rFonts w:ascii="Arial" w:cs="Arial" w:eastAsia="Arial" w:hAnsi="Arial"/>
          <w:sz w:val="18"/>
          <w:szCs w:val="18"/>
          <w:color w:val="auto"/>
        </w:rPr>
      </w:pPr>
    </w:p>
    <w:p>
      <w:pPr>
        <w:ind w:left="1040" w:hanging="681"/>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the COVID-19 pandemic on our business;</w:t>
      </w:r>
    </w:p>
    <w:p>
      <w:pPr>
        <w:spacing w:after="0" w:line="90" w:lineRule="exact"/>
        <w:rPr>
          <w:rFonts w:ascii="Arial" w:cs="Arial" w:eastAsia="Arial" w:hAnsi="Arial"/>
          <w:sz w:val="18"/>
          <w:szCs w:val="18"/>
          <w:color w:val="auto"/>
        </w:rPr>
      </w:pPr>
    </w:p>
    <w:p>
      <w:pPr>
        <w:ind w:left="1040" w:hanging="681"/>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trends affecting our business;</w:t>
      </w:r>
    </w:p>
    <w:p>
      <w:pPr>
        <w:spacing w:after="0" w:line="90" w:lineRule="exact"/>
        <w:rPr>
          <w:rFonts w:ascii="Arial" w:cs="Arial" w:eastAsia="Arial" w:hAnsi="Arial"/>
          <w:sz w:val="18"/>
          <w:szCs w:val="18"/>
          <w:color w:val="auto"/>
        </w:rPr>
      </w:pPr>
    </w:p>
    <w:p>
      <w:pPr>
        <w:ind w:left="1040" w:hanging="681"/>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adequacy of capital to meet our capital requirements and expansion plans;</w:t>
      </w:r>
    </w:p>
    <w:p>
      <w:pPr>
        <w:spacing w:after="0" w:line="90" w:lineRule="exact"/>
        <w:rPr>
          <w:rFonts w:ascii="Arial" w:cs="Arial" w:eastAsia="Arial" w:hAnsi="Arial"/>
          <w:sz w:val="18"/>
          <w:szCs w:val="18"/>
          <w:color w:val="auto"/>
        </w:rPr>
      </w:pPr>
    </w:p>
    <w:p>
      <w:pPr>
        <w:ind w:left="1040" w:hanging="681"/>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assumptions underlying our business plans;</w:t>
      </w:r>
    </w:p>
    <w:p>
      <w:pPr>
        <w:spacing w:after="0" w:line="90" w:lineRule="exact"/>
        <w:rPr>
          <w:rFonts w:ascii="Arial" w:cs="Arial" w:eastAsia="Arial" w:hAnsi="Arial"/>
          <w:sz w:val="18"/>
          <w:szCs w:val="18"/>
          <w:color w:val="auto"/>
        </w:rPr>
      </w:pPr>
    </w:p>
    <w:p>
      <w:pPr>
        <w:ind w:left="1040" w:hanging="681"/>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repay indebtedness;</w:t>
      </w:r>
    </w:p>
    <w:p>
      <w:pPr>
        <w:spacing w:after="0" w:line="90" w:lineRule="exact"/>
        <w:rPr>
          <w:rFonts w:ascii="Arial" w:cs="Arial" w:eastAsia="Arial" w:hAnsi="Arial"/>
          <w:sz w:val="18"/>
          <w:szCs w:val="18"/>
          <w:color w:val="auto"/>
        </w:rPr>
      </w:pPr>
    </w:p>
    <w:p>
      <w:pPr>
        <w:ind w:left="1040" w:hanging="681"/>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estimated capital expenditures;</w:t>
      </w:r>
    </w:p>
    <w:p>
      <w:pPr>
        <w:spacing w:after="0" w:line="90" w:lineRule="exact"/>
        <w:rPr>
          <w:rFonts w:ascii="Arial" w:cs="Arial" w:eastAsia="Arial" w:hAnsi="Arial"/>
          <w:sz w:val="18"/>
          <w:szCs w:val="18"/>
          <w:color w:val="auto"/>
        </w:rPr>
      </w:pPr>
    </w:p>
    <w:p>
      <w:pPr>
        <w:ind w:left="1040" w:hanging="681"/>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outcome of loss contingencies;</w:t>
      </w:r>
    </w:p>
    <w:p>
      <w:pPr>
        <w:spacing w:after="0" w:line="90" w:lineRule="exact"/>
        <w:rPr>
          <w:rFonts w:ascii="Arial" w:cs="Arial" w:eastAsia="Arial" w:hAnsi="Arial"/>
          <w:sz w:val="18"/>
          <w:szCs w:val="18"/>
          <w:color w:val="auto"/>
        </w:rPr>
      </w:pPr>
    </w:p>
    <w:p>
      <w:pPr>
        <w:ind w:left="1040" w:hanging="681"/>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expectations regarding the closing of any pending acquisitions;</w:t>
      </w:r>
    </w:p>
    <w:p>
      <w:pPr>
        <w:spacing w:after="0" w:line="90" w:lineRule="exact"/>
        <w:rPr>
          <w:rFonts w:ascii="Arial" w:cs="Arial" w:eastAsia="Arial" w:hAnsi="Arial"/>
          <w:sz w:val="18"/>
          <w:szCs w:val="18"/>
          <w:color w:val="auto"/>
        </w:rPr>
      </w:pPr>
    </w:p>
    <w:p>
      <w:pPr>
        <w:ind w:left="1040" w:hanging="681"/>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90" w:lineRule="exact"/>
        <w:rPr>
          <w:rFonts w:ascii="Arial" w:cs="Arial" w:eastAsia="Arial" w:hAnsi="Arial"/>
          <w:sz w:val="18"/>
          <w:szCs w:val="18"/>
          <w:color w:val="auto"/>
        </w:rPr>
      </w:pPr>
    </w:p>
    <w:p>
      <w:pPr>
        <w:ind w:left="1040" w:hanging="681"/>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regulatory action;</w:t>
      </w:r>
    </w:p>
    <w:p>
      <w:pPr>
        <w:spacing w:after="0" w:line="90" w:lineRule="exact"/>
        <w:rPr>
          <w:rFonts w:ascii="Arial" w:cs="Arial" w:eastAsia="Arial" w:hAnsi="Arial"/>
          <w:sz w:val="18"/>
          <w:szCs w:val="18"/>
          <w:color w:val="auto"/>
        </w:rPr>
      </w:pPr>
    </w:p>
    <w:p>
      <w:pPr>
        <w:ind w:left="1040" w:hanging="681"/>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expected effects of changes in laws or accounting standards;</w:t>
      </w:r>
    </w:p>
    <w:p>
      <w:pPr>
        <w:spacing w:after="0" w:line="90" w:lineRule="exact"/>
        <w:rPr>
          <w:rFonts w:ascii="Arial" w:cs="Arial" w:eastAsia="Arial" w:hAnsi="Arial"/>
          <w:sz w:val="18"/>
          <w:szCs w:val="18"/>
          <w:color w:val="auto"/>
        </w:rPr>
      </w:pPr>
    </w:p>
    <w:p>
      <w:pPr>
        <w:ind w:left="1040" w:hanging="681"/>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technological advances; and</w:t>
      </w:r>
    </w:p>
    <w:p>
      <w:pPr>
        <w:spacing w:after="0" w:line="90" w:lineRule="exact"/>
        <w:rPr>
          <w:rFonts w:ascii="Arial" w:cs="Arial" w:eastAsia="Arial" w:hAnsi="Arial"/>
          <w:sz w:val="18"/>
          <w:szCs w:val="18"/>
          <w:color w:val="auto"/>
        </w:rPr>
      </w:pPr>
    </w:p>
    <w:p>
      <w:pPr>
        <w:ind w:left="1040" w:hanging="681"/>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projected costs and revenues.</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Although we believe that the expectations reflected in these forward-looking statements are reasonable, we can give no assurance that these expectations will prove to be correct.</w:t>
      </w:r>
    </w:p>
    <w:p>
      <w:pPr>
        <w:spacing w:after="0" w:line="6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the effect of the COVID-19 pandemic on our business; conditions in world financial markets and general economic conditions, including the effects in Europe of the negotiations related to the United Kingdom's departure from the European Union (E.U.), and economic conditions in specific countries and regions; technological developments affecting the market for our products and services; our ability to successfully introduce new products and services; foreign currency exchange rate fluctuations; the effects of any breach of our computer systems or those of our customers or vendors, including our financial processing networks or those of other third parties; interruptions in any of our systems or those of our vendors or other third parties; our ability to renew existing contracts at profitable rates; changes in fees payable for transactions performed for cards bearing international logos or over switching networks such as card transactions on ATMs; the impact of changes in rules imposed by international card organizations such as Visa and Mastercard on card transactions on ATMs, including reductions in ATM interchange fees, restrictions on the ability to apply direct access fees, the ability to offer DCC transactions on ATMs, and increases in fees charged on DCC transactions; the impact of changes in laws and regulations affecting the profitability of our services, including regulation of DCC transactions or ATM access fees by the E.U.; our ability to comply with increasingly stringent regulatory requirements, including anti-money laundering, anti-terrorism, anti-bribery, consumer and data protection and the E.U.'s General Data Privacy Regulation and the Services Payment Directive ("PSD2") requirements; changes in laws and regulations affecting our business, including tax and immigration laws and any laws regulating payments, including DCC transactions; changes in our relationships with, or in fees charged by, our business partners; competition; the outcome of claims and other loss contingencies affecting Euronet; general economic, financial and market conditions and the duration and extent of any economic downturns related to the COVID-19 pandemic or future events; the cost of borrowing, availability of credit and terms of and compliance with debt covenants; renewal of sources of funding as they expire and the availability of replacement funding; the outlook for markets we serve; and those factors referred to above and as set forth and more fully described in Part I, Item 1A — Risk Factors of our Annual Report on Form 10-K for the year ended December 31, 2019 and Part II, Item 1A of this Quarterly Report on Form 10-Q. Our Annual Report on Form 10-K is available on the SEC's EDGAR website at www.sec.gov, and copies may also be obtained by contacting the Company. Any forward-looking statements made in this Form 10-Q speak only as of the date of this report. Except as required by law, we do not intend, and do not undertake any obligation, to update any forward-looking statements to reflect future events or circumstances after the date of such statements.</w:t>
      </w: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Euronet is a leading electronic payments provider. We offer payment and transaction processing and distribution solutions to financial institutions, retailers, service providers and individual consumers. Our primary product offerings include comprehensive ATM, POS, card outsourcing, card issuing and merchant acquiring services, software solutions, electronic distribution of prepaid mobile airtime and other electronic payment products, foreign currency exchange services and global money transfer services. We operate in the following three segments:</w:t>
      </w:r>
    </w:p>
    <w:p>
      <w:pPr>
        <w:spacing w:after="0" w:line="347" w:lineRule="exact"/>
        <w:rPr>
          <w:sz w:val="20"/>
          <w:szCs w:val="20"/>
          <w:color w:val="auto"/>
        </w:rPr>
      </w:pPr>
    </w:p>
    <w:p>
      <w:pPr>
        <w:ind w:left="1020" w:right="680" w:hanging="661"/>
        <w:spacing w:after="0" w:line="296"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EFT Processing Segment, which processes transactions for a network of 41,648 ATMs and approximately 319,000 POS terminals across Europe, the Middle East, Asia Pacific, and the United States. We provide comprehensive electronic payment solutions consisting of ATM cash withdrawal and deposit services, ATM network participation, outsourced ATM and POS management solutions, credit and debit card outsourcing, DCC, and other value added services. Through this segment, we also offer a suite of integrated electronic financial transaction software solutions for electronic payment and transaction delivery systems.</w:t>
      </w:r>
    </w:p>
    <w:p>
      <w:pPr>
        <w:spacing w:after="0" w:line="134" w:lineRule="exact"/>
        <w:rPr>
          <w:rFonts w:ascii="Arial" w:cs="Arial" w:eastAsia="Arial" w:hAnsi="Arial"/>
          <w:sz w:val="16"/>
          <w:szCs w:val="16"/>
          <w:color w:val="auto"/>
        </w:rPr>
      </w:pPr>
    </w:p>
    <w:p>
      <w:pPr>
        <w:ind w:left="1040" w:right="200" w:hanging="681"/>
        <w:spacing w:after="0" w:line="259"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epay Segment, which provides distribution, processing and collection services for prepaid mobile airtime and other electronic content. We operate a network of approximately 703,000 POS terminals providing electronic processing of prepaid mobile airtime top-up services and other electronic content in Europe, the Middle East, Asia Pacific, the United States and South America. We also provide vouchers and physical gift fulfillment services in Europe.</w:t>
      </w:r>
    </w:p>
    <w:p>
      <w:pPr>
        <w:spacing w:after="0" w:line="159" w:lineRule="exact"/>
        <w:rPr>
          <w:rFonts w:ascii="Arial" w:cs="Arial" w:eastAsia="Arial" w:hAnsi="Arial"/>
          <w:sz w:val="18"/>
          <w:szCs w:val="18"/>
          <w:color w:val="auto"/>
        </w:rPr>
      </w:pPr>
    </w:p>
    <w:p>
      <w:pPr>
        <w:ind w:left="1040" w:right="20" w:hanging="681"/>
        <w:spacing w:after="0" w:line="269"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Money Transfer Segment, which provides global consumer-to-consumer money transfer services, primarily under the brand names Ria, AFEX Money Express, IME and xe and global account-to-account money transfer services under the brand name xe. We offer services under the brand names Ria, AFEX Money Express and IME through a network of sending agents, Company-owned stores (primarily in North America, Europe and Malaysia) and our websites (riamoneytransfer.com and online.imeremit.com), disbursing money transfers through a worldwide correspondent network that includes approximately 435,000 locations. xe is a provider of foreign currency exchange information and offers money transfer services on its currency data websites (xe.com and x-rates.com).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 and prepaid mobile top-up. Through our xe brand, we offer cash management solutions and foreign currency risk management services to small-to-medium sized businesses.</w:t>
      </w:r>
    </w:p>
    <w:p>
      <w:pPr>
        <w:spacing w:after="0" w:line="104" w:lineRule="exact"/>
        <w:rPr>
          <w:sz w:val="20"/>
          <w:szCs w:val="20"/>
          <w:color w:val="auto"/>
        </w:rPr>
      </w:pPr>
    </w:p>
    <w:p>
      <w:pPr>
        <w:ind w:left="60" w:right="20"/>
        <w:spacing w:after="0" w:line="257" w:lineRule="auto"/>
        <w:rPr>
          <w:sz w:val="20"/>
          <w:szCs w:val="20"/>
          <w:color w:val="auto"/>
        </w:rPr>
      </w:pPr>
      <w:r>
        <w:rPr>
          <w:rFonts w:ascii="Arial" w:cs="Arial" w:eastAsia="Arial" w:hAnsi="Arial"/>
          <w:sz w:val="18"/>
          <w:szCs w:val="18"/>
          <w:color w:val="auto"/>
        </w:rPr>
        <w:t>We have six processing centers in Europe, five in Asia Pacific and two in North America. We have 36 principal offices in Europe, 14 in Asia Pacific, 10 in North America, three in the Middle East, two in South America and one in Africa. Our executive offices are located in Leawood, Kansas, USA. With approximately 70% of our revenues denominated in currencies other than the U.S. dollar, any significant changes in foreign currency exchange rates will likely have a significant impact on our results of operations (for a further discussion, see Item 1A - Risk Factors in our Annual Report on Form 10-K for the year ended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Euronet earns revenues and income primarily from ATM management fees, transaction fees, commissions and foreign currency exchange margin. Each operating segment’s sources of revenues are described below.</w:t>
      </w:r>
    </w:p>
    <w:p>
      <w:pPr>
        <w:spacing w:after="0" w:line="6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Revenues in the EFT Processing Segment, which represented approximately 15% and 20% of total consolidated revenues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three and six months ended June 30, 2020, respectively, are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DCC transactions, domestic and international surcharge, foreign currency dispensing and other value added services such as advertising, prepaid telecommunication recharges, bill payment, and money transfers provided over ATMs. Revenues in this segment are also derived from cardless payment, banknote recycling, tax refund services, license fees, professional services and maintenance fees for proprietary application software and sales of related hardware.</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color w:val="auto"/>
        </w:rPr>
        <w:t xml:space="preserve">epay Segment </w:t>
      </w:r>
      <w:r>
        <w:rPr>
          <w:rFonts w:ascii="Arial" w:cs="Arial" w:eastAsia="Arial" w:hAnsi="Arial"/>
          <w:sz w:val="16"/>
          <w:szCs w:val="16"/>
          <w:color w:val="auto"/>
        </w:rPr>
        <w:t>— Revenues in the epay Segment, which represented approximately 35% and 32% of total consolidated revenues for the three and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2020, respectively, are primarily derived from commissions or processing fees received from mobile phone operators for the processing and distribution of prepaid mobile airtime and commissions earned from the distribution of other electronic content, vouchers, and physical gifts. The proportion of epay Segment revenues earned from the distribution of prepaid mobile phone time compared with other electronic products has decreased over time, and digital media content now produces approximately 63% of epay Segment revenues. Other electronic content offered by this segment includes digital content such as music, games and software, as well as, other products including prepaid long distance calling card plans, prepaid Internet plans, prepaid debit cards, gift cards, vouchers, transport payments, lottery payments, bill payment, and money transfer.</w:t>
      </w:r>
    </w:p>
    <w:p>
      <w:pPr>
        <w:spacing w:after="0" w:line="5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 xml:space="preserve">Money Transfer Segment </w:t>
      </w:r>
      <w:r>
        <w:rPr>
          <w:rFonts w:ascii="Arial" w:cs="Arial" w:eastAsia="Arial" w:hAnsi="Arial"/>
          <w:sz w:val="18"/>
          <w:szCs w:val="18"/>
          <w:color w:val="auto"/>
        </w:rPr>
        <w:t>— Revenues in the Money Transfer Segment, which represented approximately 50% and 48% of total consolidated revenues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and six months ended June 30, 2020, respectively, are primarily derived from transaction fees, as well as the margin earned from purchasing foreign currency at wholesale exchange rates and selling the foreign currency to customers at retail exchange rates. We have a sending agent network in place comprised of agents, customer service representatives, Company-owned stores, primarily in North America, Europe and Malaysia, and Ria, and xe branded websites, along with a worldwide network of correspondent agents, consisting primarily of financial institutions in the transfer destination countries. Sending and correspondent agents each earn fees for cash collection and distribution services, which are recognized as direct operating costs at the time of sale.</w:t>
      </w:r>
    </w:p>
    <w:p>
      <w:pPr>
        <w:spacing w:after="0" w:line="8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offers a money transfer product called Walmart-2-Walmart Money Transfer Service which allows customers to transfer money to and from Walmart stores in the U.S. Our Ria business executes the transfers with Walmart serving as both the sending agent and payout correspondent. Ria earns a lower margin from these transactions than its traditional money transfers; however, the arrangement has added a significant number of transactions to Ria's business. The agreement with Walmart establishes Ria as the only party through which Walmart will sell U.S. domestic money transfers branded with Walmart marks. The agreement is effective until April 2023. Thereafter, it will automatically renew for subsequent one year terms unless either party provides notice to the contrary. The agreement imposes certain obligations on each party, the most significant being service level requirements by Ria and money transfer compliance requirements by Walmart. Any violation of these requirements by Ria could result in an obligation to indemnify Walmart or termination of the contract by Walmart. However, the agreement allows the parties to resolve disputes by mutual agreement without termination of the agreement.</w:t>
      </w:r>
    </w:p>
    <w:p>
      <w:pPr>
        <w:spacing w:after="0" w:line="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operating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Eliminations and Other” category includes non-operating activity, certain inter-segment eliminations and the cost of providing corporate and other administrative services to the operating segments, including most share-based compensation expense. These services are not directly identifiable with our reportable operating segments.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expansion plans and opportunities are focused on eight primary areas:</w:t>
      </w:r>
    </w:p>
    <w:p>
      <w:pPr>
        <w:spacing w:after="0" w:line="171" w:lineRule="exact"/>
        <w:rPr>
          <w:sz w:val="20"/>
          <w:szCs w:val="20"/>
          <w:color w:val="auto"/>
        </w:rPr>
      </w:pPr>
    </w:p>
    <w:p>
      <w:pPr>
        <w:ind w:left="1040" w:hanging="681"/>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increasing the number of ATMs and cash deposit terminals in our independent ATM networks;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040" w:hanging="681"/>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increasing transactions processed on our network of owned and operated ATMs and POS devices;</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signing new outsourced ATM and POS terminal management contracts;</w:t>
      </w:r>
    </w:p>
    <w:p>
      <w:pPr>
        <w:spacing w:after="0" w:line="198" w:lineRule="exact"/>
        <w:rPr>
          <w:rFonts w:ascii="Arial" w:cs="Arial" w:eastAsia="Arial" w:hAnsi="Arial"/>
          <w:sz w:val="18"/>
          <w:szCs w:val="18"/>
          <w:color w:val="auto"/>
        </w:rPr>
      </w:pPr>
    </w:p>
    <w:p>
      <w:pPr>
        <w:ind w:left="1040" w:right="60" w:hanging="681"/>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expanding value added services and other products offered by our EFT Processing Segment, including the sale of DCC, acquiring and other prepaid card services to banks and retailers;</w:t>
      </w:r>
    </w:p>
    <w:p>
      <w:pPr>
        <w:spacing w:after="0" w:line="143" w:lineRule="exact"/>
        <w:rPr>
          <w:rFonts w:ascii="Arial" w:cs="Arial" w:eastAsia="Arial" w:hAnsi="Arial"/>
          <w:sz w:val="18"/>
          <w:szCs w:val="18"/>
          <w:color w:val="auto"/>
        </w:rPr>
      </w:pPr>
    </w:p>
    <w:p>
      <w:pPr>
        <w:ind w:left="1040" w:hanging="681"/>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expanding our epay processing network and portfolio of digital content;</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expanding our money transfer services, cross-currency payments products and bill payment network;</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expanding our cash management solutions and foreign currency risk management services; and</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developing our credit and debit card outsourcing business.</w:t>
      </w:r>
    </w:p>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116" w:lineRule="exact"/>
        <w:rPr>
          <w:sz w:val="20"/>
          <w:szCs w:val="20"/>
          <w:color w:val="auto"/>
        </w:rPr>
      </w:pPr>
    </w:p>
    <w:p>
      <w:pPr>
        <w:ind w:left="1040" w:hanging="681"/>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demand for our ATM outsourcing services in our current target markets;</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develop products or services, including value added services, to drive increases in transactions and revenues;</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expansion of our various business lines in markets where we operate and in new markets;</w:t>
      </w:r>
    </w:p>
    <w:p>
      <w:pPr>
        <w:sectPr>
          <w:pgSz w:w="11900" w:h="16838" w:orient="portrait"/>
          <w:cols w:equalWidth="0" w:num="1">
            <w:col w:w="11160"/>
          </w:cols>
          <w:pgMar w:left="320" w:top="125" w:right="419" w:bottom="1440" w:gutter="0" w:footer="0" w:header="0"/>
        </w:sectPr>
      </w:pP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1040" w:hanging="681"/>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entry into additional card acceptance and ATM management agreements with banks;</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obtain required licenses in markets we intend to enter or expand services;</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enter into sponsorship agreements where our licenses are not applicable;</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enter into and renew ATM network cash supply agreements with financial institutions;</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financing for expansion;</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efficiently install ATMs contracted under newly awarded outsourcing agreements;</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renew existing contracts at profitable rates;</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pricing at current levels or mitigate price reductions in certain markets;</w:t>
      </w:r>
    </w:p>
    <w:p>
      <w:pPr>
        <w:spacing w:after="0" w:line="198" w:lineRule="exact"/>
        <w:rPr>
          <w:rFonts w:ascii="Arial" w:cs="Arial" w:eastAsia="Arial" w:hAnsi="Arial"/>
          <w:sz w:val="18"/>
          <w:szCs w:val="18"/>
          <w:color w:val="auto"/>
        </w:rPr>
      </w:pPr>
    </w:p>
    <w:p>
      <w:pPr>
        <w:ind w:left="1040" w:right="20" w:hanging="681"/>
        <w:spacing w:after="0" w:line="263"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changes in rules imposed by international card organizations such as Visa and Mastercard on card transactions on ATMs, including reductions in ATM interchange fees, restrictions on the ability to apply direct access fees, the ability to offer DCC transactions on ATMs, and increases in fees charged on DCC transactions;</w:t>
      </w:r>
    </w:p>
    <w:p>
      <w:pPr>
        <w:spacing w:after="0" w:line="156" w:lineRule="exact"/>
        <w:rPr>
          <w:rFonts w:ascii="Arial" w:cs="Arial" w:eastAsia="Arial" w:hAnsi="Arial"/>
          <w:sz w:val="18"/>
          <w:szCs w:val="18"/>
          <w:color w:val="auto"/>
        </w:rPr>
      </w:pPr>
    </w:p>
    <w:p>
      <w:pPr>
        <w:ind w:left="1040" w:right="280" w:hanging="681"/>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changes in laws and regulations affecting the profitability of our services, including regulation of DCC transactions by the E.U.;</w:t>
      </w:r>
    </w:p>
    <w:p>
      <w:pPr>
        <w:spacing w:after="0" w:line="143" w:lineRule="exact"/>
        <w:rPr>
          <w:rFonts w:ascii="Arial" w:cs="Arial" w:eastAsia="Arial" w:hAnsi="Arial"/>
          <w:sz w:val="18"/>
          <w:szCs w:val="18"/>
          <w:color w:val="auto"/>
        </w:rPr>
      </w:pPr>
    </w:p>
    <w:p>
      <w:pPr>
        <w:ind w:left="1040" w:hanging="681"/>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overall market trends on ATM transactions in our current target markets;</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expand and sign additional customers for the cross-border merchant processing and acquiring business;</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continued development and implementation of our software products and their ability to interact with other leading products; and</w:t>
      </w:r>
    </w:p>
    <w:p>
      <w:pPr>
        <w:spacing w:after="0" w:line="209" w:lineRule="exact"/>
        <w:rPr>
          <w:rFonts w:ascii="Arial" w:cs="Arial" w:eastAsia="Arial" w:hAnsi="Arial"/>
          <w:sz w:val="17"/>
          <w:szCs w:val="17"/>
          <w:color w:val="auto"/>
        </w:rPr>
      </w:pPr>
    </w:p>
    <w:p>
      <w:pPr>
        <w:ind w:left="1040" w:right="240" w:hanging="681"/>
        <w:spacing w:after="0" w:line="263"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duration and severity of the COVID-19 pandemic may limit access to ATM locations, create consumer fear regarding contracting the virus by touching ATM screens, keyboards or cash, impact consumer cross-border travel habits and reduce high margin cross-border transactions.</w:t>
      </w:r>
    </w:p>
    <w:p>
      <w:pPr>
        <w:spacing w:after="0" w:line="21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consistently evaluate and add prospects to our list of potential ATM outsource customers. However, we cannot predict the increase or decrease in the number of ATMs we manage under outsourcing agreements because this depends largely on the willingness of banks to enter into outsourcing contracts with us. Due to the thorough internal reviews and extensive negotiations conducted by existing and prospective banking customers in choosing outsource vendors, the process of entering into or renewing outsourcing agreements can take several months. The process is further complicated by the legal and regulatory considerations of local countries. These agreements tend to cover large numbers of ATMs, so significant increases and decreases in our pool of managed ATMs could result from the acquisition or termination of one or more of these management contracts. Therefore, the timing of both current and new contract revenues is uncertain and unpredictable.</w:t>
      </w:r>
    </w:p>
    <w:p>
      <w:pPr>
        <w:spacing w:after="0" w:line="6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Software products are an integral part of our product lines, and our investment in research, development, delivery and customer support reflects our ongoing commitment to an expanded customer base.</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epay Segment </w:t>
      </w:r>
      <w:r>
        <w:rPr>
          <w:rFonts w:ascii="Arial" w:cs="Arial" w:eastAsia="Arial" w:hAnsi="Arial"/>
          <w:sz w:val="18"/>
          <w:szCs w:val="18"/>
          <w:color w:val="auto"/>
        </w:rPr>
        <w:t>— The continued expansion and development of the epay Segment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116" w:lineRule="exact"/>
        <w:rPr>
          <w:sz w:val="20"/>
          <w:szCs w:val="20"/>
          <w:color w:val="auto"/>
        </w:rPr>
      </w:pPr>
    </w:p>
    <w:p>
      <w:pPr>
        <w:ind w:left="1040" w:hanging="681"/>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and renew existing agreements, and to negotiate new agreements in additional markets with mobile operators, digital content providers, agent financial institutions and retailers;</w:t>
      </w:r>
    </w:p>
    <w:p>
      <w:pPr>
        <w:spacing w:after="0" w:line="143" w:lineRule="exact"/>
        <w:rPr>
          <w:rFonts w:ascii="Arial" w:cs="Arial" w:eastAsia="Arial" w:hAnsi="Arial"/>
          <w:sz w:val="18"/>
          <w:szCs w:val="18"/>
          <w:color w:val="auto"/>
        </w:rPr>
      </w:pPr>
    </w:p>
    <w:p>
      <w:pPr>
        <w:ind w:left="1040" w:hanging="681"/>
        <w:spacing w:after="0"/>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use existing expertise and relationships with mobile operators, digital content providers and retailers to our advantage;</w:t>
      </w:r>
    </w:p>
    <w:p>
      <w:pPr>
        <w:spacing w:after="0" w:line="209" w:lineRule="exact"/>
        <w:rPr>
          <w:rFonts w:ascii="Arial" w:cs="Arial" w:eastAsia="Arial" w:hAnsi="Arial"/>
          <w:sz w:val="17"/>
          <w:szCs w:val="17"/>
          <w:color w:val="auto"/>
        </w:rPr>
      </w:pPr>
    </w:p>
    <w:p>
      <w:pPr>
        <w:ind w:left="1040" w:right="360" w:hanging="681"/>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continued use of third-party providers such as ourselves to supply electronic processing solutions for existing and additional digital content;</w:t>
      </w:r>
    </w:p>
    <w:p>
      <w:pPr>
        <w:spacing w:after="0" w:line="143" w:lineRule="exact"/>
        <w:rPr>
          <w:rFonts w:ascii="Arial" w:cs="Arial" w:eastAsia="Arial" w:hAnsi="Arial"/>
          <w:sz w:val="18"/>
          <w:szCs w:val="18"/>
          <w:color w:val="auto"/>
        </w:rPr>
      </w:pPr>
    </w:p>
    <w:p>
      <w:pPr>
        <w:ind w:left="1040" w:hanging="681"/>
        <w:spacing w:after="0"/>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development of mobile phone networks in the markets in which we do business and the increase in the number of mobile phone users;</w:t>
      </w:r>
    </w:p>
    <w:p>
      <w:pPr>
        <w:spacing w:after="0" w:line="221" w:lineRule="exact"/>
        <w:rPr>
          <w:rFonts w:ascii="Arial" w:cs="Arial" w:eastAsia="Arial" w:hAnsi="Arial"/>
          <w:sz w:val="16"/>
          <w:szCs w:val="16"/>
          <w:color w:val="auto"/>
        </w:rPr>
      </w:pPr>
    </w:p>
    <w:p>
      <w:pPr>
        <w:ind w:left="1040" w:right="40" w:hanging="681"/>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overall pace of growth in the prepaid mobile phone and digital content market, including consumer shifts between prepaid and postpaid services;</w:t>
      </w:r>
    </w:p>
    <w:p>
      <w:pPr>
        <w:spacing w:after="0" w:line="143" w:lineRule="exact"/>
        <w:rPr>
          <w:rFonts w:ascii="Arial" w:cs="Arial" w:eastAsia="Arial" w:hAnsi="Arial"/>
          <w:sz w:val="18"/>
          <w:szCs w:val="18"/>
          <w:color w:val="auto"/>
        </w:rPr>
      </w:pPr>
    </w:p>
    <w:p>
      <w:pPr>
        <w:ind w:left="1040" w:hanging="681"/>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market share of the retail distribution capacity;</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POS distribution of prepaid mobile airtime and other products;</w:t>
      </w:r>
    </w:p>
    <w:p>
      <w:pPr>
        <w:sectPr>
          <w:pgSz w:w="11900" w:h="16838" w:orient="portrait"/>
          <w:cols w:equalWidth="0" w:num="1">
            <w:col w:w="11100"/>
          </w:cols>
          <w:pgMar w:left="320" w:top="125" w:right="479" w:bottom="1440" w:gutter="0" w:footer="0" w:header="0"/>
        </w:sectPr>
      </w:pP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1040" w:hanging="681"/>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of commission that is paid to the various intermediaries in the electronic payment distribution chain;</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fully recover monies collected by retailers;</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add new and differentiated products in addition to those offered by mobile operators;</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develop and effectively market additional value added services;</w:t>
      </w:r>
    </w:p>
    <w:p>
      <w:pPr>
        <w:spacing w:after="0" w:line="198" w:lineRule="exact"/>
        <w:rPr>
          <w:rFonts w:ascii="Arial" w:cs="Arial" w:eastAsia="Arial" w:hAnsi="Arial"/>
          <w:sz w:val="18"/>
          <w:szCs w:val="18"/>
          <w:color w:val="auto"/>
        </w:rPr>
      </w:pPr>
    </w:p>
    <w:p>
      <w:pPr>
        <w:ind w:left="1040" w:right="360" w:hanging="681"/>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EFT Processing and Money Transfer Segments, including providing money transfer services through our distribution network;</w:t>
      </w:r>
    </w:p>
    <w:p>
      <w:pPr>
        <w:spacing w:after="0" w:line="143" w:lineRule="exact"/>
        <w:rPr>
          <w:rFonts w:ascii="Arial" w:cs="Arial" w:eastAsia="Arial" w:hAnsi="Arial"/>
          <w:sz w:val="18"/>
          <w:szCs w:val="18"/>
          <w:color w:val="auto"/>
        </w:rPr>
      </w:pPr>
    </w:p>
    <w:p>
      <w:pPr>
        <w:ind w:left="1040" w:hanging="681"/>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 and</w:t>
      </w:r>
    </w:p>
    <w:p>
      <w:pPr>
        <w:spacing w:after="0" w:line="198" w:lineRule="exact"/>
        <w:rPr>
          <w:rFonts w:ascii="Arial" w:cs="Arial" w:eastAsia="Arial" w:hAnsi="Arial"/>
          <w:sz w:val="18"/>
          <w:szCs w:val="18"/>
          <w:color w:val="auto"/>
        </w:rPr>
      </w:pPr>
    </w:p>
    <w:p>
      <w:pPr>
        <w:ind w:left="1040" w:right="100" w:hanging="681"/>
        <w:spacing w:after="0" w:line="263"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duration and severity of the COVID-19 pandemic may limit access to POS merchant locations, our ability to maintain and grow our relationships with digital content providers that are experiencing increased demand due to the COVID-19 pandemic, and increase our credit risk as many of our merchants are temporarily closed as nonessential services.</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all of the markets in which we operate, we are experiencing significant competition which will impact the rate at which we may be able to grow organically. Competition among prepaid mobile airtime and electronic content distributors results in the increase of commissions paid to retailers and increases in retailer attrition rates. To grow, we must capture market share from other prepaid mobile airtime and electronic content distributors, offer a superior product offering and demonstrate the value of a global network. In certain markets in which we operate, many of the factors that may contribute to rapid growth (growth in electronic content, expansion of our network of retailers and access to products of mobile operators and other content providers) remain present.</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continued expansion and development of our Money Transfer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116" w:lineRule="exact"/>
        <w:rPr>
          <w:sz w:val="20"/>
          <w:szCs w:val="20"/>
          <w:color w:val="auto"/>
        </w:rPr>
      </w:pPr>
    </w:p>
    <w:p>
      <w:pPr>
        <w:ind w:left="1040" w:hanging="681"/>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continued growth in worker migration and employment opportunities;</w:t>
      </w:r>
    </w:p>
    <w:p>
      <w:pPr>
        <w:spacing w:after="0" w:line="198" w:lineRule="exact"/>
        <w:rPr>
          <w:rFonts w:ascii="Arial" w:cs="Arial" w:eastAsia="Arial" w:hAnsi="Arial"/>
          <w:sz w:val="18"/>
          <w:szCs w:val="18"/>
          <w:color w:val="auto"/>
        </w:rPr>
      </w:pPr>
    </w:p>
    <w:p>
      <w:pPr>
        <w:ind w:left="1040" w:right="720" w:hanging="681"/>
        <w:spacing w:after="0" w:line="342" w:lineRule="auto"/>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mitigation of economic and political factors that have had an adverse impact on money transfer volumes, such as changes in the economic sectors in which immigrants work and the developments in immigration policies in the countries in which we operate;</w:t>
      </w:r>
    </w:p>
    <w:p>
      <w:pPr>
        <w:spacing w:after="0" w:line="96" w:lineRule="exact"/>
        <w:rPr>
          <w:rFonts w:ascii="Arial" w:cs="Arial" w:eastAsia="Arial" w:hAnsi="Arial"/>
          <w:sz w:val="16"/>
          <w:szCs w:val="16"/>
          <w:color w:val="auto"/>
        </w:rPr>
      </w:pPr>
    </w:p>
    <w:p>
      <w:pPr>
        <w:ind w:left="1040" w:right="600" w:hanging="681"/>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continuation of the trend of increased use of electronic money transfer and bill payment services among high-income individuals, immigrant workers and the unbanked population in our markets;</w:t>
      </w:r>
    </w:p>
    <w:p>
      <w:pPr>
        <w:spacing w:after="0" w:line="143" w:lineRule="exact"/>
        <w:rPr>
          <w:rFonts w:ascii="Arial" w:cs="Arial" w:eastAsia="Arial" w:hAnsi="Arial"/>
          <w:sz w:val="18"/>
          <w:szCs w:val="18"/>
          <w:color w:val="auto"/>
        </w:rPr>
      </w:pPr>
    </w:p>
    <w:p>
      <w:pPr>
        <w:ind w:left="1040" w:hanging="681"/>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our agent and correspondent networks;</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offer our products and services or develop new products and services at competitive prices to drive increases in transactions;</w:t>
      </w:r>
    </w:p>
    <w:p>
      <w:pPr>
        <w:spacing w:after="0" w:line="221" w:lineRule="exact"/>
        <w:rPr>
          <w:rFonts w:ascii="Arial" w:cs="Arial" w:eastAsia="Arial" w:hAnsi="Arial"/>
          <w:sz w:val="16"/>
          <w:szCs w:val="16"/>
          <w:color w:val="auto"/>
        </w:rPr>
      </w:pPr>
    </w:p>
    <w:p>
      <w:pPr>
        <w:ind w:left="1040" w:right="80" w:hanging="681"/>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our money transfer network, and our ability to acquire, develop and implement new technologies;</w:t>
      </w:r>
    </w:p>
    <w:p>
      <w:pPr>
        <w:spacing w:after="0" w:line="143" w:lineRule="exact"/>
        <w:rPr>
          <w:rFonts w:ascii="Arial" w:cs="Arial" w:eastAsia="Arial" w:hAnsi="Arial"/>
          <w:sz w:val="18"/>
          <w:szCs w:val="18"/>
          <w:color w:val="auto"/>
        </w:rPr>
      </w:pPr>
    </w:p>
    <w:p>
      <w:pPr>
        <w:ind w:left="1040" w:hanging="681"/>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expansion of our services in markets where we operate and in new markets;</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strengthen our brands;</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fund working capital requirements;</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recover from agents funds collected from customers and our ability to recover advances made to correspondents;</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98" w:lineRule="exact"/>
        <w:rPr>
          <w:rFonts w:ascii="Arial" w:cs="Arial" w:eastAsia="Arial" w:hAnsi="Arial"/>
          <w:sz w:val="18"/>
          <w:szCs w:val="18"/>
          <w:color w:val="auto"/>
        </w:rPr>
      </w:pPr>
    </w:p>
    <w:p>
      <w:pPr>
        <w:ind w:left="1040" w:right="200" w:hanging="681"/>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epay Segment, including providing prepaid services through our stores and agents worldwide;</w:t>
      </w:r>
    </w:p>
    <w:p>
      <w:pPr>
        <w:spacing w:after="0" w:line="143" w:lineRule="exact"/>
        <w:rPr>
          <w:rFonts w:ascii="Arial" w:cs="Arial" w:eastAsia="Arial" w:hAnsi="Arial"/>
          <w:sz w:val="18"/>
          <w:szCs w:val="18"/>
          <w:color w:val="auto"/>
        </w:rPr>
      </w:pPr>
    </w:p>
    <w:p>
      <w:pPr>
        <w:ind w:left="1040" w:right="560" w:hanging="681"/>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leverage our banking and merchant/retailer relationships to expand money transfer corridors to Europe, Asia and Africa, including high growth corridors to Central and Eastern European countries;</w:t>
      </w:r>
    </w:p>
    <w:p>
      <w:pPr>
        <w:spacing w:after="0" w:line="143" w:lineRule="exact"/>
        <w:rPr>
          <w:rFonts w:ascii="Arial" w:cs="Arial" w:eastAsia="Arial" w:hAnsi="Arial"/>
          <w:sz w:val="18"/>
          <w:szCs w:val="18"/>
          <w:color w:val="auto"/>
        </w:rPr>
      </w:pPr>
    </w:p>
    <w:p>
      <w:pPr>
        <w:ind w:left="1040" w:hanging="681"/>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to maintain banking relationships necessary for us to service our customers;</w:t>
      </w:r>
    </w:p>
    <w:p>
      <w:pPr>
        <w:spacing w:after="0" w:line="198" w:lineRule="exact"/>
        <w:rPr>
          <w:rFonts w:ascii="Arial" w:cs="Arial" w:eastAsia="Arial" w:hAnsi="Arial"/>
          <w:sz w:val="18"/>
          <w:szCs w:val="18"/>
          <w:color w:val="auto"/>
        </w:rPr>
      </w:pPr>
    </w:p>
    <w:p>
      <w:pPr>
        <w:ind w:left="1040" w:right="260" w:hanging="681"/>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successfully expand our agent network in Europe using our payment institution licenses under the Second Payment Services Directive ("PSD2") and using our various licenses in the United States;</w:t>
      </w:r>
    </w:p>
    <w:p>
      <w:pPr>
        <w:spacing w:after="0" w:line="143" w:lineRule="exact"/>
        <w:rPr>
          <w:rFonts w:ascii="Arial" w:cs="Arial" w:eastAsia="Arial" w:hAnsi="Arial"/>
          <w:sz w:val="18"/>
          <w:szCs w:val="18"/>
          <w:color w:val="auto"/>
        </w:rPr>
      </w:pPr>
    </w:p>
    <w:p>
      <w:pPr>
        <w:ind w:left="1040" w:hanging="681"/>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provide additional value-added products under the xe brand; and</w:t>
      </w:r>
    </w:p>
    <w:p>
      <w:pPr>
        <w:spacing w:after="0" w:line="198" w:lineRule="exact"/>
        <w:rPr>
          <w:rFonts w:ascii="Arial" w:cs="Arial" w:eastAsia="Arial" w:hAnsi="Arial"/>
          <w:sz w:val="18"/>
          <w:szCs w:val="18"/>
          <w:color w:val="auto"/>
        </w:rPr>
      </w:pPr>
    </w:p>
    <w:p>
      <w:pPr>
        <w:ind w:left="1040" w:right="80" w:hanging="681"/>
        <w:spacing w:after="0" w:line="263"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duration and severity of the COVID-19 pandemic impact on worker migration and employment opportunities, the ability of our customers to access agent network locations due to government ordered business closures, and the potential for an increase in credit risk and customer agent receivable defaults.</w:t>
      </w:r>
    </w:p>
    <w:p>
      <w:pPr>
        <w:spacing w:after="0" w:line="31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SUMMARY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Revenues and operating income by segment for the three and six months ended June 30, 2020 and 2019 are summarized in the tables below:</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2"/>
              </w:rPr>
              <w:t>Revenues for the Three Months</w:t>
            </w:r>
          </w:p>
        </w:tc>
        <w:tc>
          <w:tcPr>
            <w:tcW w:w="60" w:type="dxa"/>
            <w:vAlign w:val="bottom"/>
          </w:tcPr>
          <w:p>
            <w:pPr>
              <w:spacing w:after="0"/>
              <w:rPr>
                <w:sz w:val="14"/>
                <w:szCs w:val="14"/>
                <w:color w:val="auto"/>
              </w:rPr>
            </w:pPr>
          </w:p>
        </w:tc>
        <w:tc>
          <w:tcPr>
            <w:tcW w:w="1840" w:type="dxa"/>
            <w:vAlign w:val="bottom"/>
            <w:gridSpan w:val="5"/>
            <w:vMerge w:val="restart"/>
          </w:tcPr>
          <w:p>
            <w:pPr>
              <w:jc w:val="right"/>
              <w:ind w:right="148"/>
              <w:spacing w:after="0"/>
              <w:rPr>
                <w:sz w:val="20"/>
                <w:szCs w:val="20"/>
                <w:color w:val="auto"/>
              </w:rPr>
            </w:pPr>
            <w:r>
              <w:rPr>
                <w:rFonts w:ascii="Arial" w:cs="Arial" w:eastAsia="Arial" w:hAnsi="Arial"/>
                <w:sz w:val="14"/>
                <w:szCs w:val="14"/>
                <w:b w:val="1"/>
                <w:bCs w:val="1"/>
                <w:color w:val="auto"/>
              </w:rPr>
              <w:t>Year-over-Year Change</w:t>
            </w:r>
          </w:p>
        </w:tc>
        <w:tc>
          <w:tcPr>
            <w:tcW w:w="100" w:type="dxa"/>
            <w:vAlign w:val="bottom"/>
            <w:gridSpan w:val="2"/>
            <w:vMerge w:val="restart"/>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8"/>
          </w:tcPr>
          <w:p>
            <w:pPr>
              <w:ind w:left="20"/>
              <w:spacing w:after="0"/>
              <w:rPr>
                <w:sz w:val="20"/>
                <w:szCs w:val="20"/>
                <w:color w:val="auto"/>
              </w:rPr>
            </w:pPr>
            <w:r>
              <w:rPr>
                <w:rFonts w:ascii="Arial" w:cs="Arial" w:eastAsia="Arial" w:hAnsi="Arial"/>
                <w:sz w:val="14"/>
                <w:szCs w:val="14"/>
                <w:b w:val="1"/>
                <w:bCs w:val="1"/>
                <w:color w:val="auto"/>
                <w:w w:val="98"/>
              </w:rPr>
              <w:t>Revenues for the Six Months Ended</w:t>
            </w:r>
          </w:p>
        </w:tc>
        <w:tc>
          <w:tcPr>
            <w:tcW w:w="1900" w:type="dxa"/>
            <w:vAlign w:val="bottom"/>
            <w:gridSpan w:val="3"/>
            <w:vMerge w:val="restart"/>
          </w:tcPr>
          <w:p>
            <w:pPr>
              <w:jc w:val="right"/>
              <w:ind w:right="14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jc w:val="center"/>
              <w:ind w:right="33"/>
              <w:spacing w:after="0"/>
              <w:rPr>
                <w:sz w:val="20"/>
                <w:szCs w:val="20"/>
                <w:color w:val="auto"/>
              </w:rPr>
            </w:pPr>
            <w:r>
              <w:rPr>
                <w:rFonts w:ascii="Arial" w:cs="Arial" w:eastAsia="Arial" w:hAnsi="Arial"/>
                <w:sz w:val="14"/>
                <w:szCs w:val="14"/>
                <w:b w:val="1"/>
                <w:bCs w:val="1"/>
                <w:color w:val="auto"/>
                <w:w w:val="91"/>
              </w:rPr>
              <w:t>Ended June 30,</w:t>
            </w:r>
          </w:p>
        </w:tc>
        <w:tc>
          <w:tcPr>
            <w:tcW w:w="120" w:type="dxa"/>
            <w:vAlign w:val="bottom"/>
            <w:gridSpan w:val="2"/>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vMerge w:val="continue"/>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ind w:left="140"/>
              <w:spacing w:after="0" w:line="153" w:lineRule="exact"/>
              <w:rPr>
                <w:sz w:val="20"/>
                <w:szCs w:val="20"/>
                <w:color w:val="auto"/>
              </w:rPr>
            </w:pPr>
            <w:r>
              <w:rPr>
                <w:rFonts w:ascii="Arial" w:cs="Arial" w:eastAsia="Arial" w:hAnsi="Arial"/>
                <w:sz w:val="14"/>
                <w:szCs w:val="14"/>
                <w:b w:val="1"/>
                <w:bCs w:val="1"/>
                <w:color w:val="auto"/>
              </w:rPr>
              <w:t>Increase</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jc w:val="center"/>
              <w:ind w:right="160"/>
              <w:spacing w:after="0" w:line="153" w:lineRule="exact"/>
              <w:rPr>
                <w:sz w:val="20"/>
                <w:szCs w:val="20"/>
                <w:color w:val="auto"/>
              </w:rPr>
            </w:pPr>
            <w:r>
              <w:rPr>
                <w:rFonts w:ascii="Arial" w:cs="Arial" w:eastAsia="Arial" w:hAnsi="Arial"/>
                <w:sz w:val="14"/>
                <w:szCs w:val="14"/>
                <w:b w:val="1"/>
                <w:bCs w:val="1"/>
                <w:color w:val="auto"/>
                <w:w w:val="91"/>
              </w:rPr>
              <w:t>Increase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860" w:type="dxa"/>
            <w:vAlign w:val="bottom"/>
          </w:tcPr>
          <w:p>
            <w:pPr>
              <w:jc w:val="center"/>
              <w:ind w:right="108"/>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ind w:right="84"/>
              <w:spacing w:after="0" w:line="149" w:lineRule="exact"/>
              <w:rPr>
                <w:sz w:val="20"/>
                <w:szCs w:val="20"/>
                <w:color w:val="auto"/>
              </w:rPr>
            </w:pPr>
            <w:r>
              <w:rPr>
                <w:rFonts w:ascii="Arial" w:cs="Arial" w:eastAsia="Arial" w:hAnsi="Arial"/>
                <w:sz w:val="14"/>
                <w:szCs w:val="14"/>
                <w:b w:val="1"/>
                <w:bCs w:val="1"/>
                <w:color w:val="auto"/>
                <w:w w:val="97"/>
              </w:rPr>
              <w:t>(Decrease)</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(Decrease)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86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23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(dollar amounts in thousands)</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9"/>
              </w:rPr>
              <w:t>Percent</w:t>
            </w:r>
          </w:p>
        </w:tc>
        <w:tc>
          <w:tcPr>
            <w:tcW w:w="100" w:type="dxa"/>
            <w:vAlign w:val="bottom"/>
            <w:tcBorders>
              <w:bottom w:val="single" w:sz="8" w:color="CCEEFF"/>
            </w:tcBorders>
            <w:gridSpan w:val="2"/>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69"/>
        </w:trPr>
        <w:tc>
          <w:tcPr>
            <w:tcW w:w="2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78,488</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231,946</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w w:val="94"/>
              </w:rPr>
              <w:t>$(153,458)</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224,313</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377,649</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1"/>
              </w:rPr>
              <w:t>$(153,336)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0"/>
        </w:trPr>
        <w:tc>
          <w:tcPr>
            <w:tcW w:w="234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187,563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184,160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2"/>
          </w:tcPr>
          <w:p>
            <w:pPr>
              <w:jc w:val="right"/>
              <w:ind w:right="24"/>
              <w:spacing w:after="0"/>
              <w:rPr>
                <w:sz w:val="20"/>
                <w:szCs w:val="20"/>
                <w:color w:val="auto"/>
              </w:rPr>
            </w:pPr>
            <w:r>
              <w:rPr>
                <w:rFonts w:ascii="Arial" w:cs="Arial" w:eastAsia="Arial" w:hAnsi="Arial"/>
                <w:sz w:val="18"/>
                <w:szCs w:val="18"/>
                <w:color w:val="auto"/>
              </w:rPr>
              <w:t>3,403</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360,474</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360,274</w:t>
            </w:r>
          </w:p>
        </w:tc>
        <w:tc>
          <w:tcPr>
            <w:tcW w:w="120" w:type="dxa"/>
            <w:vAlign w:val="bottom"/>
          </w:tcPr>
          <w:p>
            <w:pPr>
              <w:spacing w:after="0"/>
              <w:rPr>
                <w:sz w:val="23"/>
                <w:szCs w:val="23"/>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200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2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262,863</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276,783</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tcBorders>
              <w:bottom w:val="single" w:sz="8" w:color="auto"/>
            </w:tcBorders>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(13,920)</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529,097</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533,364</w:t>
            </w:r>
          </w:p>
        </w:tc>
        <w:tc>
          <w:tcPr>
            <w:tcW w:w="12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(4,267)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4"/>
        </w:trPr>
        <w:tc>
          <w:tcPr>
            <w:tcW w:w="23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528,914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692,889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24"/>
              <w:spacing w:after="0"/>
              <w:rPr>
                <w:sz w:val="20"/>
                <w:szCs w:val="20"/>
                <w:color w:val="auto"/>
              </w:rPr>
            </w:pPr>
            <w:r>
              <w:rPr>
                <w:rFonts w:ascii="Arial" w:cs="Arial" w:eastAsia="Arial" w:hAnsi="Arial"/>
                <w:sz w:val="18"/>
                <w:szCs w:val="18"/>
                <w:color w:val="auto"/>
              </w:rPr>
              <w:t>(163,975)</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w w:val="94"/>
              </w:rPr>
              <w:t>1,113,884</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w w:val="87"/>
              </w:rPr>
              <w:t>1,271,287</w:t>
            </w:r>
          </w:p>
        </w:tc>
        <w:tc>
          <w:tcPr>
            <w:tcW w:w="120" w:type="dxa"/>
            <w:vAlign w:val="bottom"/>
          </w:tcPr>
          <w:p>
            <w:pPr>
              <w:spacing w:after="0"/>
              <w:rPr>
                <w:sz w:val="22"/>
                <w:szCs w:val="22"/>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(157,403)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2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Corporate services,</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eliminations and other</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(1,022)</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tcBorders>
              <w:bottom w:val="single" w:sz="8" w:color="auto"/>
            </w:tcBorders>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(89)</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(2,174)</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(1,911)</w:t>
            </w:r>
          </w:p>
        </w:tc>
        <w:tc>
          <w:tcPr>
            <w:tcW w:w="12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(263)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63"/>
        </w:trPr>
        <w:tc>
          <w:tcPr>
            <w:tcW w:w="234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gridSpan w:val="2"/>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527,803</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691,867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8"/>
                <w:szCs w:val="18"/>
                <w:color w:val="auto"/>
                <w:w w:val="94"/>
              </w:rPr>
              <w:t>$(164,064)</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w w:val="94"/>
              </w:rPr>
              <w:t>1,111,710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87"/>
              </w:rPr>
              <w:t>1,269,376</w:t>
            </w:r>
          </w:p>
        </w:tc>
        <w:tc>
          <w:tcPr>
            <w:tcW w:w="120" w:type="dxa"/>
            <w:vAlign w:val="bottom"/>
          </w:tcPr>
          <w:p>
            <w:pPr>
              <w:spacing w:after="0"/>
              <w:rPr>
                <w:sz w:val="22"/>
                <w:szCs w:val="22"/>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w w:val="91"/>
              </w:rPr>
              <w:t>$(157,666)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2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0" w:type="dxa"/>
            <w:vAlign w:val="bottom"/>
            <w:gridSpan w:val="9"/>
          </w:tcPr>
          <w:p>
            <w:pPr>
              <w:jc w:val="center"/>
              <w:ind w:right="120"/>
              <w:spacing w:after="0"/>
              <w:rPr>
                <w:sz w:val="20"/>
                <w:szCs w:val="20"/>
                <w:color w:val="auto"/>
              </w:rPr>
            </w:pPr>
            <w:r>
              <w:rPr>
                <w:rFonts w:ascii="Arial" w:cs="Arial" w:eastAsia="Arial" w:hAnsi="Arial"/>
                <w:sz w:val="14"/>
                <w:szCs w:val="14"/>
                <w:b w:val="1"/>
                <w:bCs w:val="1"/>
                <w:color w:val="auto"/>
                <w:w w:val="92"/>
              </w:rPr>
              <w:t>Operating Income (Expense) for the</w:t>
            </w:r>
          </w:p>
        </w:tc>
        <w:tc>
          <w:tcPr>
            <w:tcW w:w="60" w:type="dxa"/>
            <w:vAlign w:val="bottom"/>
          </w:tcPr>
          <w:p>
            <w:pPr>
              <w:spacing w:after="0"/>
              <w:rPr>
                <w:sz w:val="24"/>
                <w:szCs w:val="24"/>
                <w:color w:val="auto"/>
              </w:rPr>
            </w:pPr>
          </w:p>
        </w:tc>
        <w:tc>
          <w:tcPr>
            <w:tcW w:w="1900" w:type="dxa"/>
            <w:vAlign w:val="bottom"/>
            <w:gridSpan w:val="6"/>
            <w:vMerge w:val="restart"/>
          </w:tcPr>
          <w:p>
            <w:pPr>
              <w:jc w:val="right"/>
              <w:ind w:right="220"/>
              <w:spacing w:after="0"/>
              <w:rPr>
                <w:sz w:val="20"/>
                <w:szCs w:val="20"/>
                <w:color w:val="auto"/>
              </w:rPr>
            </w:pPr>
            <w:r>
              <w:rPr>
                <w:rFonts w:ascii="Arial" w:cs="Arial" w:eastAsia="Arial" w:hAnsi="Arial"/>
                <w:sz w:val="14"/>
                <w:szCs w:val="14"/>
                <w:b w:val="1"/>
                <w:bCs w:val="1"/>
                <w:color w:val="auto"/>
              </w:rPr>
              <w:t>Year-over-Year Change</w:t>
            </w:r>
          </w:p>
        </w:tc>
        <w:tc>
          <w:tcPr>
            <w:tcW w:w="4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gridSpan w:val="8"/>
          </w:tcPr>
          <w:p>
            <w:pPr>
              <w:ind w:left="40"/>
              <w:spacing w:after="0"/>
              <w:rPr>
                <w:sz w:val="20"/>
                <w:szCs w:val="20"/>
                <w:color w:val="auto"/>
              </w:rPr>
            </w:pPr>
            <w:r>
              <w:rPr>
                <w:rFonts w:ascii="Arial" w:cs="Arial" w:eastAsia="Arial" w:hAnsi="Arial"/>
                <w:sz w:val="14"/>
                <w:szCs w:val="14"/>
                <w:b w:val="1"/>
                <w:bCs w:val="1"/>
                <w:color w:val="auto"/>
                <w:w w:val="98"/>
              </w:rPr>
              <w:t>Operating Income (Expense) for the</w:t>
            </w:r>
          </w:p>
        </w:tc>
        <w:tc>
          <w:tcPr>
            <w:tcW w:w="1900" w:type="dxa"/>
            <w:vAlign w:val="bottom"/>
            <w:gridSpan w:val="3"/>
            <w:vMerge w:val="restart"/>
          </w:tcPr>
          <w:p>
            <w:pPr>
              <w:jc w:val="right"/>
              <w:ind w:right="14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7"/>
          </w:tcPr>
          <w:p>
            <w:pPr>
              <w:jc w:val="center"/>
              <w:ind w:right="160"/>
              <w:spacing w:after="0"/>
              <w:rPr>
                <w:sz w:val="20"/>
                <w:szCs w:val="20"/>
                <w:color w:val="auto"/>
              </w:rPr>
            </w:pPr>
            <w:r>
              <w:rPr>
                <w:rFonts w:ascii="Arial" w:cs="Arial" w:eastAsia="Arial" w:hAnsi="Arial"/>
                <w:sz w:val="14"/>
                <w:szCs w:val="14"/>
                <w:b w:val="1"/>
                <w:bCs w:val="1"/>
                <w:color w:val="auto"/>
                <w:w w:val="92"/>
              </w:rPr>
              <w:t>Three Months Ended June 30,</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00" w:type="dxa"/>
            <w:vAlign w:val="bottom"/>
            <w:tcBorders>
              <w:bottom w:val="single" w:sz="8" w:color="auto"/>
            </w:tcBorders>
            <w:gridSpan w:val="6"/>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jc w:val="right"/>
              <w:ind w:right="193"/>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6"/>
                <w:szCs w:val="16"/>
                <w:color w:val="auto"/>
              </w:rPr>
            </w:pPr>
          </w:p>
        </w:tc>
        <w:tc>
          <w:tcPr>
            <w:tcW w:w="19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ind w:right="64"/>
              <w:spacing w:after="0" w:line="153" w:lineRule="exact"/>
              <w:rPr>
                <w:sz w:val="20"/>
                <w:szCs w:val="20"/>
                <w:color w:val="auto"/>
              </w:rPr>
            </w:pPr>
            <w:r>
              <w:rPr>
                <w:rFonts w:ascii="Arial" w:cs="Arial" w:eastAsia="Arial" w:hAnsi="Arial"/>
                <w:sz w:val="14"/>
                <w:szCs w:val="14"/>
                <w:b w:val="1"/>
                <w:bCs w:val="1"/>
                <w:color w:val="auto"/>
              </w:rPr>
              <w:t>Increase</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jc w:val="center"/>
              <w:ind w:right="40"/>
              <w:spacing w:after="0" w:line="153" w:lineRule="exact"/>
              <w:rPr>
                <w:sz w:val="20"/>
                <w:szCs w:val="20"/>
                <w:color w:val="auto"/>
              </w:rPr>
            </w:pPr>
            <w:r>
              <w:rPr>
                <w:rFonts w:ascii="Arial" w:cs="Arial" w:eastAsia="Arial" w:hAnsi="Arial"/>
                <w:sz w:val="14"/>
                <w:szCs w:val="14"/>
                <w:b w:val="1"/>
                <w:bCs w:val="1"/>
                <w:color w:val="auto"/>
                <w:w w:val="91"/>
              </w:rPr>
              <w:t>Increase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860" w:type="dxa"/>
            <w:vAlign w:val="bottom"/>
          </w:tcPr>
          <w:p>
            <w:pPr>
              <w:jc w:val="center"/>
              <w:ind w:right="108"/>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ind w:left="160"/>
              <w:spacing w:after="0" w:line="149" w:lineRule="exact"/>
              <w:rPr>
                <w:sz w:val="20"/>
                <w:szCs w:val="20"/>
                <w:color w:val="auto"/>
              </w:rPr>
            </w:pPr>
            <w:r>
              <w:rPr>
                <w:rFonts w:ascii="Arial" w:cs="Arial" w:eastAsia="Arial" w:hAnsi="Arial"/>
                <w:sz w:val="14"/>
                <w:szCs w:val="14"/>
                <w:b w:val="1"/>
                <w:bCs w:val="1"/>
                <w:color w:val="auto"/>
                <w:w w:val="97"/>
              </w:rPr>
              <w:t>(Decrease)</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(Decrease)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86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70"/>
        </w:trPr>
        <w:tc>
          <w:tcPr>
            <w:tcW w:w="2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(56,576)</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76,516</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$(133,092)</w:t>
            </w:r>
          </w:p>
        </w:tc>
        <w:tc>
          <w:tcPr>
            <w:tcW w:w="10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(174)%</w:t>
            </w:r>
          </w:p>
        </w:tc>
        <w:tc>
          <w:tcPr>
            <w:tcW w:w="40" w:type="dxa"/>
            <w:vAlign w:val="bottom"/>
            <w:shd w:val="clear" w:color="auto" w:fill="CCEEFF"/>
          </w:tcPr>
          <w:p>
            <w:pPr>
              <w:spacing w:after="0"/>
              <w:rPr>
                <w:sz w:val="23"/>
                <w:szCs w:val="23"/>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(51,641)</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93,284</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1"/>
              </w:rPr>
              <w:t>$(144,925)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0"/>
        </w:trPr>
        <w:tc>
          <w:tcPr>
            <w:tcW w:w="234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18,030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17,555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475</w:t>
            </w: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34,488</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35,554</w:t>
            </w:r>
          </w:p>
        </w:tc>
        <w:tc>
          <w:tcPr>
            <w:tcW w:w="120" w:type="dxa"/>
            <w:vAlign w:val="bottom"/>
          </w:tcPr>
          <w:p>
            <w:pPr>
              <w:spacing w:after="0"/>
              <w:rPr>
                <w:sz w:val="23"/>
                <w:szCs w:val="23"/>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(1,066)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2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(55,227)</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35,346</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(90,573)</w:t>
            </w:r>
          </w:p>
        </w:tc>
        <w:tc>
          <w:tcPr>
            <w:tcW w:w="60" w:type="dxa"/>
            <w:vAlign w:val="bottom"/>
            <w:tcBorders>
              <w:bottom w:val="single" w:sz="8" w:color="auto"/>
            </w:tcBorders>
            <w:shd w:val="clear" w:color="auto" w:fill="CCEEFF"/>
          </w:tcPr>
          <w:p>
            <w:pPr>
              <w:spacing w:after="0"/>
              <w:rPr>
                <w:sz w:val="23"/>
                <w:szCs w:val="23"/>
                <w:color w:val="auto"/>
              </w:rPr>
            </w:pP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(256)%</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(32,919)</w:t>
            </w:r>
          </w:p>
        </w:tc>
        <w:tc>
          <w:tcPr>
            <w:tcW w:w="6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66,120</w:t>
            </w:r>
          </w:p>
        </w:tc>
        <w:tc>
          <w:tcPr>
            <w:tcW w:w="12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(99,039)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64"/>
        </w:trPr>
        <w:tc>
          <w:tcPr>
            <w:tcW w:w="23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(93,773)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129,417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(223,190)</w:t>
            </w: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(172)%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(50,072)</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194,958</w:t>
            </w:r>
          </w:p>
        </w:tc>
        <w:tc>
          <w:tcPr>
            <w:tcW w:w="120" w:type="dxa"/>
            <w:vAlign w:val="bottom"/>
          </w:tcPr>
          <w:p>
            <w:pPr>
              <w:spacing w:after="0"/>
              <w:rPr>
                <w:sz w:val="22"/>
                <w:szCs w:val="22"/>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(245,030)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9"/>
        </w:trPr>
        <w:tc>
          <w:tcPr>
            <w:tcW w:w="2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Corporate services,</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eliminations and other</w:t>
            </w:r>
          </w:p>
        </w:tc>
        <w:tc>
          <w:tcPr>
            <w:tcW w:w="8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(7,498)</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(11,520)</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60" w:type="dxa"/>
            <w:vAlign w:val="bottom"/>
            <w:tcBorders>
              <w:bottom w:val="single" w:sz="8" w:color="auto"/>
            </w:tcBorders>
            <w:shd w:val="clear" w:color="auto" w:fill="CCEEFF"/>
          </w:tcPr>
          <w:p>
            <w:pPr>
              <w:spacing w:after="0"/>
              <w:rPr>
                <w:sz w:val="22"/>
                <w:szCs w:val="22"/>
                <w:color w:val="auto"/>
              </w:rPr>
            </w:pP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(19,597)</w:t>
            </w:r>
          </w:p>
        </w:tc>
        <w:tc>
          <w:tcPr>
            <w:tcW w:w="60" w:type="dxa"/>
            <w:vAlign w:val="bottom"/>
            <w:tcBorders>
              <w:bottom w:val="single" w:sz="8" w:color="auto"/>
            </w:tcBorders>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(20,967)</w:t>
            </w:r>
          </w:p>
        </w:tc>
        <w:tc>
          <w:tcPr>
            <w:tcW w:w="12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1,370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3"/>
        </w:trPr>
        <w:tc>
          <w:tcPr>
            <w:tcW w:w="234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(101,271)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117,897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$(219,168)</w:t>
            </w: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(186)%</w:t>
            </w:r>
          </w:p>
        </w:tc>
        <w:tc>
          <w:tcPr>
            <w:tcW w:w="40" w:type="dxa"/>
            <w:vAlign w:val="bottom"/>
          </w:tcPr>
          <w:p>
            <w:pPr>
              <w:spacing w:after="0"/>
              <w:rPr>
                <w:sz w:val="22"/>
                <w:szCs w:val="22"/>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(69,669)</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173,991</w:t>
            </w:r>
          </w:p>
        </w:tc>
        <w:tc>
          <w:tcPr>
            <w:tcW w:w="120" w:type="dxa"/>
            <w:vAlign w:val="bottom"/>
          </w:tcPr>
          <w:p>
            <w:pPr>
              <w:spacing w:after="0"/>
              <w:rPr>
                <w:sz w:val="22"/>
                <w:szCs w:val="22"/>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w w:val="91"/>
              </w:rPr>
              <w:t>$(243,660)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17"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Our revenues and local expenses are recorded in the functional currencies of our operating entities, and then are translated into U.S. dollars for reporting purposes; therefore, amounts we earn outside the U.S. are negatively impacted by a stronger U.S. dollar and positively impacted by a weaker U.S. dollar. If significant, in our discussion we will refer to the impact of fluctuations in foreign currency exchange rates in our comparison of operating segment results.</w:t>
      </w:r>
    </w:p>
    <w:p>
      <w:pPr>
        <w:spacing w:after="0" w:line="4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provide further perspective on the impact of foreign currency exchange rates, the following table shows the changes in values relative to the U.S. dollar of the currencies of the countries in which we have our most significant operations: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2"/>
              </w:rPr>
              <w:t>Average Translation Rate</w:t>
            </w: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Average Translation Rate</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 June 30,</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Six Months Ended June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vMerge w:val="restart"/>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180" w:type="dxa"/>
            <w:vAlign w:val="bottom"/>
            <w:gridSpan w:val="2"/>
          </w:tcPr>
          <w:p>
            <w:pPr>
              <w:ind w:left="220"/>
              <w:spacing w:after="0" w:line="139" w:lineRule="exact"/>
              <w:rPr>
                <w:sz w:val="20"/>
                <w:szCs w:val="20"/>
                <w:color w:val="auto"/>
              </w:rPr>
            </w:pPr>
            <w:r>
              <w:rPr>
                <w:rFonts w:ascii="Arial" w:cs="Arial" w:eastAsia="Arial" w:hAnsi="Arial"/>
                <w:sz w:val="14"/>
                <w:szCs w:val="14"/>
                <w:b w:val="1"/>
                <w:bCs w:val="1"/>
                <w:color w:val="auto"/>
              </w:rPr>
              <w:t>Decrease</w:t>
            </w:r>
          </w:p>
        </w:tc>
        <w:tc>
          <w:tcPr>
            <w:tcW w:w="3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940" w:type="dxa"/>
            <w:vAlign w:val="bottom"/>
          </w:tcPr>
          <w:p>
            <w:pPr>
              <w:jc w:val="right"/>
              <w:ind w:right="114"/>
              <w:spacing w:after="0" w:line="139"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2"/>
        </w:trPr>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Currency (dollars per foreign currency)</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Percent</w:t>
            </w:r>
          </w:p>
        </w:tc>
        <w:tc>
          <w:tcPr>
            <w:tcW w:w="2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69"/>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0.6570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0.7002</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0.6577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0.7064</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British pounds sterling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1.2406</w:t>
            </w:r>
          </w:p>
        </w:tc>
        <w:tc>
          <w:tcPr>
            <w:tcW w:w="12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1.2851</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1.2606</w:t>
            </w:r>
          </w:p>
        </w:tc>
        <w:tc>
          <w:tcPr>
            <w:tcW w:w="10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1.2938</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1.1010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1.1236</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1.1017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1.1295</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Hungarian forint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0.0031</w:t>
            </w:r>
          </w:p>
        </w:tc>
        <w:tc>
          <w:tcPr>
            <w:tcW w:w="12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0.0035</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0.0032</w:t>
            </w:r>
          </w:p>
        </w:tc>
        <w:tc>
          <w:tcPr>
            <w:tcW w:w="10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0.0035</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Indian rupee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0.0132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0.0144</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0.0135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0.0143</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Malaysian ringgit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0.2316</w:t>
            </w:r>
          </w:p>
        </w:tc>
        <w:tc>
          <w:tcPr>
            <w:tcW w:w="12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0.2412</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0.2356</w:t>
            </w:r>
          </w:p>
        </w:tc>
        <w:tc>
          <w:tcPr>
            <w:tcW w:w="10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0.2428</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New Zealand dollar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0.6180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0.6625</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0.6266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0.6719</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Polish zloty</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0.2446</w:t>
            </w:r>
          </w:p>
        </w:tc>
        <w:tc>
          <w:tcPr>
            <w:tcW w:w="12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0.2626</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0.2499</w:t>
            </w:r>
          </w:p>
        </w:tc>
        <w:tc>
          <w:tcPr>
            <w:tcW w:w="10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0.2633</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51"/>
        </w:trPr>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7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OPERATING RESULTS FOR THE THREE AND SIX MONTHS ENDED JUNE 30, 2020 AND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results of operations for our EFT Processing Segment for the three and six months ended June 30, 2020 and 2019:</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940" w:type="dxa"/>
            <w:vAlign w:val="bottom"/>
            <w:gridSpan w:val="3"/>
            <w:vMerge w:val="restart"/>
          </w:tcPr>
          <w:p>
            <w:pPr>
              <w:jc w:val="right"/>
              <w:ind w:right="244"/>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1920" w:type="dxa"/>
            <w:vAlign w:val="bottom"/>
            <w:gridSpan w:val="3"/>
            <w:vMerge w:val="restart"/>
          </w:tcPr>
          <w:p>
            <w:pPr>
              <w:jc w:val="right"/>
              <w:ind w:right="224"/>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55"/>
              <w:spacing w:after="0"/>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5"/>
                <w:szCs w:val="15"/>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Increase</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35"/>
              <w:spacing w:after="0"/>
              <w:rPr>
                <w:sz w:val="20"/>
                <w:szCs w:val="20"/>
                <w:color w:val="auto"/>
              </w:rPr>
            </w:pPr>
            <w:r>
              <w:rPr>
                <w:rFonts w:ascii="Arial" w:cs="Arial" w:eastAsia="Arial" w:hAnsi="Arial"/>
                <w:sz w:val="14"/>
                <w:szCs w:val="14"/>
                <w:b w:val="1"/>
                <w:bCs w:val="1"/>
                <w:color w:val="auto"/>
                <w:w w:val="87"/>
              </w:rPr>
              <w:t>Increase</w:t>
            </w:r>
          </w:p>
        </w:tc>
        <w:tc>
          <w:tcPr>
            <w:tcW w:w="1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(Decrease)</w:t>
            </w:r>
          </w:p>
        </w:tc>
        <w:tc>
          <w:tcPr>
            <w:tcW w:w="180" w:type="dxa"/>
            <w:vAlign w:val="bottom"/>
          </w:tcPr>
          <w:p>
            <w:pPr>
              <w:spacing w:after="0"/>
              <w:rPr>
                <w:sz w:val="12"/>
                <w:szCs w:val="12"/>
                <w:color w:val="auto"/>
              </w:rPr>
            </w:pPr>
          </w:p>
        </w:tc>
        <w:tc>
          <w:tcPr>
            <w:tcW w:w="8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2"/>
              </w:rPr>
              <w:t>(Decrease)</w:t>
            </w:r>
          </w:p>
        </w:tc>
        <w:tc>
          <w:tcPr>
            <w:tcW w:w="1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176"/>
        </w:trPr>
        <w:tc>
          <w:tcPr>
            <w:tcW w:w="2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6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78,488</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231,946</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5"/>
              </w:rPr>
              <w:t>(153,458)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224,313</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377,649</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5"/>
              </w:rPr>
              <w:t>(153,336)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62,465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5"/>
              </w:rPr>
              <w:t>105,568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(43,103)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150,001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5"/>
              </w:rPr>
              <w:t>189,344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(39,343)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0"/>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00" w:type="dxa"/>
            <w:vAlign w:val="bottom"/>
          </w:tcPr>
          <w:p>
            <w:pPr>
              <w:spacing w:after="0"/>
              <w:rPr>
                <w:sz w:val="23"/>
                <w:szCs w:val="23"/>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21,289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21,339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(50)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43,380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40,770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2,610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9,515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10,745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(1,230)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20,456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19,831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625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Goodwill impairment</w:t>
            </w:r>
          </w:p>
        </w:tc>
        <w:tc>
          <w:tcPr>
            <w:tcW w:w="200" w:type="dxa"/>
            <w:vAlign w:val="bottom"/>
          </w:tcPr>
          <w:p>
            <w:pPr>
              <w:spacing w:after="0"/>
              <w:rPr>
                <w:sz w:val="23"/>
                <w:szCs w:val="23"/>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21,861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21,861</w:t>
            </w:r>
          </w:p>
        </w:tc>
        <w:tc>
          <w:tcPr>
            <w:tcW w:w="100" w:type="dxa"/>
            <w:vAlign w:val="bottom"/>
          </w:tcPr>
          <w:p>
            <w:pPr>
              <w:spacing w:after="0"/>
              <w:rPr>
                <w:sz w:val="23"/>
                <w:szCs w:val="23"/>
                <w:color w:val="auto"/>
              </w:rPr>
            </w:pP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3"/>
                <w:szCs w:val="23"/>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21,861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21,861</w:t>
            </w:r>
          </w:p>
        </w:tc>
        <w:tc>
          <w:tcPr>
            <w:tcW w:w="12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2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19,934</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17,778</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2,156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40,256</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34,420</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5,836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63"/>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w w:val="99"/>
              </w:rPr>
              <w:t>Total operating expenses</w:t>
            </w: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135,064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5"/>
              </w:rPr>
              <w:t>155,430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(20,366)</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275,954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5"/>
              </w:rPr>
              <w:t>284,365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(8,411)</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24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Operating (loss)</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(56,576)</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76,516</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w w:val="95"/>
              </w:rPr>
              <w:t>(133,092)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income</w:t>
            </w:r>
          </w:p>
        </w:tc>
        <w:tc>
          <w:tcPr>
            <w:tcW w:w="200" w:type="dxa"/>
            <w:vAlign w:val="bottom"/>
            <w:tcBorders>
              <w:bottom w:val="single" w:sz="8" w:color="auto"/>
            </w:tcBorders>
            <w:vMerge w:val="continue"/>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vMerge w:val="continue"/>
            <w:shd w:val="clear" w:color="auto" w:fill="CCEEFF"/>
          </w:tcPr>
          <w:p>
            <w:pPr>
              <w:spacing w:after="0"/>
              <w:rPr>
                <w:sz w:val="21"/>
                <w:szCs w:val="21"/>
                <w:color w:val="auto"/>
              </w:rPr>
            </w:pPr>
          </w:p>
        </w:tc>
        <w:tc>
          <w:tcPr>
            <w:tcW w:w="7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(51,641)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93,284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5"/>
              </w:rPr>
              <w:t>(144,925)</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ind w:left="180"/>
              <w:spacing w:after="0"/>
              <w:rPr>
                <w:sz w:val="20"/>
                <w:szCs w:val="20"/>
                <w:color w:val="auto"/>
              </w:rPr>
            </w:pPr>
            <w:r>
              <w:rPr>
                <w:rFonts w:ascii="Arial" w:cs="Arial" w:eastAsia="Arial" w:hAnsi="Arial"/>
                <w:sz w:val="18"/>
                <w:szCs w:val="18"/>
                <w:color w:val="auto"/>
              </w:rPr>
              <w:t>Transactions processed</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4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420" w:type="dxa"/>
            <w:vAlign w:val="bottom"/>
            <w:gridSpan w:val="2"/>
          </w:tcPr>
          <w:p>
            <w:pPr>
              <w:ind w:left="340"/>
              <w:spacing w:after="0"/>
              <w:rPr>
                <w:sz w:val="20"/>
                <w:szCs w:val="20"/>
                <w:color w:val="auto"/>
              </w:rPr>
            </w:pPr>
            <w:r>
              <w:rPr>
                <w:rFonts w:ascii="Arial" w:cs="Arial" w:eastAsia="Arial" w:hAnsi="Arial"/>
                <w:sz w:val="18"/>
                <w:szCs w:val="18"/>
                <w:color w:val="auto"/>
              </w:rPr>
              <w:t>(millions)</w:t>
            </w:r>
          </w:p>
        </w:tc>
        <w:tc>
          <w:tcPr>
            <w:tcW w:w="200" w:type="dxa"/>
            <w:vAlign w:val="bottom"/>
          </w:tcPr>
          <w:p>
            <w:pPr>
              <w:spacing w:after="0"/>
              <w:rPr>
                <w:sz w:val="22"/>
                <w:szCs w:val="22"/>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(73)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ATMs as of June 30,</w:t>
            </w: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41,648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46,636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(4,988)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41,648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46,636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(4,988)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Average ATMs</w:t>
            </w:r>
          </w:p>
        </w:tc>
        <w:tc>
          <w:tcPr>
            <w:tcW w:w="200" w:type="dxa"/>
            <w:vAlign w:val="bottom"/>
          </w:tcPr>
          <w:p>
            <w:pPr>
              <w:spacing w:after="0"/>
              <w:rPr>
                <w:sz w:val="23"/>
                <w:szCs w:val="23"/>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40,358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45,717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(5,359)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42,586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43,317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(731)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EFT Processing Segment total revenues for the three and six months ended June 30, 2020 were $78.5 million and $224.3 million, respectively, a decrease of $153.5 million or 66% and $153.3 million or 41% compared to the same periods in 2019, respectively. Total revenues for the three and six months ended June 30, 2020 decreased due to the impact of fewer active ATMs and fewer ATM transactions, especially high-margin cross-border transactions (DCC), related to COVID-19 pandemic-driven government-imposed border closures and shelter-in-place orders. The government imposed border closures and shelter-in-place orders were in effect for the majority of the three and six months ended June 30, 2020. These closures and orders resulted in a decrease in revenues for the three and six months ended June 30, 2020 compared to the three and six months ended June 30, 2019. Foreign currency movements decreased total revenues by approximately $3.3 million and $7.1 million for the three and six months ended June 30, 2020 compared to the same period in 2019.</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Average monthly revenues per ATM were $648 and $878 for the three and six months ended June 30, 2020, respectively, compared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to $1,691 and $1,453 for the three and six months ended June 30, 2019, respectively. Revenues per transaction were $0.12 and $0.15 for the three and</w:t>
      </w:r>
    </w:p>
    <w:p>
      <w:pPr>
        <w:spacing w:after="0" w:line="3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six months ended June 30, 2020, respectively, compared to $0.31 and $0.26 for the three and six months ended June 30, 2019, respectively. The decreases in average monthly revenues per ATM were attributable to the decreases in transactions and revenues per transaction, driven by the decrease from DCC, which earns higher revenues per transaction than other ATM or card-based services, surcharges. The decrease in DCC transactions was due to the decline in tourism throughout Europe driven by the border closures during the three months ended June 30, 2020.</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EFT Processing Segment direct operating costs were $62.5 million and $150.0 million for the three and six months ended June 30, 2020, respectively, a decrease of $43.1 million or 41% and $39.3 million or 21% compared to the same periods in 2019, respectively. Direct operating costs in the EFT Processing Segment consist primarily of site rental fees, cash delivery costs, cash supply costs, maintenance, insurance, telecommunications, payment scheme processing fees, data center operations-related personnel, as well as the processing centers’ facility-related costs and other processing center-related expenses and commissions paid to retail merchants, banks and card processors involved with POS DCC transactions.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decrease in direct operating costs was primarily due to the decrease in the number of ATMs under management, renegotiated and reduced site rental fees, and reduced operating costs for ATM's winterized during COVID-19 imposed restrictions. Foreign currency movements decreased direct operating costs for the three and six months ended June 30, 2020 by approximately $3.4 million and $6.1 million, respectively compared to the same period in 2019.</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Gross profit, which is calculated as revenues less direct operating costs, was $16.0 million and $74.3 million for the three and six months ended June 30, 2020, respectively, compared to $126.4 million and $188.3 million for the three and six months ended June 30, 2019, respectively. The decrease in gross profit was primarily due to the decrease in DCC transactions. Gross profit as a percentage of revenues (“gross margin”) was 20.4% and 33.1% for the three and six months ended June 30, 2020, respectively, compared to 54.5% and 49.9% for the three and six months ended June 30, 2019, respectively. The decrease in gross margin was attributable to the decrease in DCC transactions and domestic and international surcharge.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Salaries and benefits expense were flat for the three months ended June 30, 2020 and increased $2.6 million or 6% for the six months ended June 30, 2020 compared to the same periods in 2019, respectively. The increase for the six months ended June 30, 2020 was primarily due to additional headcount to support an increase in the number of POS devices under management. The shelter-in-place orders that took effect in late February 2020 and March 2020 in response to the COVID-19 pandemic reduced transaction volumes and revenues through the end of the second quarter of 2020, but human resources to support actual and planned growth were added throughout 2019 as well as the early part of the first quarter of 2020 before the COVID-19 pandemic took effect, which led to lower transactions and revenues in the quarter, especially high-margin cross-border transactions. As a percentage of revenues, these costs increased to 27.1% and 19.3% for the three and six months ended June 30, 2020, respectively, compared to 9.2% and 10.8% and for the three and six months ended June 30, 2019, respectively. The Company made a decision to retain it's employees during the pandemic.</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Selling, general and administrative expenses for the three and six months ended June 30, 2020 were $9.5 million and $20.5 million, respectively, a decrease of $1.2 million and an increase of $0.6 million compared to the three and six months ended June 30, 2019, respectively. The decrease for the three months ended June 30, 2020 compared to the same period in 2019 was primarily due to a decrease in travel related expenses, partially offset by an increase in bad debt expense. The increase for the six months ended June 30, 2020 compared to the same period in 2019 was primarily due to an increase in bad debt expense. As a percentage of revenues, selling, general and administrative expenses were 12.1% and 9.1% for the three and six months ended June 30, 2020, respectively, compared to 4.6% and 5.3% for the three and six months ended June 30, 2019, respectively.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Due to the economic impacts of the COVID-19 pandemic, the Company recorded a $21.9 million non-cash goodwill impairment charge related to two reporting units during the second quarter of 2020. A $14.0 million non-cash goodwill impairment charge was recorded for Innova as a result of the decline in VAT refund activity directly related to the decline in international tourism within the European Union, and a $7.9 million non-cash goodwill impairment charge was recorded for Pure Commerce related to the decline in international tourism in Asia Pacific.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Depreciation and amortization expense increased $2.2 million and $5.8 million for the three and six months ended June 30, 2020, respectively, compared to the same periods in 2019, respectively. The increase was primarily due to the deployment of additional ATMs and software assets. As a percentage of revenues, depreciation and amortization expense was 25.4% and 17.9% for three and six months ended June 30, 2020, respectively, compared to 7.7% and 9.1% for the same periods of 2019,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(loss) income</w:t>
      </w:r>
    </w:p>
    <w:p>
      <w:pPr>
        <w:spacing w:after="0" w:line="117" w:lineRule="exact"/>
        <w:rPr>
          <w:sz w:val="20"/>
          <w:szCs w:val="20"/>
          <w:color w:val="auto"/>
        </w:rPr>
      </w:pPr>
    </w:p>
    <w:p>
      <w:pPr>
        <w:ind w:right="280"/>
        <w:spacing w:after="0" w:line="290" w:lineRule="auto"/>
        <w:rPr>
          <w:sz w:val="20"/>
          <w:szCs w:val="20"/>
          <w:color w:val="auto"/>
        </w:rPr>
      </w:pPr>
      <w:r>
        <w:rPr>
          <w:rFonts w:ascii="Arial" w:cs="Arial" w:eastAsia="Arial" w:hAnsi="Arial"/>
          <w:sz w:val="16"/>
          <w:szCs w:val="16"/>
          <w:color w:val="auto"/>
        </w:rPr>
        <w:t>EFT Processing Segment operating loss for the three and six months ended June 30, 2020 was $56.6 million and $51.6 million, respectively, a decrease of $133.1 million or 174% and $144.9 million or 155% compared to the operating income in the same periods in 2019, respectively. Operating loss as a percentage of revenues (“operating margin”) was 72.1% and 23.0% for three and six months ended June 30, 2020, respectively, compared to operating income of 33.0% and 24.7% for the same periods of 2019. The decreases in operating income and operating margin were primarily due to the non-cash goodwill impairment and decrease in revenues compared to the same periods in 2019. Beginning in late February 2020 and throughout June 2020, high margin cross-border transactions (DCC) decreased throughout Europe due to the COVID-19 pandemic driven government imposed border closures and shelter-in-place orders. Operating loss per transaction was $0.08 and $0.04 for the three and six months ended June 30, 2020, respectively, compared to operating income of $0.10 and $0.06 for the same periods of 2019, respectively.</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three and six months ended June 30, 2020 and 2019 for our epay Segment:</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92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190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Increase</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56"/>
              <w:spacing w:after="0"/>
              <w:rPr>
                <w:sz w:val="20"/>
                <w:szCs w:val="20"/>
                <w:color w:val="auto"/>
              </w:rPr>
            </w:pPr>
            <w:r>
              <w:rPr>
                <w:rFonts w:ascii="Arial" w:cs="Arial" w:eastAsia="Arial" w:hAnsi="Arial"/>
                <w:sz w:val="14"/>
                <w:szCs w:val="14"/>
                <w:b w:val="1"/>
                <w:bCs w:val="1"/>
                <w:color w:val="auto"/>
                <w:w w:val="87"/>
              </w:rPr>
              <w:t>Increase</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(Decrease)</w:t>
            </w:r>
          </w:p>
        </w:tc>
        <w:tc>
          <w:tcPr>
            <w:tcW w:w="200" w:type="dxa"/>
            <w:vAlign w:val="bottom"/>
          </w:tcPr>
          <w:p>
            <w:pPr>
              <w:spacing w:after="0"/>
              <w:rPr>
                <w:sz w:val="12"/>
                <w:szCs w:val="12"/>
                <w:color w:val="auto"/>
              </w:rPr>
            </w:pPr>
          </w:p>
        </w:tc>
        <w:tc>
          <w:tcPr>
            <w:tcW w:w="84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2"/>
              </w:rPr>
              <w:t>(Decrease)</w:t>
            </w: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176"/>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63"/>
        </w:trPr>
        <w:tc>
          <w:tcPr>
            <w:tcW w:w="2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187,563</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5"/>
              </w:rPr>
              <w:t>184,160</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3,403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360,474</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360,274</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200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236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144,056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5"/>
              </w:rPr>
              <w:t>140,427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3,629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274,130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5"/>
              </w:rPr>
              <w:t>273,952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178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236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00" w:type="dxa"/>
            <w:vAlign w:val="bottom"/>
          </w:tcPr>
          <w:p>
            <w:pPr>
              <w:spacing w:after="0"/>
              <w:rPr>
                <w:sz w:val="23"/>
                <w:szCs w:val="23"/>
                <w:color w:val="auto"/>
              </w:rPr>
            </w:pP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15,191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14,998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193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30,888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29,751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76"/>
              <w:spacing w:after="0"/>
              <w:rPr>
                <w:sz w:val="20"/>
                <w:szCs w:val="20"/>
                <w:color w:val="auto"/>
              </w:rPr>
            </w:pPr>
            <w:r>
              <w:rPr>
                <w:rFonts w:ascii="Arial" w:cs="Arial" w:eastAsia="Arial" w:hAnsi="Arial"/>
                <w:sz w:val="18"/>
                <w:szCs w:val="18"/>
                <w:color w:val="auto"/>
              </w:rPr>
              <w:t>1,137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2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8,635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9,424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(789)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17,473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17,476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9"/>
        </w:trPr>
        <w:tc>
          <w:tcPr>
            <w:tcW w:w="2360" w:type="dxa"/>
            <w:vAlign w:val="bottom"/>
            <w:gridSpan w:val="2"/>
          </w:tcPr>
          <w:p>
            <w:pPr>
              <w:ind w:left="180"/>
              <w:spacing w:after="0"/>
              <w:rPr>
                <w:sz w:val="20"/>
                <w:szCs w:val="20"/>
                <w:color w:val="auto"/>
              </w:rPr>
            </w:pPr>
            <w:r>
              <w:rPr>
                <w:rFonts w:ascii="Arial" w:cs="Arial" w:eastAsia="Arial" w:hAnsi="Arial"/>
                <w:sz w:val="18"/>
                <w:szCs w:val="18"/>
                <w:color w:val="auto"/>
              </w:rPr>
              <w:t>Depreciation and</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amortization</w:t>
            </w: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1,651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1,756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(105)</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3,495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3,541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(46)</w:t>
            </w:r>
          </w:p>
        </w:tc>
        <w:tc>
          <w:tcPr>
            <w:tcW w:w="10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3"/>
        </w:trPr>
        <w:tc>
          <w:tcPr>
            <w:tcW w:w="23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6"/>
              </w:rPr>
              <w:t>Total operating expenses</w:t>
            </w:r>
          </w:p>
        </w:tc>
        <w:tc>
          <w:tcPr>
            <w:tcW w:w="2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169,533</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5"/>
              </w:rPr>
              <w:t>166,605</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2,928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325,986</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324,720</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1,266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03"/>
        </w:trPr>
        <w:tc>
          <w:tcPr>
            <w:tcW w:w="236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18,030</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17,555</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475</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34,488</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35,554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(1,066)</w:t>
            </w:r>
          </w:p>
        </w:tc>
        <w:tc>
          <w:tcPr>
            <w:tcW w:w="10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2"/>
        </w:trPr>
        <w:tc>
          <w:tcPr>
            <w:tcW w:w="2360" w:type="dxa"/>
            <w:vAlign w:val="bottom"/>
            <w:gridSpan w:val="2"/>
            <w:shd w:val="clear" w:color="auto" w:fill="CCEEFF"/>
          </w:tcPr>
          <w:p>
            <w:pPr>
              <w:ind w:left="180"/>
              <w:spacing w:after="0" w:line="182" w:lineRule="exact"/>
              <w:rPr>
                <w:sz w:val="20"/>
                <w:szCs w:val="20"/>
                <w:color w:val="auto"/>
              </w:rPr>
            </w:pPr>
            <w:r>
              <w:rPr>
                <w:rFonts w:ascii="Arial" w:cs="Arial" w:eastAsia="Arial" w:hAnsi="Arial"/>
                <w:sz w:val="18"/>
                <w:szCs w:val="18"/>
                <w:color w:val="auto"/>
              </w:rPr>
              <w:t>Transactions processed</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(millions)</w:t>
            </w: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216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1,032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325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epay Segment total revenues for the three and six months ended June 30, 2020 were $187.6 million and $360.5 million, respectively, an increase of $3.4 million and $0.2 million compared to the same periods in 2019, respectively. The increase in total revenues was primarily due to an increase in the number of transactions processed driven by continued digital media growth, partially offset by the U.S. dollar strengthening against key foreign currencies. Foreign currency movements decreased total revenues by approximately $6.7 million and $12.0 million for the three and six months ended June 30,</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2020, respectively compared to the same periods in 2019. The epay segment was impacted by COVID-19 pandemic-driven government-imposed shelter-in-place orders, primarily at retail outlets, which were partially offset by increases in digital media offerings in Asia.</w:t>
      </w:r>
    </w:p>
    <w:p>
      <w:pPr>
        <w:spacing w:after="0" w:line="7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Revenues per transaction were $0.32 and $0.35 for the three and six months ended June 30, 2020, respectively compared to $0.50 and $0.51 for the same periods in 2019, respectively. The decrease in revenues per transaction was primarily driven by the increase in the number of mobile transactions processed in a region where we generally earn lower revenues per transaction.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epay Segment direct operating costs were $144.1 million and $274.1 million for the three and six months ended June 30, 2020, respectively, an increase of $3.6 million and $0.2 million compared to the same periods in 2019, respectively. Direct operating costs in the epay Segment include the commissions paid to retail merchants for the distribution and sale of prepaid mobile airtime and other prepaid products, expenses incurred to operate POS terminals and the cost of vouchers sold and physical gifts fulfilled. The increase in direct operating costs was primarily due to the increases in promotional digital media transactions fulfilled by our cadooz subsidiary and commission paid to wholesalers, partially offset by the U.S. dollar strengthening against key foreign currencies. Foreign currency movements decreased direct operating costs for the three and six months ended June 30, 2020 by approximately $5.1 million and $9.0 million compared to the same period in 2019,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420"/>
        <w:spacing w:after="0" w:line="276" w:lineRule="auto"/>
        <w:rPr>
          <w:sz w:val="20"/>
          <w:szCs w:val="20"/>
          <w:color w:val="auto"/>
        </w:rPr>
      </w:pPr>
      <w:r>
        <w:rPr>
          <w:rFonts w:ascii="Arial" w:cs="Arial" w:eastAsia="Arial" w:hAnsi="Arial"/>
          <w:sz w:val="17"/>
          <w:szCs w:val="17"/>
          <w:color w:val="auto"/>
        </w:rPr>
        <w:t>Gross profit was $43.5 million and $86.3 million for the three and six months ended June 30, 2020, respectively, compared to $43.7 million and $86.3 million for the three and six months ended June 30, 2019, respectively. Gross margin decreased to 23.2% for the three months ended June 30, 2020 compared to 23.7% for the same period in 2019, and was 24.0% for both the six months ended June 30, 2020 and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Salaries and benefits expense increased $0.2 million or 1% and $1.1 million or 4% for the three and six months ended June 30, 2020, respectively, compared to the same periods in 2019, respectively. As a percentage of revenues, salaries and benefits were 8.1% and 8.6% for the three and six months ended June 30, 2020, respectively, which were consistent with 8.1% and 8.3% for the same periods in 2019,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Selling, general and administrative expenses were $8.6 million and $17.5 million for the three and six months ended June 30, 2020, respectively, an increase of 8% and flat compared to the same periods in 2019, respectively. As a percentage of revenues, selling, general and administrative expenses were 4.6% and 4.8% for the three and six months ended June 30, 2020, respectively, compared to 5.1% and 4.9% for the same periods in 2019,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Depreciation and amortization expense primarily represents depreciation of POS terminals we install in retail stores and amortization of acquired intangible assets. Depreciation and amortization expense was $1.7 million and $3.5 million for the three and six months ended June 30, 2020, respectively, a decrease of 6% and 1% compared to the same periods in 2019, respectively. As a percentage of revenues, depreciation and amortization expense was 0.9% and 1.0% for the three and six months ended June 30, 2020, respectively, compared to 1.0% for both the three and six months ended June 30, 2019.</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epay Segment operating income for the three and six months ended June 30, 2020 was $18.0 million and $34.5 million, respectively, an increase of $0.5 million and a decrease of $1.1 million compared to the same periods in 2019, respectively. Operating margin for both the three and six months ended June 30, 2020 was 9.6%, compared to 9.5% and 9.9% for the same periods in 2019, respectively. Operating income per transaction decreased to $0.03 for both the three and six months ended June 30, 2020, respectively, from $0.05 for the same periods in 2019 driven by transactions processed in a region where we generally earn lower revenues per transaction.The increases in operating income and operating margin for the three months ended June 30, 2020 compared to the same period in 2019 was primarily due to an increase in the portion of higher-margin digital media transactions, partially offset by the U.S. dollar strengthening against key foreign currencies. The decreases in operating income and operating margin for the six months ended June 30, 2020 compared to the same period in 2019 was primarily due to the U.S. dollar strengthening against key foreign currencies.</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results of operations for the three and six months ended June 30, 2020 and 2019 for the Money Transfer Segment:</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940" w:type="dxa"/>
            <w:vAlign w:val="bottom"/>
            <w:gridSpan w:val="3"/>
            <w:vMerge w:val="restart"/>
          </w:tcPr>
          <w:p>
            <w:pPr>
              <w:jc w:val="right"/>
              <w:ind w:right="244"/>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1920" w:type="dxa"/>
            <w:vAlign w:val="bottom"/>
            <w:gridSpan w:val="3"/>
            <w:vMerge w:val="restart"/>
          </w:tcPr>
          <w:p>
            <w:pPr>
              <w:jc w:val="right"/>
              <w:ind w:right="224"/>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5"/>
                <w:szCs w:val="15"/>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Increase</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36"/>
              <w:spacing w:after="0"/>
              <w:rPr>
                <w:sz w:val="20"/>
                <w:szCs w:val="20"/>
                <w:color w:val="auto"/>
              </w:rPr>
            </w:pPr>
            <w:r>
              <w:rPr>
                <w:rFonts w:ascii="Arial" w:cs="Arial" w:eastAsia="Arial" w:hAnsi="Arial"/>
                <w:sz w:val="14"/>
                <w:szCs w:val="14"/>
                <w:b w:val="1"/>
                <w:bCs w:val="1"/>
                <w:color w:val="auto"/>
                <w:w w:val="87"/>
              </w:rPr>
              <w:t>Increase</w:t>
            </w:r>
          </w:p>
        </w:tc>
        <w:tc>
          <w:tcPr>
            <w:tcW w:w="1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(Decrease)</w:t>
            </w:r>
          </w:p>
        </w:tc>
        <w:tc>
          <w:tcPr>
            <w:tcW w:w="180" w:type="dxa"/>
            <w:vAlign w:val="bottom"/>
          </w:tcPr>
          <w:p>
            <w:pPr>
              <w:spacing w:after="0"/>
              <w:rPr>
                <w:sz w:val="12"/>
                <w:szCs w:val="12"/>
                <w:color w:val="auto"/>
              </w:rPr>
            </w:pPr>
          </w:p>
        </w:tc>
        <w:tc>
          <w:tcPr>
            <w:tcW w:w="8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2"/>
              </w:rPr>
              <w:t>(Decrease)</w:t>
            </w:r>
          </w:p>
        </w:tc>
        <w:tc>
          <w:tcPr>
            <w:tcW w:w="1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176"/>
        </w:trPr>
        <w:tc>
          <w:tcPr>
            <w:tcW w:w="2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6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262,863</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276,783</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(13,920)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529,097</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533,364</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(4,267)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144,589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5"/>
              </w:rPr>
              <w:t>148,834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(4,245)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287,498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5"/>
              </w:rPr>
              <w:t>286,238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1,260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00" w:type="dxa"/>
            <w:vAlign w:val="bottom"/>
          </w:tcPr>
          <w:p>
            <w:pPr>
              <w:spacing w:after="0"/>
              <w:rPr>
                <w:sz w:val="23"/>
                <w:szCs w:val="23"/>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49,059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52,713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(3,654)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102,923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w w:val="95"/>
              </w:rPr>
              <w:t>103,869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(946)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33,172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31,731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1,441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71,754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60,840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10,914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0"/>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Goodwill impairment</w:t>
            </w:r>
          </w:p>
        </w:tc>
        <w:tc>
          <w:tcPr>
            <w:tcW w:w="200" w:type="dxa"/>
            <w:vAlign w:val="bottom"/>
          </w:tcPr>
          <w:p>
            <w:pPr>
              <w:spacing w:after="0"/>
              <w:rPr>
                <w:sz w:val="23"/>
                <w:szCs w:val="23"/>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82,693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82,693</w:t>
            </w:r>
          </w:p>
        </w:tc>
        <w:tc>
          <w:tcPr>
            <w:tcW w:w="100" w:type="dxa"/>
            <w:vAlign w:val="bottom"/>
          </w:tcPr>
          <w:p>
            <w:pPr>
              <w:spacing w:after="0"/>
              <w:rPr>
                <w:sz w:val="23"/>
                <w:szCs w:val="23"/>
                <w:color w:val="auto"/>
              </w:rPr>
            </w:pP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82,693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82,693</w:t>
            </w:r>
          </w:p>
        </w:tc>
        <w:tc>
          <w:tcPr>
            <w:tcW w:w="12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2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8,577</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8,159</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418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17,148</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16,297</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851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w w:val="99"/>
              </w:rPr>
              <w:t>Total operating expenses</w:t>
            </w: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318,090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5"/>
              </w:rPr>
              <w:t>241,437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76,653</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562,016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5"/>
              </w:rPr>
              <w:t>467,244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94,772</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9"/>
        </w:trPr>
        <w:tc>
          <w:tcPr>
            <w:tcW w:w="24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Operating (loss)</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(55,227)</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35,346</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(90,573)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income</w:t>
            </w:r>
          </w:p>
        </w:tc>
        <w:tc>
          <w:tcPr>
            <w:tcW w:w="200" w:type="dxa"/>
            <w:vAlign w:val="bottom"/>
            <w:tcBorders>
              <w:bottom w:val="single" w:sz="8" w:color="auto"/>
            </w:tcBorders>
            <w:vMerge w:val="continue"/>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vMerge w:val="continue"/>
            <w:shd w:val="clear" w:color="auto" w:fill="CCEEFF"/>
          </w:tcPr>
          <w:p>
            <w:pPr>
              <w:spacing w:after="0"/>
              <w:rPr>
                <w:sz w:val="21"/>
                <w:szCs w:val="21"/>
                <w:color w:val="auto"/>
              </w:rPr>
            </w:pPr>
          </w:p>
        </w:tc>
        <w:tc>
          <w:tcPr>
            <w:tcW w:w="7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(32,919)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66,120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(99,039)</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ind w:left="180"/>
              <w:spacing w:after="0"/>
              <w:rPr>
                <w:sz w:val="20"/>
                <w:szCs w:val="20"/>
                <w:color w:val="auto"/>
              </w:rPr>
            </w:pPr>
            <w:r>
              <w:rPr>
                <w:rFonts w:ascii="Arial" w:cs="Arial" w:eastAsia="Arial" w:hAnsi="Arial"/>
                <w:sz w:val="18"/>
                <w:szCs w:val="18"/>
                <w:color w:val="auto"/>
              </w:rPr>
              <w:t>Transactions processed</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4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420" w:type="dxa"/>
            <w:vAlign w:val="bottom"/>
            <w:gridSpan w:val="2"/>
          </w:tcPr>
          <w:p>
            <w:pPr>
              <w:ind w:left="340"/>
              <w:spacing w:after="0"/>
              <w:rPr>
                <w:sz w:val="20"/>
                <w:szCs w:val="20"/>
                <w:color w:val="auto"/>
              </w:rPr>
            </w:pPr>
            <w:r>
              <w:rPr>
                <w:rFonts w:ascii="Arial" w:cs="Arial" w:eastAsia="Arial" w:hAnsi="Arial"/>
                <w:sz w:val="18"/>
                <w:szCs w:val="18"/>
                <w:color w:val="auto"/>
              </w:rPr>
              <w:t>(millions)</w:t>
            </w:r>
          </w:p>
        </w:tc>
        <w:tc>
          <w:tcPr>
            <w:tcW w:w="200" w:type="dxa"/>
            <w:vAlign w:val="bottom"/>
          </w:tcPr>
          <w:p>
            <w:pPr>
              <w:spacing w:after="0"/>
              <w:rPr>
                <w:sz w:val="22"/>
                <w:szCs w:val="22"/>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(3.1)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(2.3)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Money Transfer Segment total revenues for the three and six months ended June 30, 2020 were $262.9 million and $529.1 million, respectively, a decrease of $13.9 million or 5% and $4.3 million or 1% compared to the same periods in 2019, respectively. The decrease in revenues was primarily due to decreases in the number of international money transfers processed in March, April and May 2020 compared to the same periods in 2019 as a result of the COVID-19 pandemic related temporary store closures. Revenues per transaction increased to $10.19 and $9.95 for the three and six months ended June 30, 2020, respectively, from $9.58 and $9.61 for the same periods in 2019, respectively. Foreign currency movements decreased total revenues by approximately $3.8 million and $8.3 million for the three and six months ended June 30, 2020 compared to the same period in 2019.</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Money Transfer Segment direct operating costs were $144.6 million and $287.5 million for the three and six months ended June 30, 2020, respectively, a decrease of $4.2 million or 3% and an increase of $1.3 million or flat compared to the same periods in 2019, respectively. Direct operating costs in the Money Transfer Segment primarily consist of commissions paid to agents who originate money transfers on our behalf and correspondent agents who disburse funds to the customers’ destination beneficiaries, together with less significant costs, such as bank depository fees. The decrease in direct operating costs for the three months ended June 30, 2020 was primarily due the decrease in the number of money transfer transactions processed in both the U.S. and foreign markets, partially offset by the impact of the U.S. dollar strengthening against key foreign currencies. Foreign currency movements decreased direct operating costs for the three and six months ended June 30, 2020 by approximately $1.8 million and $3.6 million compared to the same period in 2019.</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Gross profit was $118.3 million and $241.6 million for the three and six months ended June 30, 2020, respectively, compared to $127.9 million and $247.1 million for the three and six months ended June 30, 2019, respectively. The decrease in gross profit was primarily due to the decrease in number of money transfer transactions processed in both the U.S. and foreign markets. Gross margin decreased to 45.0% and 45.7% for the three and six months ended June 30, 2020, respectively, compared to 46.2% and 46.3% for the same periods in 2019,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Salaries and benefits expense decreased $3.7 million or 7% and $0.9 million or 1% for the three and six months ended June 30, 2020, respectively, compared to the same periods in 2019. As a percentage of revenues, salaries and benefits were 18.7% and 19.5% for the three and six months ended June 30, 2020, respectively, compared to 19.0% and 19.5% for the same periods in 2019. The decrease in salaries and benefits was primarily driven by a decrease in bonus expense for the three and six months ended June 30, 2020 compared to the same periods in 2019.</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Selling, general and administrative expenses were $33.2 million and $71.8 million for the three and six months ended June 30, 2020, respectively, an increase of 5% and 18% compared to the same periods in 2019, respectively. The increase was primarily due to expenses incurred to support the growth of our money transfer services, the expansion of new products in both the U.S. and foreign markets, and an increase in additional charges taken to cover anticipated agent receivable defaults as a result of government ordered business closures required to manage the COVID-19 pandemic. As a percentage of revenues, selling, general and administrative expenses were 12.6% and 13.6% for the three and six months ended June 30, 2020, respectively, compared to 11.5% and 11.4% for the same periods in 2019,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w:t>
      </w:r>
    </w:p>
    <w:p>
      <w:pPr>
        <w:spacing w:after="0" w:line="117"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Due to the economic impacts of the COVID-19 pandemic, the Company recorded an $82.7 million non-cash goodwill impairment charge related to the xe reporting unit during the second quarter of 2020. The non-cash goodwill impairment charge was recorded for xe as a result of declines in the international payments business stemming from economic uncertainty.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Depreciation and amortization expense increased $0.4 million or 5% and $0.9 million or 5% for the three and six months ended June 30, 2020, respectively, compared to the same periods in 2019. Depreciation and amortization primarily represent amortization of acquired intangible assets and depreciation of money transfer terminals, computers and software, leasehold improvements and office equipment. As a percentage of revenues, depreciation and amortization expense was 3.3% and 3.2% for the three and six months ended June 30, 2020, respectively, compared to 2.9% and 3.1% for the same periods of 2019,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(loss) income</w:t>
      </w:r>
    </w:p>
    <w:p>
      <w:pPr>
        <w:spacing w:after="0" w:line="11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Money Transfer Segment operating loss for the three and six months ended June 30, 2020 was $55.2 million and $32.9 million, respectively, a decrease of $90.6 million or 256% and $99.0 million or 150% compared to the operating income in the same periods of 2019. As a percentage of revenues, operating loss was 21.0% and 6.2% for the three and six months ended June 30, 2020, respectively, compared to operating income of 12.8% and 12.4% for the same periods in 2019, respectively. The decreases in operating income and operating margin were primarily due to the non-cash goodwill impairment charge, decrease in revenues driven by the decrease in transaction volume, and the increase in selling, general and administrative expenses incurred to support the expansion of new products and markets and COVID-19 pandemic related anticipated agent receivables default charges. Operating loss per transaction was $2.14 and $0.62 for the three and six months ended June 30, 2020, respectively, compared to operating income of $1.22 and $1.19 for the same periods in 2019,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operating expenses for the three and six months ended June 30, 2020 and 2019 for Corporate Services: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940" w:type="dxa"/>
            <w:vAlign w:val="bottom"/>
            <w:gridSpan w:val="3"/>
            <w:vMerge w:val="restart"/>
          </w:tcPr>
          <w:p>
            <w:pPr>
              <w:jc w:val="right"/>
              <w:ind w:right="248"/>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192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5"/>
                <w:szCs w:val="15"/>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Increase</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39"/>
              <w:spacing w:after="0"/>
              <w:rPr>
                <w:sz w:val="20"/>
                <w:szCs w:val="20"/>
                <w:color w:val="auto"/>
              </w:rPr>
            </w:pPr>
            <w:r>
              <w:rPr>
                <w:rFonts w:ascii="Arial" w:cs="Arial" w:eastAsia="Arial" w:hAnsi="Arial"/>
                <w:sz w:val="14"/>
                <w:szCs w:val="14"/>
                <w:b w:val="1"/>
                <w:bCs w:val="1"/>
                <w:color w:val="auto"/>
                <w:w w:val="87"/>
              </w:rPr>
              <w:t>Increase</w:t>
            </w:r>
          </w:p>
        </w:tc>
        <w:tc>
          <w:tcPr>
            <w:tcW w:w="1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27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2"/>
                <w:szCs w:val="12"/>
                <w:color w:val="auto"/>
              </w:rPr>
            </w:pPr>
          </w:p>
        </w:tc>
        <w:tc>
          <w:tcPr>
            <w:tcW w:w="780" w:type="dxa"/>
            <w:vAlign w:val="bottom"/>
            <w:vMerge w:val="restart"/>
          </w:tcPr>
          <w:p>
            <w:pPr>
              <w:jc w:val="right"/>
              <w:ind w:right="27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(Decrease)</w:t>
            </w:r>
          </w:p>
        </w:tc>
        <w:tc>
          <w:tcPr>
            <w:tcW w:w="1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175"/>
        </w:trPr>
        <w:tc>
          <w:tcPr>
            <w:tcW w:w="2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64"/>
        </w:trPr>
        <w:tc>
          <w:tcPr>
            <w:tcW w:w="2420" w:type="dxa"/>
            <w:vAlign w:val="bottom"/>
            <w:gridSpan w:val="2"/>
          </w:tcPr>
          <w:p>
            <w:pPr>
              <w:spacing w:after="0"/>
              <w:rPr>
                <w:sz w:val="20"/>
                <w:szCs w:val="20"/>
                <w:color w:val="auto"/>
              </w:rPr>
            </w:pPr>
            <w:r>
              <w:rPr>
                <w:rFonts w:ascii="Arial" w:cs="Arial" w:eastAsia="Arial" w:hAnsi="Arial"/>
                <w:sz w:val="18"/>
                <w:szCs w:val="18"/>
                <w:color w:val="auto"/>
              </w:rPr>
              <w:t>Salaries and benefits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8"/>
              <w:spacing w:after="0"/>
              <w:rPr>
                <w:sz w:val="20"/>
                <w:szCs w:val="20"/>
                <w:color w:val="auto"/>
              </w:rPr>
            </w:pPr>
            <w:r>
              <w:rPr>
                <w:rFonts w:ascii="Arial" w:cs="Arial" w:eastAsia="Arial" w:hAnsi="Arial"/>
                <w:sz w:val="18"/>
                <w:szCs w:val="18"/>
                <w:color w:val="auto"/>
              </w:rPr>
              <w:t>5,413</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9,500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9"/>
              <w:spacing w:after="0"/>
              <w:rPr>
                <w:sz w:val="20"/>
                <w:szCs w:val="20"/>
                <w:color w:val="auto"/>
              </w:rPr>
            </w:pPr>
            <w:r>
              <w:rPr>
                <w:rFonts w:ascii="Arial" w:cs="Arial" w:eastAsia="Arial" w:hAnsi="Arial"/>
                <w:sz w:val="18"/>
                <w:szCs w:val="18"/>
                <w:color w:val="auto"/>
              </w:rPr>
              <w:t>(4,087)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8"/>
              <w:spacing w:after="0"/>
              <w:rPr>
                <w:sz w:val="20"/>
                <w:szCs w:val="20"/>
                <w:color w:val="auto"/>
              </w:rPr>
            </w:pPr>
            <w:r>
              <w:rPr>
                <w:rFonts w:ascii="Arial" w:cs="Arial" w:eastAsia="Arial" w:hAnsi="Arial"/>
                <w:sz w:val="18"/>
                <w:szCs w:val="18"/>
                <w:color w:val="auto"/>
              </w:rPr>
              <w:t>15,001</w:t>
            </w:r>
          </w:p>
        </w:tc>
        <w:tc>
          <w:tcPr>
            <w:tcW w:w="1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16,955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9"/>
              <w:spacing w:after="0"/>
              <w:rPr>
                <w:sz w:val="20"/>
                <w:szCs w:val="20"/>
                <w:color w:val="auto"/>
              </w:rPr>
            </w:pPr>
            <w:r>
              <w:rPr>
                <w:rFonts w:ascii="Arial" w:cs="Arial" w:eastAsia="Arial" w:hAnsi="Arial"/>
                <w:sz w:val="18"/>
                <w:szCs w:val="18"/>
                <w:color w:val="auto"/>
              </w:rPr>
              <w:t>(1,954)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administrative</w:t>
            </w: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2,005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1,946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4,437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3,863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574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0"/>
        </w:trPr>
        <w:tc>
          <w:tcPr>
            <w:tcW w:w="24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6</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10</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3"/>
        </w:trPr>
        <w:tc>
          <w:tcPr>
            <w:tcW w:w="2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7,498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11,520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(4,022)</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19,597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20,967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(1,370)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Overall, operating expenses for Corporate Services decreased 35% and 7% for the three and six months ended June 30, 2020 compared to the same periods in 2019, respectively. The decrease is primarily due to the decrease in salaries and benefits driven by the decrease in bonus expense.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9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1920" w:type="dxa"/>
            <w:vAlign w:val="bottom"/>
            <w:gridSpan w:val="3"/>
            <w:vMerge w:val="restart"/>
          </w:tcPr>
          <w:p>
            <w:pPr>
              <w:jc w:val="right"/>
              <w:ind w:right="221"/>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5"/>
                <w:szCs w:val="15"/>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Increase</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37"/>
              <w:spacing w:after="0"/>
              <w:rPr>
                <w:sz w:val="20"/>
                <w:szCs w:val="20"/>
                <w:color w:val="auto"/>
              </w:rPr>
            </w:pPr>
            <w:r>
              <w:rPr>
                <w:rFonts w:ascii="Arial" w:cs="Arial" w:eastAsia="Arial" w:hAnsi="Arial"/>
                <w:sz w:val="14"/>
                <w:szCs w:val="14"/>
                <w:b w:val="1"/>
                <w:bCs w:val="1"/>
                <w:color w:val="auto"/>
                <w:w w:val="87"/>
              </w:rPr>
              <w:t>Increase</w:t>
            </w:r>
          </w:p>
        </w:tc>
        <w:tc>
          <w:tcPr>
            <w:tcW w:w="1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(Decrease)</w:t>
            </w:r>
          </w:p>
        </w:tc>
        <w:tc>
          <w:tcPr>
            <w:tcW w:w="180" w:type="dxa"/>
            <w:vAlign w:val="bottom"/>
          </w:tcPr>
          <w:p>
            <w:pPr>
              <w:spacing w:after="0"/>
              <w:rPr>
                <w:sz w:val="12"/>
                <w:szCs w:val="12"/>
                <w:color w:val="auto"/>
              </w:rPr>
            </w:pPr>
          </w:p>
        </w:tc>
        <w:tc>
          <w:tcPr>
            <w:tcW w:w="8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2"/>
              </w:rPr>
              <w:t>(Decrease)</w:t>
            </w:r>
          </w:p>
        </w:tc>
        <w:tc>
          <w:tcPr>
            <w:tcW w:w="1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175"/>
        </w:trPr>
        <w:tc>
          <w:tcPr>
            <w:tcW w:w="2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63"/>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(352)</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5"/>
              </w:rPr>
              <w:t>(69)%</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(128)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0"/>
        </w:trPr>
        <w:tc>
          <w:tcPr>
            <w:tcW w:w="24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3"/>
                <w:szCs w:val="23"/>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(8,884)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w w:val="95"/>
              </w:rPr>
              <w:t>(10,029)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1,145</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w w:val="95"/>
              </w:rPr>
              <w:t>(11)%</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(18,117)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w w:val="95"/>
              </w:rPr>
              <w:t>(18,228)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111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exchange</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 (loss), net</w:t>
            </w: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2,495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2,616</w:t>
            </w:r>
          </w:p>
        </w:tc>
        <w:tc>
          <w:tcPr>
            <w:tcW w:w="1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n/m</w:t>
            </w: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(16,311)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3,087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(19,398)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29"/>
        </w:trPr>
        <w:tc>
          <w:tcPr>
            <w:tcW w:w="2420" w:type="dxa"/>
            <w:vAlign w:val="bottom"/>
            <w:gridSpan w:val="2"/>
          </w:tcPr>
          <w:p>
            <w:pPr>
              <w:spacing w:after="0"/>
              <w:rPr>
                <w:sz w:val="20"/>
                <w:szCs w:val="20"/>
                <w:color w:val="auto"/>
              </w:rPr>
            </w:pPr>
            <w:r>
              <w:rPr>
                <w:rFonts w:ascii="Arial" w:cs="Arial" w:eastAsia="Arial" w:hAnsi="Arial"/>
                <w:sz w:val="18"/>
                <w:szCs w:val="18"/>
                <w:color w:val="auto"/>
              </w:rPr>
              <w:t>Loss on early extinguishment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of debt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(8,903)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8,903</w:t>
            </w:r>
          </w:p>
        </w:tc>
        <w:tc>
          <w:tcPr>
            <w:tcW w:w="100" w:type="dxa"/>
            <w:vAlign w:val="bottom"/>
          </w:tcPr>
          <w:p>
            <w:pPr>
              <w:spacing w:after="0"/>
              <w:rPr>
                <w:sz w:val="22"/>
                <w:szCs w:val="22"/>
                <w:color w:val="auto"/>
              </w:rPr>
            </w:pP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(9,831)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9,831</w:t>
            </w:r>
          </w:p>
        </w:tc>
        <w:tc>
          <w:tcPr>
            <w:tcW w:w="120" w:type="dxa"/>
            <w:vAlign w:val="bottom"/>
          </w:tcPr>
          <w:p>
            <w:pPr>
              <w:spacing w:after="0"/>
              <w:rPr>
                <w:sz w:val="22"/>
                <w:szCs w:val="22"/>
                <w:color w:val="auto"/>
              </w:rPr>
            </w:pPr>
          </w:p>
        </w:tc>
        <w:tc>
          <w:tcPr>
            <w:tcW w:w="940" w:type="dxa"/>
            <w:vAlign w:val="bottom"/>
          </w:tcPr>
          <w:p>
            <w:pPr>
              <w:jc w:val="right"/>
              <w:ind w:right="8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gains (losses)</w:t>
            </w: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732</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63"/>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Other expense, net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(5,531)</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5"/>
              </w:rPr>
              <w:t>(18,569)</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13,038</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w w:val="95"/>
              </w:rPr>
              <w:t>(70)%</w:t>
            </w:r>
          </w:p>
        </w:tc>
        <w:tc>
          <w:tcPr>
            <w:tcW w:w="2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(32,972)</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5"/>
              </w:rPr>
              <w:t>(24,120)</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(8,852)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decrease in interest income for the three and six months ended June 30, 2020 compared to the same periods in 2019 is primarily due to a decrease in interest rates on cash balances held at banks.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decrease in interest expense for the three and six months ended June 30, 2020 compared to the same period in 2019 was primarily related to the decrease in borrowings on the revolving credit agreement during 2020 compared to the same period in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gain (loss), net</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Foreign currency exchange activity includes gains and losses on certain foreign currency exchange derivative contracts and the impact of remeasurement of assets and liabilities denominated in foreign currencies. Assets and liabilities denominated in currencies other than the local currency of each of our subsidiaries give rise to foreign currency exchange gains and losses. Foreign currency exchange gains and losses that result from remeasurement of these assets and liabilities are recorded in net income. The majority of our foreign currency exchange gains or losses are due to the remeasurement of intercompany loans which are not considered a long-term investment in nature and are in a currency other than the functional currency of one of the parties to the loan. For example, we make intercompany loans based in euros from our corporate division, which is composed of U.S. dollar functional currency entities, to certain European entities that use the euro as the functional currency. As the U.S. dollar strengthens against the euro, foreign currency exchange losses are recognized by our corporate entities because the number of euros to be received in settlement of the loans decreases in U.S. dollar terms. Conversely, in this example, in periods where the U.S. dollar weakens, our corporate entities will record foreign currency exchange gains.</w:t>
      </w:r>
    </w:p>
    <w:p>
      <w:pPr>
        <w:spacing w:after="0" w:line="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recorded a net foreign currency exchange gain of $2.5 million and a net loss of $16.3 million for the three and six months ended June 30, 2020, respectively compared to a net foreign currency exchange loss of $0.1 million and a net gain of $3.1 million for the same periods in 2019, respectively. These realized and unrealized foreign currency exchange losses and gains reflect the fluctuation in the value of the U.S. dollar against the currencies of the countries in which we operated during the respective periods.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Company's effective income tax rate was (8.4)% and (11.1)% for the three and six months ended </w:t>
      </w:r>
      <w:r>
        <w:rPr>
          <w:rFonts w:ascii="Arial" w:cs="Arial" w:eastAsia="Arial" w:hAnsi="Arial"/>
          <w:sz w:val="18"/>
          <w:szCs w:val="18"/>
          <w:color w:val="252525"/>
        </w:rPr>
        <w:t>June 30, 2020</w:t>
      </w:r>
      <w:r>
        <w:rPr>
          <w:rFonts w:ascii="Arial" w:cs="Arial" w:eastAsia="Arial" w:hAnsi="Arial"/>
          <w:sz w:val="18"/>
          <w:szCs w:val="18"/>
          <w:color w:val="auto"/>
        </w:rPr>
        <w:t>, respectively, compared</w:t>
      </w:r>
    </w:p>
    <w:p>
      <w:pPr>
        <w:spacing w:after="0" w:line="2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 xml:space="preserve">to 31.5% and 31.6% for the three and six months ended </w:t>
      </w:r>
      <w:r>
        <w:rPr>
          <w:rFonts w:ascii="Arial" w:cs="Arial" w:eastAsia="Arial" w:hAnsi="Arial"/>
          <w:sz w:val="17"/>
          <w:szCs w:val="17"/>
          <w:color w:val="252525"/>
        </w:rPr>
        <w:t>June 30, 2019</w:t>
      </w:r>
      <w:r>
        <w:rPr>
          <w:rFonts w:ascii="Arial" w:cs="Arial" w:eastAsia="Arial" w:hAnsi="Arial"/>
          <w:sz w:val="17"/>
          <w:szCs w:val="17"/>
          <w:color w:val="auto"/>
        </w:rPr>
        <w:t xml:space="preserve">, respectively. The Company's effective income tax rate for the three and six months ended </w:t>
      </w:r>
      <w:r>
        <w:rPr>
          <w:rFonts w:ascii="Arial" w:cs="Arial" w:eastAsia="Arial" w:hAnsi="Arial"/>
          <w:sz w:val="17"/>
          <w:szCs w:val="17"/>
          <w:color w:val="252525"/>
        </w:rPr>
        <w:t>June 30, 2020</w:t>
      </w:r>
      <w:r>
        <w:rPr>
          <w:rFonts w:ascii="Arial" w:cs="Arial" w:eastAsia="Arial" w:hAnsi="Arial"/>
          <w:sz w:val="17"/>
          <w:szCs w:val="17"/>
          <w:color w:val="auto"/>
        </w:rPr>
        <w:t xml:space="preserve"> was different than the applicable statutory income tax rate of 21% primarily due to the non-deductible goodwill impairment charge during the second quarter of 2020 and as a result of an increase in the valuation allowance in certain jurisdictions relating to the reversal of tax benefits recognized in the first quarter of 2020 for net operating losses in those jurisdictions which have a limited history of profitable earnings. The Company's effective income tax rate for the three and six months ended June 30, 2019 was higher than the applicable statutory income tax rate of 21% largely because of the application to the Company of the global intangible low-taxed income ("GILTI") tax provision and certain foreign earnings of the Company being subject to higher local statutory income tax rates.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NONCONTROLLING INTERESTS</w:t>
      </w:r>
    </w:p>
    <w:p>
      <w:pPr>
        <w:spacing w:after="0" w:line="28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Noncontrolling interests represent the elimination of net income or loss attributable to the minority shareholders’ portion of the following consolidated subsidiaries that are not wholly owned: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60" w:type="dxa"/>
            <w:vAlign w:val="bottom"/>
            <w:vMerge w:val="restart"/>
          </w:tcPr>
          <w:p>
            <w:pPr>
              <w:spacing w:after="0"/>
              <w:rPr>
                <w:sz w:val="14"/>
                <w:szCs w:val="14"/>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Percent</w:t>
            </w:r>
          </w:p>
        </w:tc>
        <w:tc>
          <w:tcPr>
            <w:tcW w:w="2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Segment - Country</w:t>
            </w:r>
          </w:p>
        </w:tc>
        <w:tc>
          <w:tcPr>
            <w:tcW w:w="0" w:type="dxa"/>
            <w:vAlign w:val="bottom"/>
          </w:tcPr>
          <w:p>
            <w:pPr>
              <w:spacing w:after="0"/>
              <w:rPr>
                <w:sz w:val="1"/>
                <w:szCs w:val="1"/>
                <w:color w:val="auto"/>
              </w:rPr>
            </w:pPr>
          </w:p>
        </w:tc>
      </w:tr>
      <w:tr>
        <w:trPr>
          <w:trHeight w:val="192"/>
        </w:trPr>
        <w:tc>
          <w:tcPr>
            <w:tcW w:w="73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160" w:type="dxa"/>
            <w:vAlign w:val="bottom"/>
            <w:tcBorders>
              <w:bottom w:val="single" w:sz="8" w:color="CCEEFF"/>
            </w:tcBorders>
          </w:tcPr>
          <w:p>
            <w:pPr>
              <w:spacing w:after="0"/>
              <w:rPr>
                <w:sz w:val="16"/>
                <w:szCs w:val="16"/>
                <w:color w:val="auto"/>
              </w:rPr>
            </w:pPr>
          </w:p>
        </w:tc>
        <w:tc>
          <w:tcPr>
            <w:tcW w:w="2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Movilcarga</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95%</w:t>
            </w:r>
          </w:p>
        </w:tc>
        <w:tc>
          <w:tcPr>
            <w:tcW w:w="1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epay - Spain</w:t>
            </w:r>
          </w:p>
        </w:tc>
        <w:tc>
          <w:tcPr>
            <w:tcW w:w="0" w:type="dxa"/>
            <w:vAlign w:val="bottom"/>
          </w:tcPr>
          <w:p>
            <w:pPr>
              <w:spacing w:after="0"/>
              <w:rPr>
                <w:sz w:val="1"/>
                <w:szCs w:val="1"/>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Euronet China</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85%</w:t>
            </w:r>
          </w:p>
        </w:tc>
        <w:tc>
          <w:tcPr>
            <w:tcW w:w="160" w:type="dxa"/>
            <w:vAlign w:val="bottom"/>
          </w:tcPr>
          <w:p>
            <w:pPr>
              <w:spacing w:after="0"/>
              <w:rPr>
                <w:sz w:val="21"/>
                <w:szCs w:val="21"/>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EFT - China</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Euronet Pakistan</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70%</w:t>
            </w:r>
          </w:p>
        </w:tc>
        <w:tc>
          <w:tcPr>
            <w:tcW w:w="1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EFT - Pakistan</w:t>
            </w:r>
          </w:p>
        </w:tc>
        <w:tc>
          <w:tcPr>
            <w:tcW w:w="0" w:type="dxa"/>
            <w:vAlign w:val="bottom"/>
          </w:tcPr>
          <w:p>
            <w:pPr>
              <w:spacing w:after="0"/>
              <w:rPr>
                <w:sz w:val="1"/>
                <w:szCs w:val="1"/>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Euronet Infinitium Solutions</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65%</w:t>
            </w:r>
          </w:p>
        </w:tc>
        <w:tc>
          <w:tcPr>
            <w:tcW w:w="160" w:type="dxa"/>
            <w:vAlign w:val="bottom"/>
          </w:tcPr>
          <w:p>
            <w:pPr>
              <w:spacing w:after="0"/>
              <w:rPr>
                <w:sz w:val="21"/>
                <w:szCs w:val="21"/>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4"/>
              </w:rPr>
              <w:t>EFT - India</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INCOME ATTRIBUTABLE TO EURONET</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Net loss attributable to Euronet was $115.8 million and $113.9 million for the three and six months ended June 30, 2020, respectively, a decrease of $184.0 million and $216.6 million compared to the net income in the same periods in 2019, respectively. The net loss for the three months ended June 30, 2020 compared to the net income for the same period in 2019 was primarily attributable to the $164.1 million decrease in revenues and $104.6 million non-cash goodwill impairment charge, partially offset by an $8.9 million decrease in loss on early retirement of debt, an increase in net foreign currency exchange gains of $2.5 million and a decrease in income tax expense of $22.4 million. The net loss for the six months ended June 30, 2020 compared to the net income for the same period in 2019 was primarily attributable to the $157.7 million decrease in revenues, $104.6 million non-cash goodwill impairment charge and a $19.4 million increase in net foreign currency exchange losses, partially offset by an $8.9 million decrease in loss on early retirement of debt and a decrease in income tax expense of $35.9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June 30, 2020, we had working capital of $1,114.8 million, which is calculated as the difference between total current assets and total current liabilities, compared to working capital of $1,284.8 million as of December 31, 2019. The decrease in working capital is primarily due to $239.8 million of share repurchases during the first quarter of 2020. Our ratio of current assets to current liabilities was 1.78 and 1.79 at June 30, 2020 and December 31, 2019, respectively.</w:t>
      </w:r>
    </w:p>
    <w:p>
      <w:pPr>
        <w:spacing w:after="0" w:line="79"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We require substantial working capital to finance operations. The Money Transfer Segment funds the payout of the majority of our consumer-to-consumer money transfer services before receiving the benefit of amounts collected from customers by agents. Working capital needs increase due to weekends and banking holidays. As a result, we may report more or less working capital for the Money Transfer Segment based solely upon the day on which the reporting period ends. The epay Segment produces positive working capital, some of which is restricted in connection with the administration of its customer collection and vendor remittance activities. In our EFT Processing Segment, we obtain a significant portion of the cash required to operate our ATMs through various cash supply arrangements, the amount of which is not recorded on Euronet's Consolidated Balance Sheets. However, in certain countries, we fund the cash required to operate our ATM network from borrowings under the revolving credit facilities and cash flows from operations. As of June 30, 2020, we had $410.5 million of our own cash in use or designated for use in our ATM network, which is recorded in ATM cash on Euronet's Consolidated Balance Sheet. ATM cash decreased $255.1 million from $665.6 million as of December 31, 2019 to $410.5 million as of June 30, 2020 as a result of the reduction in number of active ATMs as of June 30, 2020 compared to December 31, 2019.</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$864.9 million of unrestricted cash as of June 30, 2020 compared to $786.1 million as of December 31, 2019. The increase in cash 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primarily due to the transfer of ATM cash to unrestricted cash and cash generated from operations, partially offset by $239.8 million in share repurchases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during the first quarter of 2020. Additionally, the Company has $410.5 million of cash in ATMs at June 30, 2020, giving the Company access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$1,275.4 million in available cash, and $947.9 million available under the credit facility with no significant long-term debt principal payments until March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2025.</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identifies cash and cash equivalents provided by/(used in) our operating, investing and financing activities for the six month periods ended June 30, 2020 and 2019 (in thousands):</w:t>
      </w:r>
    </w:p>
    <w:p>
      <w:pPr>
        <w:spacing w:after="0" w:line="117" w:lineRule="exact"/>
        <w:rPr>
          <w:sz w:val="20"/>
          <w:szCs w:val="20"/>
          <w:color w:val="auto"/>
        </w:rPr>
      </w:pPr>
    </w:p>
    <w:p>
      <w:pPr>
        <w:jc w:val="center"/>
        <w:ind w:left="800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jc w:val="center"/>
        <w:ind w:left="800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33020</wp:posOffset>
            </wp:positionV>
            <wp:extent cx="20656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Liquidity</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49"/>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and restricted cash provided by (used in):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178,557</w:t>
            </w:r>
          </w:p>
        </w:tc>
        <w:tc>
          <w:tcPr>
            <w:tcW w:w="16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56,714</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(48,624)</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(68,760)</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(240,974)</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505,945</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exchange rate changes on cash and cash equivalents and restricted cash</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(27,787)</w:t>
            </w:r>
          </w:p>
        </w:tc>
        <w:tc>
          <w:tcPr>
            <w:tcW w:w="1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4,907</w:t>
            </w:r>
          </w:p>
        </w:tc>
      </w:tr>
      <w:tr>
        <w:trPr>
          <w:trHeight w:val="257"/>
        </w:trPr>
        <w:tc>
          <w:tcPr>
            <w:tcW w:w="7980" w:type="dxa"/>
            <w:vAlign w:val="bottom"/>
          </w:tcPr>
          <w:p>
            <w:pPr>
              <w:ind w:left="40"/>
              <w:spacing w:after="0"/>
              <w:rPr>
                <w:sz w:val="20"/>
                <w:szCs w:val="20"/>
                <w:color w:val="auto"/>
              </w:rPr>
            </w:pPr>
            <w:r>
              <w:rPr>
                <w:rFonts w:ascii="Arial" w:cs="Arial" w:eastAsia="Arial" w:hAnsi="Arial"/>
                <w:sz w:val="18"/>
                <w:szCs w:val="18"/>
                <w:color w:val="auto"/>
              </w:rPr>
              <w:t>(Decrease) increase in cash and cash equivalents and restricted cash</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(138,828)</w:t>
            </w:r>
          </w:p>
        </w:tc>
        <w:tc>
          <w:tcPr>
            <w:tcW w:w="16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498,806</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activity cash flow</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Cash flows provided by operating activities were $178.6 million for the first half of 2020 compared to $56.7 million for the first half of 2019. The increase in operating cash flows was primarily due to fluctuations in working capital mainly associated with the timing of the settlement processes with content providers in the epay Segment, with correspondents in the Money Transfer Segment, and with card organizations and banks in the EFT Processing Segment.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Cash flows used in investing activities were $48.6 million for the first half of 2020 compared to $68.8 million for the same period in 2019. We used $45.5 million for purchases of property and equipment for the first half of 2020 compared to $67.7 million for the first half of 2019. Cash used for software development and other investing activities totaled $3.6 million and $1.0 million for the first half of 2020 and 2019,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Cash flows used in financing activities were $241.0 million for the first half of 2020 compared to cash flows provided by financing activities of $505.9 million for the same period in 2019. Our borrowing activities for the first half of 2020 consisted of cash outflows of $5.0 million compared to net borrowings of $524.1 million for the first half of 2019. The decrease in net borrowings for the first half of 2020 compared to the same period in 2019 was the result of the issuance of $1,194.9 million of convertible notes and Senior Notes in the first half of 2019 which was used to fund the operating cash of our IAD networks, repay revolving credit facility borrowings and repurchase a portion of existing convertible notes. We repurchased $240.7 million and $2.4 million of our common stock during the first half of 2020 and 2019, respectively. Of the $240.7 million repurchased shares, $239.8 million of Euronet Common Stock was repurchased under our repurchase program. We received proceeds of $5.7 million and $7.0 million during the first half of 2020 and 2019, respectively, for the issuance of stock in connection with our Stock Incentive Plan.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u w:val="single" w:color="auto"/>
          <w:color w:val="auto"/>
        </w:rPr>
        <w:t>Credit Facility</w:t>
      </w:r>
      <w:r>
        <w:rPr>
          <w:rFonts w:ascii="Arial" w:cs="Arial" w:eastAsia="Arial" w:hAnsi="Arial"/>
          <w:sz w:val="18"/>
          <w:szCs w:val="18"/>
          <w:color w:val="auto"/>
        </w:rPr>
        <w:t xml:space="preserve"> - On October 17, 2018, the Company entered into a $1.0 billion unsecured credit agreement (the "Credit Facility") that expires on October 17, 2023. The Credit Facility allows for borrowings in Australian Dollars, British Pounds Sterling, Canadian Dollars, Czech Koruna, Danish Krone, Euros, Hungarian Forints, Japanese Yen, New Zealand Dollars, Norwegian Krone, Polish Zlotys, Swedish Krona, Swiss Francs, and U.S. Dollars. The Credit Facility contains a $200 million sublimit for the issuance of letters of credit, a $50 million sublimit for U.S. Dollar swingline loans, and a $90 million sublimit for certain foreign currencies swingline loans.</w:t>
      </w:r>
    </w:p>
    <w:p>
      <w:pPr>
        <w:spacing w:after="0" w:line="188" w:lineRule="exact"/>
        <w:rPr>
          <w:sz w:val="20"/>
          <w:szCs w:val="20"/>
          <w:color w:val="auto"/>
        </w:rPr>
      </w:pPr>
    </w:p>
    <w:p>
      <w:pPr>
        <w:jc w:val="both"/>
        <w:ind w:right="400"/>
        <w:spacing w:after="0" w:line="311" w:lineRule="auto"/>
        <w:rPr>
          <w:sz w:val="20"/>
          <w:szCs w:val="20"/>
          <w:color w:val="auto"/>
        </w:rPr>
      </w:pPr>
      <w:r>
        <w:rPr>
          <w:rFonts w:ascii="Arial" w:cs="Arial" w:eastAsia="Arial" w:hAnsi="Arial"/>
          <w:sz w:val="16"/>
          <w:szCs w:val="16"/>
          <w:color w:val="auto"/>
        </w:rPr>
        <w:t>As of June 30, 2020, fees and interest on borrowings are based upon the Company's corporate credit rating (as defined in the credit agreement) and are based, in the case of letter of credit fees, on a margin, and in the case of interest, on a margin over the London InterBank Offered Rate ("LIBOR") or a margin over the base rate, as selected by us, with the applicable margin ranging from 1.125% to 2.0% (or 0.175% to 1.0% for base rate loans).</w:t>
      </w:r>
    </w:p>
    <w:p>
      <w:pPr>
        <w:spacing w:after="0" w:line="41" w:lineRule="exact"/>
        <w:rPr>
          <w:sz w:val="20"/>
          <w:szCs w:val="20"/>
          <w:color w:val="auto"/>
        </w:rPr>
      </w:pPr>
    </w:p>
    <w:p>
      <w:pPr>
        <w:ind w:right="1720"/>
        <w:spacing w:after="0" w:line="277" w:lineRule="auto"/>
        <w:rPr>
          <w:sz w:val="20"/>
          <w:szCs w:val="20"/>
          <w:color w:val="auto"/>
        </w:rPr>
      </w:pPr>
      <w:r>
        <w:rPr>
          <w:rFonts w:ascii="Arial" w:cs="Arial" w:eastAsia="Arial" w:hAnsi="Arial"/>
          <w:sz w:val="18"/>
          <w:szCs w:val="18"/>
          <w:color w:val="auto"/>
        </w:rPr>
        <w:t>As of June 30, 2020, we had no borrowings and $52.1 million of stand-by letters of credit outstanding under the Credit Facility. The remaining $947.9 million under the Credit Facility was available for borrowing.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Uncommitted Line of Credit</w:t>
      </w:r>
      <w:r>
        <w:rPr>
          <w:rFonts w:ascii="Arial" w:cs="Arial" w:eastAsia="Arial" w:hAnsi="Arial"/>
          <w:sz w:val="17"/>
          <w:szCs w:val="17"/>
          <w:color w:val="auto"/>
        </w:rPr>
        <w:t xml:space="preserve"> - On September 4, 2019, the Company entered into an Uncommitted Loan Agreement with Bank of America which</w:t>
      </w:r>
    </w:p>
    <w:p>
      <w:pPr>
        <w:spacing w:after="0" w:line="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provided Euronet up to $100.0 million under an uncommitted line of credit. Interest on borrowings was equal to LIBOR plus 0.65% and the agreement was set to expire September 4, 2020. During the three months ended June 30, 2020, the Company and Bank of America mutually agreed to terminate the Uncommitted Loan Agreement.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70" w:lineRule="auto"/>
        <w:rPr>
          <w:sz w:val="20"/>
          <w:szCs w:val="20"/>
          <w:color w:val="auto"/>
        </w:rPr>
      </w:pPr>
      <w:r>
        <w:rPr>
          <w:rFonts w:ascii="Arial" w:cs="Arial" w:eastAsia="Arial" w:hAnsi="Arial"/>
          <w:sz w:val="17"/>
          <w:szCs w:val="17"/>
          <w:u w:val="single" w:color="auto"/>
          <w:color w:val="auto"/>
        </w:rPr>
        <w:t>Convertible debt</w:t>
      </w:r>
      <w:r>
        <w:rPr>
          <w:rFonts w:ascii="Arial" w:cs="Arial" w:eastAsia="Arial" w:hAnsi="Arial"/>
          <w:sz w:val="17"/>
          <w:szCs w:val="17"/>
          <w:color w:val="auto"/>
        </w:rPr>
        <w:t xml:space="preserve"> - On March 18, 2019, we completed the sale of $525.0 million in principal amount of Convertible Senior Notes due 2049 (“Convertible Notes”). The Convertible Notes were issued pursuant to an indenture, dated as of March 18, 2019 (the “Indenture”), by and between the Company and U.S. Bank National Association, as trustee. The Convertible Notes have an interest rate of 0.75% per annum payable semi-annually in March and September, and are convertible into shares of Euronet common stock at a conversion price of approximately $188.73 per share if certain conditions are met (relating to the closing prices of Euronet common stock exceeding certain thresholds for specified periods). Holders of the Convertible Notes have the option to require the Company to repurchase for cash all or part of their Convertible Notes on each of March 15, 2025, 2029, 2034, 2039 and 2044 at a repurchase price equal to 100% of the principal amount of the Convertible Notes to be repurchased, plus accrued and unpaid interest to, but excluding, the relevant repurchase date. In connection with the issuance of the Convertible Notes, we recorded $12.8 million in debt issuance costs, which are being amortized through March 1, 2025.</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u w:val="single" w:color="auto"/>
          <w:color w:val="auto"/>
        </w:rPr>
        <w:t>Senior Notes</w:t>
      </w:r>
      <w:r>
        <w:rPr>
          <w:rFonts w:ascii="Arial" w:cs="Arial" w:eastAsia="Arial" w:hAnsi="Arial"/>
          <w:sz w:val="18"/>
          <w:szCs w:val="18"/>
          <w:color w:val="auto"/>
        </w:rPr>
        <w:t xml:space="preserve"> - On May 22, 2019, the Company completed the sale of €600 million ($669.9 million) aggregate principal amount of Senior Notes that expire on May 2026 (the “Senior Notes”). The Senior Notes accrue interest at a rate of 1.375% per year, payable annually in arrears commencing May 22, 2020, until maturity or earlier redemption. As of June 30, 2020, the Company has outstanding €600 million ($673.9 million) principal amount of the Senior Notes. In addition, the Company may redeem some or all of these notes on or after February 22, 2026 at their principal amount plus any accrued and unpaid interest.</w:t>
      </w:r>
    </w:p>
    <w:p>
      <w:pPr>
        <w:spacing w:after="0" w:line="18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u w:val="single" w:color="auto"/>
          <w:color w:val="auto"/>
        </w:rPr>
        <w:t>Other debt obligations</w:t>
      </w:r>
      <w:r>
        <w:rPr>
          <w:rFonts w:ascii="Arial" w:cs="Arial" w:eastAsia="Arial" w:hAnsi="Arial"/>
          <w:sz w:val="18"/>
          <w:szCs w:val="18"/>
          <w:color w:val="auto"/>
        </w:rPr>
        <w:t xml:space="preserve"> — Certain of our subsidiaries have available credit lines and overdraft facilities to generally supplement short-term working capital requirements, when necessary. There were $0.9 million and $6.2 million outstanding under these other obligation arrangements as of June 30, 2020 and December 31, 2019,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u w:val="single" w:color="auto"/>
          <w:color w:val="auto"/>
        </w:rPr>
        <w:t>Capital expenditures and needs</w:t>
      </w:r>
      <w:r>
        <w:rPr>
          <w:rFonts w:ascii="Arial" w:cs="Arial" w:eastAsia="Arial" w:hAnsi="Arial"/>
          <w:sz w:val="18"/>
          <w:szCs w:val="18"/>
          <w:color w:val="auto"/>
        </w:rPr>
        <w:t xml:space="preserve"> - Total capital expenditures for the six months ended June 30, 2020 were $45.5 million. These capital expenditures were primarily for the purchase of ATMs to expand our IAD network in Europe, the purchase and installation of ATMs in key under-penetrated markets, the purchase of POS terminals for the epay and Money Transfer Segments, and office, data center and company store computer equipment and software. Total capital expenditures for 2020 are currently estimated to range from approximately $50 million to $55 million. The Company has reduced estimated capital expenditures for 2020 due to the COVID-19 pandemic.</w:t>
      </w:r>
    </w:p>
    <w:p>
      <w:pPr>
        <w:spacing w:after="0" w:line="8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Credit Facility and other existing and potential future financing will be sufficient to meet our debt, leasing,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plan</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Company's Board of Directors had authorized a stock repurchase program allowing Euronet to repurchase up to $375 million in value or 10.0 million shares of stock through March 31, 2020. The Company has repurchased all $375 million of stock under this program. On March 11, 2019, in connection with the issuance of the Convertible Notes, the Board of Directors authorized an additional repurchase program of $120 million in value of the Company's common stock through March 11, 2021. The Company has repurchased $110.4 million of stock under this program. On February 26, 2020, the Company put a repurchase program in place to repurchase up to $250 million in value, but not more than 5.0 million shares of common stock through February 28, 2022. For the six months ended June 30, 2020, the Company repurchased 2.1 million shares under the repurchase programs at a weighted average purchase price of $114.41 for a total value of $239.8 million. Repurchases under either of the current programs may take place in the open market or in privately negotiated transactions, including derivative transactions, and may be made under a Rule 10b5-1 plan.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June 30, 2020, there were no material changes from the disclosure in our Annual Report on Form 10-K for the year ended December 31, 2019. To date, we are not aware of any significant claims made by the indemnified parties or parties to whom we have provided guarantees on behalf of our subsidiaries and, accordingly, no liabilities have been recorded as of June 30, 2020. See also Note 13, Commitments, to the unaudited consolidated financial statements included elsewhere in this report.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As of June 30, 2020, there have been no material changes outside the ordinary course of business in our future contractual obligations from the amounts reported within our Annual Report on Form 10-K for the year ended December 31, 2019, other than those resulting from changes in the amount of debt outstanding discussed in the Liquidity and Capital Resources section.</w:t>
      </w:r>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4040"/>
        <w:spacing w:after="0" w:line="377"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i w:val="1"/>
          <w:iCs w:val="1"/>
          <w:color w:val="auto"/>
        </w:rPr>
        <w:t>Interest rate risk</w:t>
      </w:r>
    </w:p>
    <w:p>
      <w:pPr>
        <w:spacing w:after="0" w:line="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As of June 30, 2020, our total debt outstanding, excluding unamortized debt issuance costs, was $1,119.3 million. Of this amount, $444.5 million, net of debt discounts, or 40% of our total debt obligations, relates to contingent convertible notes having a fixed coupon rate. Our $525.0 million outstanding principal amount of contingent convertible notes accrue cash interest at a rate of 0.75% of the principal amount per annum. Based on quoted market prices, as of June 30, 2020, the fair value of our fixed rate convertible notes was $647.2 million, compared to a carrying value of $444.5 million. Interest expense for these notes, including accretion and amortization of deferred debt issuance costs, has a weighted average interest rate of 4.4% annually. Further, as</w:t>
      </w:r>
    </w:p>
    <w:p>
      <w:pPr>
        <w:spacing w:after="0" w:line="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of June 30, 2020 we had no borrowings under our Credit Facility. Additionally, $673.9 million, or 60% of our total debt obligations, relates to Senior Notes having a fixed coupon rate. Our €600 million outstanding principal amount of Senior Notes accrue cash interest at a rate of 1.375% of the principal per annum. Based on quoted market prices, as of June 30, 2020, the fair value of our fixed rate Senior Notes was $632.3 million, compared to a carrying value of $673.9 million. The remaining $0.9 million, or 0.1% of our total debt obligations, is related to borrowings by certain subsidiaries to fund, from time to time, working capital requirements. These arrangements generally are due within one year and accrue interest at variable rates.</w:t>
      </w:r>
    </w:p>
    <w:p>
      <w:pPr>
        <w:spacing w:after="0" w:line="70"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six months ended June 30, 2020, approximately 70% and of our revenues were generated in non-U.S. dollar countries and we expect to continue generating a significant portion of our revenues in countries with currencies other than the U.S. dollar.</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particularly vulnerable to fluctuations in exchange rates of the U.S. dollar to the currencies of countries in which we have significant operations, primarily the euro, British pound, Australian dollar, Polish zloty, Indian rupee, New Zealand dollar, Malaysian ringgit and Hungarian forint. As of June 30, 2020, we estimate that a 10% fluctuation in these foreign currency exchange rates would have the combined annualized effect on reported net income and working capital of approximately $8.0 million to $13.0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w:t>
      </w:r>
    </w:p>
    <w:p>
      <w:pPr>
        <w:spacing w:after="0" w:line="70"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$107.0 million to $112.0 million as a result of the change in value of these items during translation to the U.S. dollar. For the fluctuations described above, a strengthening U.S. dollar produces a financial loss, while a weakening U.S. dollar produces a financial gain.</w:t>
      </w:r>
    </w:p>
    <w:p>
      <w:pPr>
        <w:spacing w:after="0" w:line="68"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a weakening of the U.S. dollar and negatively impacted by a strengthening of the U.S. dollar. Additionally, a significant portion of our debt obligations are in U.S. dollars; therefore, as foreign currency exchange rates fluctuate, the amount available for repayment of debt will also increase or decrease.</w:t>
      </w:r>
    </w:p>
    <w:p>
      <w:pPr>
        <w:spacing w:after="0" w:line="6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252525"/>
        </w:rPr>
        <w:t>We use derivatives to minimize our exposures related to changes in foreign currency exchange rates and to facilitate foreign currency risk management services by writing derivatives to customers. Derivatives are used to manage the overall market risk associated with foreign currency exchange rates; however, we do not perform the extensive record-keeping required to account for the derivative transactions as hedges. Due to the relatively short duration of the derivative contracts, we use the derivatives primarily as economic hedges. Since we do not designate foreign currency derivatives as hedging instruments pursuant to the accounting standards, we record gains and losses on foreign exchange derivatives in earnings in the period of change.</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 majority of our consumer-to-consumer money transfer operations involve receiving and disbursing different currencies, in which we earn a foreign currency spread based on the difference between buying currency at wholesale exchange rates and selling the currency to consumers at retail exchange rates. We enter into foreign currency forward and cross-currency swap contracts to minimize exposure related to fluctuations in foreign currency exchange rates. The changes in fair value related to these contracts are recorded in Foreign currency exchange (loss) gain, net on the Consolidated Statements of Income. As of June 30, 2020, we had foreign currency derivative contracts outstanding with a notional value of $222 million, primarily in Australian dollars, British pounds, Canadian dollars, euros and Mexican pesos, that were not designated as hedges and mature within a few days.</w:t>
      </w:r>
    </w:p>
    <w:p>
      <w:pPr>
        <w:spacing w:after="0" w:line="5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For derivative instruments our xe operations write to customers, we aggregate the foreign currency exposure arising from customer contracts, and hedge the resulting net currency risks by entering into offsetting contracts with established financial institution counterparties as part of a broader foreign currency portfolio. The changes in fair value related to the total portfolio of positions are recorded in Revenues on the Consolidated Statements of Income. As</w:t>
      </w:r>
    </w:p>
    <w:p>
      <w:pPr>
        <w:spacing w:after="0" w:line="2"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color w:val="auto"/>
        </w:rPr>
        <w:t>of June 30, 2020, we held foreign currency derivative contracts outstanding with a notional value of $1.5 billion, primarily in U.S. dollars, euros, British pounds, Australian dollars and New Zealand dollars, that were not designated as hedges and for which the majority mature within the next twelve months.</w:t>
      </w:r>
    </w:p>
    <w:p>
      <w:pPr>
        <w:spacing w:after="0" w:line="30"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We use longer-term foreign currency forward contracts to mitigate risks associated with changes in foreign currency exchange rates on certain foreign currency denominated other asset and liability positions. As of June 30, 2020, the Company had foreign currency forward contracts outstanding with a notional value of $332 million, primarily in euros.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See Note 9, Derivative Instruments and Hedging Activities, to our unaudited consolidated financial statements for additional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executive management, including our Chief Executive Officer and Chief Financial Officer, evaluated the effectiveness of the design and operation of our disclosure controls and procedures pursuant to Rule 13a-15(b) under the Exchange Act as of June 30, 2020.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Internal Controls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second quarter of 2020 that has materially affected, or is reasonably likely to materially affect, our internal control over financial reporting.</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legal or regulatory proceedings arising in the ordinary course of its business.</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discussion regarding contingencies in Part I, Item 1 — Financial Statements (unaudited), Note 14, Litigation and Contingencies, to the unaudited consolidated financial statements in this report is incorporated herein by reference.</w:t>
      </w:r>
    </w:p>
    <w:p>
      <w:pPr>
        <w:spacing w:after="0" w:line="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Currently, there are no legal or regulatory proceedings that management believes, either individually or in the aggregate, would have a material adverse effect on the Company's consolidated financial condition or results of operations.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252525"/>
        </w:rPr>
        <w:t xml:space="preserve">Except as otherwise described herein, there were no material changes to the risk factors previously disclosed in our Annual Report on Form 10-K for the year ended December 31, 2019 and our Quarterly Report on Form 10-Q for the quarter ended March 31, 2020 </w:t>
      </w:r>
      <w:r>
        <w:rPr>
          <w:rFonts w:ascii="Arial" w:cs="Arial" w:eastAsia="Arial" w:hAnsi="Arial"/>
          <w:sz w:val="17"/>
          <w:szCs w:val="17"/>
          <w:color w:val="000000"/>
        </w:rPr>
        <w:t>as filed with the SEC.</w:t>
      </w:r>
    </w:p>
    <w:p>
      <w:pPr>
        <w:spacing w:after="0" w:line="133"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b w:val="1"/>
          <w:bCs w:val="1"/>
          <w:i w:val="1"/>
          <w:iCs w:val="1"/>
          <w:color w:val="auto"/>
        </w:rPr>
        <w:t>The outbreak of COVID-19 (coronavirus) has negatively impacted and could continue to negatively impact the global economy. In addition, the COVID-19 pandemic could disrupt or otherwise negatively impact global credit markets and our operations, including the demand for our products and services.</w:t>
      </w:r>
    </w:p>
    <w:p>
      <w:pPr>
        <w:spacing w:after="0" w:line="12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significant outbreak of COVID-19 has resulted in a widespread health crisis, which has negatively impacted and could continue to negatively impact the global economy. In addition, the global and regional impact of the outbreak, including official or unofficial quarantines and governmental restrictions on activities taken in response to such event, has had, and could continue to have. a negative impact on our operations, including voluntary or mandatory temporary closures of our facilities or those of our agents or customers; interruptions in our supply chain, which could impact the cost or availability of equipment ; disruptions or restrictions on our ability to travel or to market and distribute our products and services; reduced consumer demand for our products and services due to reduced consumer traffic in, or closure of, retail and other locations where our products and services are offered; and labor shortages.</w:t>
      </w:r>
    </w:p>
    <w:p>
      <w:pPr>
        <w:spacing w:after="0" w:line="11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For example, the COVID-19 pandemic has resulted in travel restrictions within and between countries, including mandatory quarantine requirements for travelers from certain locations, and varying degrees of “sheltering in-place” and other social distancing orders in most of the countries where we do business. Among other things, these orders restrict which businesses are allowed to be open and the conditions under which they are allowed to operate. Although the majority of these orders went into effect at the end of February and throughout various times in March, new orders are being implemented, or reinstated, as the pandemic spreads around the global and new hot spots flare up. These travel restrictions and orders, as well as increased unemployment and general economic uncertainty caused by the pandemic, have negatively impacted all of our three operating segments. The EFT operating segment has experienced declines in transaction volumes as the factors noted above have reduced transactions on our network of ATMs. The epay Segment has experienced the closure of, or reduced consumer traffic at, many of its POS retail locations. Finally, our money transfer segment has experienced declines in transaction volumes. Our network of company owned stores, and agents have experienced closures as many of our agents and stores were deemed nonessential services and ordered to close. The disruption in the business of the retailers and agents that offer our services and products may adversely affect their ability to remain in business and/or timely remit payments owed to us. All of these factors, in turn, may not only impact our operations, financial condition and demand for our products and services but our overall ability to react timely to mitigate the impact of this event.</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COVID-19 outbreak could disrupt or otherwise negatively impact credit markets, which could adversely affect the availability and cost of capital. Such impacts could limit our ability to fund our operations and satisfy our obligations.</w:t>
      </w:r>
    </w:p>
    <w:p>
      <w:pPr>
        <w:spacing w:after="0" w:line="1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extent and potential impact of the COVID-19 outbreak on our operational and financial performance will depend on future developments, including the duration, severity and spread of the virus, actions that may be taken by governmental authorities and the impact on our supply chain, customers, operations, workforce and the financial markets, all of which are highly uncertain and cannot be predicted. These and other potential impacts of an epidemic, pandemic or other health crisis, such as COVID-19, could therefore materially and adversely affect our business, financial condition and results of operations.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provides information with respect to shares of the Company's Common Stock that were purchased by the Company during the three months ended June 30, 2020.</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280" w:type="dxa"/>
            <w:vAlign w:val="bottom"/>
          </w:tcPr>
          <w:p>
            <w:pPr>
              <w:spacing w:after="0"/>
              <w:rPr>
                <w:sz w:val="14"/>
                <w:szCs w:val="14"/>
                <w:color w:val="auto"/>
              </w:rPr>
            </w:pPr>
          </w:p>
        </w:tc>
        <w:tc>
          <w:tcPr>
            <w:tcW w:w="176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Maximum Dollar Value of</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9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2"/>
                <w:szCs w:val="12"/>
                <w:color w:val="auto"/>
              </w:rPr>
            </w:pPr>
          </w:p>
        </w:tc>
        <w:tc>
          <w:tcPr>
            <w:tcW w:w="1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Price Paid per</w:t>
            </w: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280" w:type="dxa"/>
            <w:vAlign w:val="bottom"/>
          </w:tcPr>
          <w:p>
            <w:pPr>
              <w:spacing w:after="0"/>
              <w:rPr>
                <w:sz w:val="12"/>
                <w:szCs w:val="12"/>
                <w:color w:val="auto"/>
              </w:rPr>
            </w:pPr>
          </w:p>
        </w:tc>
        <w:tc>
          <w:tcPr>
            <w:tcW w:w="17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8"/>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280" w:type="dxa"/>
            <w:vAlign w:val="bottom"/>
          </w:tcPr>
          <w:p>
            <w:pPr>
              <w:spacing w:after="0"/>
              <w:rPr>
                <w:sz w:val="12"/>
                <w:szCs w:val="12"/>
                <w:color w:val="auto"/>
              </w:rPr>
            </w:pPr>
          </w:p>
        </w:tc>
        <w:tc>
          <w:tcPr>
            <w:tcW w:w="17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660" w:type="dxa"/>
            <w:vAlign w:val="bottom"/>
            <w:vMerge w:val="continue"/>
          </w:tcPr>
          <w:p>
            <w:pPr>
              <w:spacing w:after="0"/>
              <w:rPr>
                <w:sz w:val="16"/>
                <w:szCs w:val="16"/>
                <w:color w:val="auto"/>
              </w:rPr>
            </w:pPr>
          </w:p>
        </w:tc>
        <w:tc>
          <w:tcPr>
            <w:tcW w:w="1920" w:type="dxa"/>
            <w:vAlign w:val="bottom"/>
            <w:gridSpan w:val="2"/>
          </w:tcPr>
          <w:p>
            <w:pPr>
              <w:ind w:left="560"/>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6"/>
                <w:szCs w:val="16"/>
                <w:color w:val="auto"/>
              </w:rPr>
            </w:pPr>
          </w:p>
        </w:tc>
        <w:tc>
          <w:tcPr>
            <w:tcW w:w="172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2040" w:type="dxa"/>
            <w:vAlign w:val="bottom"/>
            <w:gridSpan w:val="2"/>
          </w:tcPr>
          <w:p>
            <w:pPr>
              <w:jc w:val="center"/>
              <w:ind w:left="75"/>
              <w:spacing w:after="0"/>
              <w:rPr>
                <w:sz w:val="20"/>
                <w:szCs w:val="20"/>
                <w:color w:val="auto"/>
              </w:rPr>
            </w:pPr>
            <w:r>
              <w:rPr>
                <w:rFonts w:ascii="Arial" w:cs="Arial" w:eastAsia="Arial" w:hAnsi="Arial"/>
                <w:sz w:val="14"/>
                <w:szCs w:val="14"/>
                <w:b w:val="1"/>
                <w:bCs w:val="1"/>
                <w:color w:val="auto"/>
                <w:w w:val="92"/>
              </w:rPr>
              <w:t>Programs (in thousands) (1)</w:t>
            </w: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1 - April 30, 2020</w:t>
            </w:r>
          </w:p>
        </w:tc>
        <w:tc>
          <w:tcPr>
            <w:tcW w:w="1920" w:type="dxa"/>
            <w:vAlign w:val="bottom"/>
            <w:tcBorders>
              <w:bottom w:val="single" w:sz="8" w:color="CCEEFF"/>
            </w:tcBorders>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259,362</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May 1 - May 31, 2020</w:t>
            </w:r>
          </w:p>
        </w:tc>
        <w:tc>
          <w:tcPr>
            <w:tcW w:w="192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72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780" w:type="dxa"/>
            <w:vAlign w:val="bottom"/>
          </w:tcPr>
          <w:p>
            <w:pPr>
              <w:ind w:left="148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59"/>
              <w:spacing w:after="0"/>
              <w:rPr>
                <w:sz w:val="20"/>
                <w:szCs w:val="20"/>
                <w:color w:val="auto"/>
              </w:rPr>
            </w:pPr>
            <w:r>
              <w:rPr>
                <w:rFonts w:ascii="Arial" w:cs="Arial" w:eastAsia="Arial" w:hAnsi="Arial"/>
                <w:sz w:val="18"/>
                <w:szCs w:val="18"/>
                <w:color w:val="auto"/>
              </w:rPr>
              <w:t>259,362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1 - June 30, 2020</w:t>
            </w:r>
          </w:p>
        </w:tc>
        <w:tc>
          <w:tcPr>
            <w:tcW w:w="1920" w:type="dxa"/>
            <w:vAlign w:val="bottom"/>
            <w:tcBorders>
              <w:bottom w:val="single" w:sz="8" w:color="CCEEFF"/>
            </w:tcBorders>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259,362</w:t>
            </w:r>
          </w:p>
        </w:tc>
        <w:tc>
          <w:tcPr>
            <w:tcW w:w="0" w:type="dxa"/>
            <w:vAlign w:val="bottom"/>
          </w:tcPr>
          <w:p>
            <w:pPr>
              <w:spacing w:after="0"/>
              <w:rPr>
                <w:sz w:val="1"/>
                <w:szCs w:val="1"/>
                <w:color w:val="auto"/>
              </w:rPr>
            </w:pPr>
          </w:p>
        </w:tc>
      </w:tr>
      <w:tr>
        <w:trPr>
          <w:trHeight w:val="257"/>
        </w:trPr>
        <w:tc>
          <w:tcPr>
            <w:tcW w:w="3660" w:type="dxa"/>
            <w:vAlign w:val="bottom"/>
          </w:tcPr>
          <w:p>
            <w:pPr>
              <w:ind w:left="180"/>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auto"/>
              <w:bottom w:val="single" w:sz="8" w:color="auto"/>
            </w:tcBorders>
          </w:tcPr>
          <w:p>
            <w:pPr>
              <w:ind w:left="1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780" w:type="dxa"/>
            <w:vAlign w:val="bottom"/>
            <w:tcBorders>
              <w:top w:val="single" w:sz="8" w:color="auto"/>
              <w:bottom w:val="single" w:sz="8" w:color="auto"/>
            </w:tcBorders>
          </w:tcPr>
          <w:p>
            <w:pPr>
              <w:ind w:left="14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right="120" w:firstLine="8"/>
        <w:spacing w:after="0" w:line="257"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March 11, 2019, in connection with the issuance of the Convertible Notes, the Board of Directors authorized a repurchase program of $120 million in value of Euronet’s common stock through March 11, 2021. Euronet has repurchased $110.6 million of stock under this program. On February 26, 2020, the Company put a repurchase program in place to repurchase up to $250 million in value, but not more than 5.0 million shares of common stock through February 28, 2022. Repurchases under either remaining program may take place in the open market or in privately negotiated transactions, including derivative transactions, and may be made under a Rule 10b5-1 plan.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20" w:type="dxa"/>
            <w:vAlign w:val="bottom"/>
            <w:gridSpan w:val="2"/>
          </w:tcPr>
          <w:p>
            <w:pPr>
              <w:ind w:left="740"/>
              <w:spacing w:after="0"/>
              <w:rPr>
                <w:sz w:val="20"/>
                <w:szCs w:val="20"/>
                <w:color w:val="auto"/>
              </w:rPr>
            </w:pPr>
            <w:r>
              <w:rPr>
                <w:rFonts w:ascii="Arial" w:cs="Arial" w:eastAsia="Arial" w:hAnsi="Arial"/>
                <w:sz w:val="14"/>
                <w:szCs w:val="14"/>
                <w:b w:val="1"/>
                <w:bCs w:val="1"/>
                <w:color w:val="auto"/>
              </w:rPr>
              <w:t>Exhibit</w:t>
            </w:r>
          </w:p>
        </w:tc>
        <w:tc>
          <w:tcPr>
            <w:tcW w:w="920" w:type="dxa"/>
            <w:vAlign w:val="bottom"/>
          </w:tcPr>
          <w:p>
            <w:pPr>
              <w:spacing w:after="0"/>
              <w:rPr>
                <w:sz w:val="16"/>
                <w:szCs w:val="16"/>
                <w:color w:val="auto"/>
              </w:rPr>
            </w:pPr>
          </w:p>
        </w:tc>
        <w:tc>
          <w:tcPr>
            <w:tcW w:w="8200" w:type="dxa"/>
            <w:vAlign w:val="bottom"/>
          </w:tcPr>
          <w:p>
            <w:pPr>
              <w:ind w:left="3280"/>
              <w:spacing w:after="0"/>
              <w:rPr>
                <w:sz w:val="20"/>
                <w:szCs w:val="20"/>
                <w:color w:val="auto"/>
              </w:rPr>
            </w:pPr>
            <w:r>
              <w:rPr>
                <w:rFonts w:ascii="Arial" w:cs="Arial" w:eastAsia="Arial" w:hAnsi="Arial"/>
                <w:sz w:val="14"/>
                <w:szCs w:val="14"/>
                <w:b w:val="1"/>
                <w:bCs w:val="1"/>
                <w:color w:val="auto"/>
              </w:rPr>
              <w:t>Description</w:t>
            </w:r>
          </w:p>
        </w:tc>
      </w:tr>
      <w:tr>
        <w:trPr>
          <w:trHeight w:val="472"/>
        </w:trPr>
        <w:tc>
          <w:tcPr>
            <w:tcW w:w="1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9120" w:type="dxa"/>
            <w:vAlign w:val="bottom"/>
            <w:tcBorders>
              <w:top w:val="single" w:sz="8" w:color="auto"/>
            </w:tcBorders>
            <w:gridSpan w:val="2"/>
          </w:tcPr>
          <w:p>
            <w:pPr>
              <w:ind w:left="4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Section 302 — Certification of Chief Executive Officer</w:t>
              </w:r>
            </w:hyperlink>
          </w:p>
        </w:tc>
      </w:tr>
      <w:tr>
        <w:trPr>
          <w:trHeight w:val="270"/>
        </w:trPr>
        <w:tc>
          <w:tcPr>
            <w:tcW w:w="1920" w:type="dxa"/>
            <w:vAlign w:val="bottom"/>
          </w:tcPr>
          <w:p>
            <w:pPr>
              <w:ind w:left="40"/>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3"/>
                <w:szCs w:val="23"/>
                <w:color w:val="auto"/>
              </w:rPr>
            </w:pPr>
          </w:p>
        </w:tc>
        <w:tc>
          <w:tcPr>
            <w:tcW w:w="920" w:type="dxa"/>
            <w:vAlign w:val="bottom"/>
          </w:tcPr>
          <w:p>
            <w:pPr>
              <w:ind w:left="40"/>
              <w:spacing w:after="0"/>
              <w:rPr>
                <w:rFonts w:ascii="Arial" w:cs="Arial" w:eastAsia="Arial" w:hAnsi="Arial"/>
                <w:sz w:val="18"/>
                <w:szCs w:val="18"/>
                <w:u w:val="single" w:color="auto"/>
                <w:color w:val="0000EE"/>
                <w:w w:val="90"/>
              </w:rPr>
            </w:pPr>
            <w:hyperlink w:anchor="page50">
              <w:r>
                <w:rPr>
                  <w:rFonts w:ascii="Arial" w:cs="Arial" w:eastAsia="Arial" w:hAnsi="Arial"/>
                  <w:sz w:val="18"/>
                  <w:szCs w:val="18"/>
                  <w:u w:val="single" w:color="auto"/>
                  <w:color w:val="0000EE"/>
                  <w:w w:val="90"/>
                </w:rPr>
                <w:t>Section 302</w:t>
              </w:r>
            </w:hyperlink>
          </w:p>
        </w:tc>
        <w:tc>
          <w:tcPr>
            <w:tcW w:w="8200" w:type="dxa"/>
            <w:vAlign w:val="bottom"/>
          </w:tcPr>
          <w:p>
            <w:pPr>
              <w:ind w:left="2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 Certification of Chief Financial Officer</w:t>
              </w:r>
            </w:hyperlink>
          </w:p>
        </w:tc>
      </w:tr>
      <w:tr>
        <w:trPr>
          <w:trHeight w:val="270"/>
        </w:trPr>
        <w:tc>
          <w:tcPr>
            <w:tcW w:w="1920" w:type="dxa"/>
            <w:vAlign w:val="bottom"/>
          </w:tcPr>
          <w:p>
            <w:pPr>
              <w:ind w:left="40"/>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3"/>
                <w:szCs w:val="23"/>
                <w:color w:val="auto"/>
              </w:rPr>
            </w:pPr>
          </w:p>
        </w:tc>
        <w:tc>
          <w:tcPr>
            <w:tcW w:w="920" w:type="dxa"/>
            <w:vAlign w:val="bottom"/>
          </w:tcPr>
          <w:p>
            <w:pPr>
              <w:ind w:left="40"/>
              <w:spacing w:after="0"/>
              <w:rPr>
                <w:rFonts w:ascii="Arial" w:cs="Arial" w:eastAsia="Arial" w:hAnsi="Arial"/>
                <w:sz w:val="18"/>
                <w:szCs w:val="18"/>
                <w:u w:val="single" w:color="auto"/>
                <w:color w:val="0000EE"/>
                <w:w w:val="90"/>
              </w:rPr>
            </w:pPr>
            <w:hyperlink w:anchor="page51">
              <w:r>
                <w:rPr>
                  <w:rFonts w:ascii="Arial" w:cs="Arial" w:eastAsia="Arial" w:hAnsi="Arial"/>
                  <w:sz w:val="18"/>
                  <w:szCs w:val="18"/>
                  <w:u w:val="single" w:color="auto"/>
                  <w:color w:val="0000EE"/>
                  <w:w w:val="90"/>
                </w:rPr>
                <w:t>Section 906</w:t>
              </w:r>
            </w:hyperlink>
          </w:p>
        </w:tc>
        <w:tc>
          <w:tcPr>
            <w:tcW w:w="8200" w:type="dxa"/>
            <w:vAlign w:val="bottom"/>
          </w:tcPr>
          <w:p>
            <w:pPr>
              <w:ind w:left="2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 Certification of Chief Executive Officer</w:t>
              </w:r>
            </w:hyperlink>
          </w:p>
        </w:tc>
      </w:tr>
      <w:tr>
        <w:trPr>
          <w:trHeight w:val="270"/>
        </w:trPr>
        <w:tc>
          <w:tcPr>
            <w:tcW w:w="1920" w:type="dxa"/>
            <w:vAlign w:val="bottom"/>
          </w:tcPr>
          <w:p>
            <w:pPr>
              <w:ind w:left="40"/>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3"/>
                <w:szCs w:val="23"/>
                <w:color w:val="auto"/>
              </w:rPr>
            </w:pPr>
          </w:p>
        </w:tc>
        <w:tc>
          <w:tcPr>
            <w:tcW w:w="920" w:type="dxa"/>
            <w:vAlign w:val="bottom"/>
          </w:tcPr>
          <w:p>
            <w:pPr>
              <w:ind w:left="40"/>
              <w:spacing w:after="0"/>
              <w:rPr>
                <w:rFonts w:ascii="Arial" w:cs="Arial" w:eastAsia="Arial" w:hAnsi="Arial"/>
                <w:sz w:val="18"/>
                <w:szCs w:val="18"/>
                <w:u w:val="single" w:color="auto"/>
                <w:color w:val="0000EE"/>
                <w:w w:val="90"/>
              </w:rPr>
            </w:pPr>
            <w:hyperlink w:anchor="page52">
              <w:r>
                <w:rPr>
                  <w:rFonts w:ascii="Arial" w:cs="Arial" w:eastAsia="Arial" w:hAnsi="Arial"/>
                  <w:sz w:val="18"/>
                  <w:szCs w:val="18"/>
                  <w:u w:val="single" w:color="auto"/>
                  <w:color w:val="0000EE"/>
                  <w:w w:val="90"/>
                </w:rPr>
                <w:t>Section 906</w:t>
              </w:r>
            </w:hyperlink>
          </w:p>
        </w:tc>
        <w:tc>
          <w:tcPr>
            <w:tcW w:w="8200" w:type="dxa"/>
            <w:vAlign w:val="bottom"/>
          </w:tcPr>
          <w:p>
            <w:pPr>
              <w:ind w:left="2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 Certification of Chief Financial Officer</w:t>
              </w:r>
            </w:hyperlink>
          </w:p>
        </w:tc>
      </w:tr>
      <w:tr>
        <w:trPr>
          <w:trHeight w:val="256"/>
        </w:trPr>
        <w:tc>
          <w:tcPr>
            <w:tcW w:w="1920" w:type="dxa"/>
            <w:vAlign w:val="bottom"/>
          </w:tcPr>
          <w:p>
            <w:pPr>
              <w:ind w:left="4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2"/>
                <w:szCs w:val="22"/>
                <w:color w:val="auto"/>
              </w:rPr>
            </w:pPr>
          </w:p>
        </w:tc>
        <w:tc>
          <w:tcPr>
            <w:tcW w:w="9120" w:type="dxa"/>
            <w:vAlign w:val="bottom"/>
            <w:gridSpan w:val="2"/>
          </w:tcPr>
          <w:p>
            <w:pPr>
              <w:ind w:left="40"/>
              <w:spacing w:after="0"/>
              <w:rPr>
                <w:sz w:val="20"/>
                <w:szCs w:val="20"/>
                <w:color w:val="auto"/>
              </w:rPr>
            </w:pPr>
            <w:r>
              <w:rPr>
                <w:rFonts w:ascii="Arial" w:cs="Arial" w:eastAsia="Arial" w:hAnsi="Arial"/>
                <w:sz w:val="18"/>
                <w:szCs w:val="18"/>
                <w:color w:val="auto"/>
                <w:w w:val="91"/>
              </w:rPr>
              <w:t>The following materials from Euronet Worldwide, Inc.’s Quarterly Report on Form 10-Q for the quarter ended June 30, 2020,</w:t>
            </w:r>
          </w:p>
        </w:tc>
      </w:tr>
      <w:tr>
        <w:trPr>
          <w:trHeight w:val="216"/>
        </w:trPr>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120" w:type="dxa"/>
            <w:vAlign w:val="bottom"/>
            <w:gridSpan w:val="2"/>
          </w:tcPr>
          <w:p>
            <w:pPr>
              <w:ind w:left="40"/>
              <w:spacing w:after="0"/>
              <w:rPr>
                <w:sz w:val="20"/>
                <w:szCs w:val="20"/>
                <w:color w:val="auto"/>
              </w:rPr>
            </w:pPr>
            <w:r>
              <w:rPr>
                <w:rFonts w:ascii="Arial" w:cs="Arial" w:eastAsia="Arial" w:hAnsi="Arial"/>
                <w:sz w:val="18"/>
                <w:szCs w:val="18"/>
                <w:color w:val="auto"/>
                <w:w w:val="90"/>
              </w:rPr>
              <w:t>formatted in XBRL (eXtensible Business Reporting Language): (i) Consolidated Balance Sheets at June 30, 2020 (unaudited)</w:t>
            </w:r>
          </w:p>
        </w:tc>
      </w:tr>
      <w:tr>
        <w:trPr>
          <w:trHeight w:val="216"/>
        </w:trPr>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120" w:type="dxa"/>
            <w:vAlign w:val="bottom"/>
            <w:gridSpan w:val="2"/>
          </w:tcPr>
          <w:p>
            <w:pPr>
              <w:ind w:left="40"/>
              <w:spacing w:after="0"/>
              <w:rPr>
                <w:sz w:val="20"/>
                <w:szCs w:val="20"/>
                <w:color w:val="auto"/>
              </w:rPr>
            </w:pPr>
            <w:r>
              <w:rPr>
                <w:rFonts w:ascii="Arial" w:cs="Arial" w:eastAsia="Arial" w:hAnsi="Arial"/>
                <w:sz w:val="18"/>
                <w:szCs w:val="18"/>
                <w:color w:val="auto"/>
                <w:w w:val="93"/>
              </w:rPr>
              <w:t>and December 31, 2019, (ii) Consolidated Statements of Income (unaudited) for the three and six months ended June 30,</w:t>
            </w:r>
          </w:p>
        </w:tc>
      </w:tr>
      <w:tr>
        <w:trPr>
          <w:trHeight w:val="216"/>
        </w:trPr>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120" w:type="dxa"/>
            <w:vAlign w:val="bottom"/>
            <w:gridSpan w:val="2"/>
          </w:tcPr>
          <w:p>
            <w:pPr>
              <w:ind w:left="40"/>
              <w:spacing w:after="0"/>
              <w:rPr>
                <w:sz w:val="20"/>
                <w:szCs w:val="20"/>
                <w:color w:val="auto"/>
              </w:rPr>
            </w:pPr>
            <w:r>
              <w:rPr>
                <w:rFonts w:ascii="Arial" w:cs="Arial" w:eastAsia="Arial" w:hAnsi="Arial"/>
                <w:sz w:val="18"/>
                <w:szCs w:val="18"/>
                <w:color w:val="auto"/>
                <w:w w:val="94"/>
              </w:rPr>
              <w:t>2020 and 2019, (iii) Consolidated Statements of Comprehensive Income (Loss) (unaudited) for the three and six months</w:t>
            </w:r>
          </w:p>
        </w:tc>
      </w:tr>
      <w:tr>
        <w:trPr>
          <w:trHeight w:val="216"/>
        </w:trPr>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120" w:type="dxa"/>
            <w:vAlign w:val="bottom"/>
            <w:gridSpan w:val="2"/>
          </w:tcPr>
          <w:p>
            <w:pPr>
              <w:ind w:left="40"/>
              <w:spacing w:after="0"/>
              <w:rPr>
                <w:sz w:val="20"/>
                <w:szCs w:val="20"/>
                <w:color w:val="auto"/>
              </w:rPr>
            </w:pPr>
            <w:r>
              <w:rPr>
                <w:rFonts w:ascii="Arial" w:cs="Arial" w:eastAsia="Arial" w:hAnsi="Arial"/>
                <w:sz w:val="18"/>
                <w:szCs w:val="18"/>
                <w:color w:val="auto"/>
                <w:w w:val="91"/>
              </w:rPr>
              <w:t>ended June 30, 2020 and 2019, (iv) Consolidated Statements of Changes in Equity (unaudited) for the three and six months</w:t>
            </w:r>
          </w:p>
        </w:tc>
      </w:tr>
      <w:tr>
        <w:trPr>
          <w:trHeight w:val="216"/>
        </w:trPr>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120" w:type="dxa"/>
            <w:vAlign w:val="bottom"/>
            <w:gridSpan w:val="2"/>
          </w:tcPr>
          <w:p>
            <w:pPr>
              <w:ind w:left="40"/>
              <w:spacing w:after="0"/>
              <w:rPr>
                <w:sz w:val="20"/>
                <w:szCs w:val="20"/>
                <w:color w:val="auto"/>
              </w:rPr>
            </w:pPr>
            <w:r>
              <w:rPr>
                <w:rFonts w:ascii="Arial" w:cs="Arial" w:eastAsia="Arial" w:hAnsi="Arial"/>
                <w:sz w:val="18"/>
                <w:szCs w:val="18"/>
                <w:color w:val="auto"/>
                <w:w w:val="93"/>
              </w:rPr>
              <w:t>ended June 30, 2020 and 2019 (v) Consolidated Statements of Cash Flows (unaudited) for the six months ended June 30,</w:t>
            </w:r>
          </w:p>
        </w:tc>
      </w:tr>
      <w:tr>
        <w:trPr>
          <w:trHeight w:val="230"/>
        </w:trPr>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120" w:type="dxa"/>
            <w:vAlign w:val="bottom"/>
            <w:gridSpan w:val="2"/>
          </w:tcPr>
          <w:p>
            <w:pPr>
              <w:ind w:left="40"/>
              <w:spacing w:after="0"/>
              <w:rPr>
                <w:sz w:val="20"/>
                <w:szCs w:val="20"/>
                <w:color w:val="auto"/>
              </w:rPr>
            </w:pPr>
            <w:r>
              <w:rPr>
                <w:rFonts w:ascii="Arial" w:cs="Arial" w:eastAsia="Arial" w:hAnsi="Arial"/>
                <w:sz w:val="18"/>
                <w:szCs w:val="18"/>
                <w:color w:val="auto"/>
              </w:rPr>
              <w:t>2020 and 2019, and (vi) Notes to the Unaudited Consolidated Financial Statements.</w:t>
            </w:r>
          </w:p>
        </w:tc>
      </w:tr>
      <w:tr>
        <w:trPr>
          <w:trHeight w:val="270"/>
        </w:trPr>
        <w:tc>
          <w:tcPr>
            <w:tcW w:w="1920" w:type="dxa"/>
            <w:vAlign w:val="bottom"/>
          </w:tcPr>
          <w:p>
            <w:pPr>
              <w:ind w:left="4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3"/>
                <w:szCs w:val="23"/>
                <w:color w:val="auto"/>
              </w:rPr>
            </w:pPr>
          </w:p>
        </w:tc>
        <w:tc>
          <w:tcPr>
            <w:tcW w:w="9120" w:type="dxa"/>
            <w:vAlign w:val="bottom"/>
            <w:gridSpan w:val="2"/>
          </w:tcPr>
          <w:p>
            <w:pPr>
              <w:ind w:left="4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Filed herewith.</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Pursuant to Item 601(b)(32) of Regulation S-K, this Exhibit is furnished rather than filed with this Form 10-Q.</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PLEASE NOTE: Pursuant to the rules and regulations of the SEC,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the Company's public disclosures. Accordingly, investors should not rely on the representations, warranties and covenants in the agreements as characterizations of the actual state of facts about the Company or its business or operations on the date hereof.</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August 6,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5420" w:type="dxa"/>
            <w:vAlign w:val="bottom"/>
          </w:tcPr>
          <w:p>
            <w:pPr>
              <w:jc w:val="center"/>
              <w:spacing w:after="0"/>
              <w:rPr>
                <w:sz w:val="20"/>
                <w:szCs w:val="20"/>
                <w:color w:val="auto"/>
              </w:rPr>
            </w:pPr>
            <w:r>
              <w:rPr>
                <w:rFonts w:ascii="Arial" w:cs="Arial" w:eastAsia="Arial" w:hAnsi="Arial"/>
                <w:sz w:val="18"/>
                <w:szCs w:val="18"/>
                <w:color w:val="auto"/>
                <w:w w:val="96"/>
              </w:rPr>
              <w:t>/s/ MICHAEL J. BROWN</w:t>
            </w:r>
          </w:p>
        </w:tc>
      </w:tr>
      <w:tr>
        <w:trPr>
          <w:trHeight w:val="27"/>
        </w:trPr>
        <w:tc>
          <w:tcPr>
            <w:tcW w:w="760" w:type="dxa"/>
            <w:vAlign w:val="bottom"/>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4"/>
              </w:rPr>
              <w:t>Michael J. Brown</w:t>
            </w:r>
          </w:p>
        </w:tc>
      </w:tr>
      <w:tr>
        <w:trPr>
          <w:trHeight w:val="270"/>
        </w:trPr>
        <w:tc>
          <w:tcPr>
            <w:tcW w:w="760" w:type="dxa"/>
            <w:vAlign w:val="bottom"/>
          </w:tcPr>
          <w:p>
            <w:pPr>
              <w:spacing w:after="0"/>
              <w:rPr>
                <w:sz w:val="23"/>
                <w:szCs w:val="23"/>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r>
      <w:tr>
        <w:trPr>
          <w:trHeight w:val="81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5420" w:type="dxa"/>
            <w:vAlign w:val="bottom"/>
          </w:tcPr>
          <w:p>
            <w:pPr>
              <w:jc w:val="center"/>
              <w:spacing w:after="0"/>
              <w:rPr>
                <w:sz w:val="20"/>
                <w:szCs w:val="20"/>
                <w:color w:val="auto"/>
              </w:rPr>
            </w:pPr>
            <w:r>
              <w:rPr>
                <w:rFonts w:ascii="Arial" w:cs="Arial" w:eastAsia="Arial" w:hAnsi="Arial"/>
                <w:sz w:val="18"/>
                <w:szCs w:val="18"/>
                <w:color w:val="auto"/>
                <w:w w:val="97"/>
              </w:rPr>
              <w:t>/s/ RICK L. WELLER</w:t>
            </w:r>
          </w:p>
        </w:tc>
      </w:tr>
      <w:tr>
        <w:trPr>
          <w:trHeight w:val="27"/>
        </w:trPr>
        <w:tc>
          <w:tcPr>
            <w:tcW w:w="760" w:type="dxa"/>
            <w:vAlign w:val="bottom"/>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5"/>
              </w:rPr>
              <w:t>Rick L. Weller</w:t>
            </w:r>
          </w:p>
        </w:tc>
      </w:tr>
      <w:tr>
        <w:trPr>
          <w:trHeight w:val="270"/>
        </w:trPr>
        <w:tc>
          <w:tcPr>
            <w:tcW w:w="760" w:type="dxa"/>
            <w:vAlign w:val="bottom"/>
          </w:tcPr>
          <w:p>
            <w:pPr>
              <w:spacing w:after="0"/>
              <w:rPr>
                <w:sz w:val="23"/>
                <w:szCs w:val="23"/>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0280"/>
          </w:cols>
          <w:pgMar w:left="320" w:top="125" w:right="129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21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left="980" w:right="100" w:hanging="972"/>
        <w:spacing w:after="0" w:line="263"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972"/>
        <w:spacing w:after="0" w:line="263"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right="540" w:hanging="972"/>
        <w:spacing w:after="0" w:line="342" w:lineRule="auto"/>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980" w:right="120" w:hanging="972"/>
        <w:spacing w:after="0" w:line="263"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340" w:right="340" w:hanging="332"/>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left="980" w:hanging="972"/>
        <w:spacing w:after="0" w:line="308" w:lineRule="auto"/>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540" w:hanging="972"/>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2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211"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left="980" w:right="100" w:hanging="972"/>
        <w:spacing w:after="0" w:line="263"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972"/>
        <w:spacing w:after="0" w:line="263"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right="540" w:hanging="972"/>
        <w:spacing w:after="0" w:line="342"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120" w:hanging="972"/>
        <w:spacing w:after="0" w:line="263"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340" w:right="340" w:hanging="332"/>
        <w:spacing w:after="0" w:line="308"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left="980" w:hanging="972"/>
        <w:spacing w:after="0" w:line="308" w:lineRule="auto"/>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540" w:hanging="972"/>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2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June 30, 2020 as filed with the Securities and Exchange Commission on the date hereof (the “Report”), the undersigned hereby certifies, pursuant to 18 U.S.C. Section 1350, as adopted pursuant to Section 906 of the Sarbanes-Oxley Act of 2002, that:</w:t>
      </w:r>
    </w:p>
    <w:p>
      <w:pPr>
        <w:spacing w:after="0" w:line="184"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August 6, 2020</w:t>
      </w:r>
    </w:p>
    <w:p>
      <w:pPr>
        <w:sectPr>
          <w:pgSz w:w="11900" w:h="16838" w:orient="portrait"/>
          <w:cols w:equalWidth="0" w:num="1">
            <w:col w:w="11240"/>
          </w:cols>
          <w:pgMar w:left="320" w:top="12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June 30, 2020 as filed with the Securities and Exchange Commission on the date hereof (the “Report”), the undersigned hereby certifies, pursuant to 18 U.S.C. Section 1350, as adopted pursuant to Section 906 of the Sarbanes-Oxley Act of 2002, that:</w:t>
      </w:r>
    </w:p>
    <w:p>
      <w:pPr>
        <w:spacing w:after="0" w:line="184"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August 6, 2020</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emdash "/>
      <w:numFmt w:val="bullet"/>
      <w:start w:val="1"/>
    </w:lvl>
  </w:abstractNum>
  <w:abstractNum w:abstractNumId="3">
    <w:nsid w:val="41A7C4C9"/>
    <w:multiLevelType w:val="hybridMultilevel"/>
    <w:lvl w:ilvl="0">
      <w:lvlJc w:val="left"/>
      <w:lvlText w:val="(%1)"/>
      <w:numFmt w:val="lowerLetter"/>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
      <w:numFmt w:val="bullet"/>
      <w:start w:val="1"/>
    </w:lvl>
    <w:lvl w:ilvl="1">
      <w:lvlJc w:val="left"/>
      <w:lvlText w:val="•"/>
      <w:numFmt w:val="bullet"/>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decimal"/>
      <w:start w:val="5"/>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5"/>
    </w:lvl>
  </w:abstractNum>
  <w:abstractNum w:abstractNumId="24">
    <w:nsid w:val="B03E0C6"/>
    <w:multiLevelType w:val="hybridMultilevel"/>
    <w:lvl w:ilvl="0">
      <w:lvlJc w:val="left"/>
      <w:lvlText w:val="%1)"/>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2020-08-06T15:48:18Z</dcterms:created>
  <dcterms:modified xsi:type="dcterms:W3CDTF">2020-08-06T15:48:18Z</dcterms:modified>
</cp:coreProperties>
</file>