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8"/>
              </w:rPr>
              <w:t>DELAWARE</w:t>
            </w:r>
          </w:p>
        </w:tc>
        <w:tc>
          <w:tcPr>
            <w:tcW w:w="3840" w:type="dxa"/>
            <w:vAlign w:val="bottom"/>
          </w:tcPr>
          <w:p>
            <w:pPr>
              <w:jc w:val="right"/>
              <w:ind w:right="850"/>
              <w:spacing w:after="0"/>
              <w:rPr>
                <w:sz w:val="20"/>
                <w:szCs w:val="20"/>
                <w:color w:val="auto"/>
              </w:rPr>
            </w:pPr>
            <w:r>
              <w:rPr>
                <w:rFonts w:ascii="Arial" w:cs="Arial" w:eastAsia="Arial" w:hAnsi="Arial"/>
                <w:sz w:val="18"/>
                <w:szCs w:val="18"/>
                <w:b w:val="1"/>
                <w:bCs w:val="1"/>
                <w:color w:val="auto"/>
              </w:rPr>
              <w:t>74-2806888</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84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7"/>
              </w:rPr>
              <w:t>4601 COLLEGE BOULEVARD, SUITE 300</w:t>
            </w:r>
          </w:p>
        </w:tc>
        <w:tc>
          <w:tcPr>
            <w:tcW w:w="3840" w:type="dxa"/>
            <w:vAlign w:val="bottom"/>
          </w:tcPr>
          <w:p>
            <w:pPr>
              <w:spacing w:after="0"/>
              <w:rPr>
                <w:sz w:val="24"/>
                <w:szCs w:val="24"/>
                <w:color w:val="auto"/>
              </w:rPr>
            </w:pPr>
          </w:p>
        </w:tc>
      </w:t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8"/>
              </w:rPr>
              <w:t>LEAWOOD, KANSAS</w:t>
            </w:r>
          </w:p>
        </w:tc>
        <w:tc>
          <w:tcPr>
            <w:tcW w:w="3840" w:type="dxa"/>
            <w:vAlign w:val="bottom"/>
          </w:tcPr>
          <w:p>
            <w:pPr>
              <w:jc w:val="right"/>
              <w:ind w:right="1070"/>
              <w:spacing w:after="0"/>
              <w:rPr>
                <w:sz w:val="20"/>
                <w:szCs w:val="20"/>
                <w:color w:val="auto"/>
              </w:rPr>
            </w:pPr>
            <w:r>
              <w:rPr>
                <w:rFonts w:ascii="Arial" w:cs="Arial" w:eastAsia="Arial" w:hAnsi="Arial"/>
                <w:sz w:val="18"/>
                <w:szCs w:val="18"/>
                <w:b w:val="1"/>
                <w:bCs w:val="1"/>
                <w:color w:val="auto"/>
              </w:rPr>
              <w:t>66211</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840" w:type="dxa"/>
            <w:vAlign w:val="bottom"/>
          </w:tcPr>
          <w:p>
            <w:pPr>
              <w:jc w:val="center"/>
              <w:ind w:left="9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1"/>
        </w:trPr>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$0.02 par value</w:t>
            </w:r>
          </w:p>
        </w:tc>
        <w:tc>
          <w:tcPr>
            <w:tcW w:w="58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Preferred Stock Purchase Rights</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190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22" w:right="239" w:bottom="45" w:gutter="0" w:footer="0" w:header="0"/>
        </w:sectPr>
      </w:pP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4"/>
          <w:szCs w:val="24"/>
          <w:color w:val="auto"/>
        </w:rPr>
      </w:pPr>
    </w:p>
    <w:p>
      <w:pPr>
        <w:sectPr>
          <w:pgSz w:w="11900" w:h="16838" w:orient="portrait"/>
          <w:cols w:equalWidth="0" w:num="4">
            <w:col w:w="2080" w:space="720"/>
            <w:col w:w="1440" w:space="720"/>
            <w:col w:w="3400" w:space="720"/>
            <w:col w:w="2340"/>
          </w:cols>
          <w:pgMar w:left="240" w:top="522" w:right="239" w:bottom="45"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right="480"/>
        <w:spacing w:after="0" w:line="308" w:lineRule="auto"/>
        <w:rPr>
          <w:sz w:val="20"/>
          <w:szCs w:val="20"/>
          <w:color w:val="auto"/>
        </w:rPr>
      </w:pPr>
      <w:r>
        <w:rPr>
          <w:rFonts w:ascii="Arial" w:cs="Arial" w:eastAsia="Arial" w:hAnsi="Arial"/>
          <w:sz w:val="17"/>
          <w:szCs w:val="17"/>
          <w:color w:val="auto"/>
        </w:rPr>
        <w:t>As of June 30, 2009, the aggregate market value of the voting and non-voting common equity held by non-affiliates of the registrant was approximately $927.2 million. The aggregate market value was determined based on the closing price of the Common Stock on June 30, 2009.</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At February 25, 2010, the registrant had 50,912,446 shares of common stock (the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Portions of the registrant’s Proxy Statement for its 2010 Annual Meeting of Stockholders, which will be filed with the Securities and Exchange Commission no later than 120 days after December 31, 2009,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22" w:right="239" w:bottom="45"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954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PART I</w:t>
            </w:r>
          </w:p>
        </w:tc>
        <w:tc>
          <w:tcPr>
            <w:tcW w:w="9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400" w:type="dxa"/>
            <w:vAlign w:val="bottom"/>
          </w:tcPr>
          <w:p>
            <w:pPr>
              <w:ind w:left="220"/>
              <w:spacing w:after="0"/>
              <w:rPr>
                <w:sz w:val="20"/>
                <w:szCs w:val="20"/>
                <w:color w:val="auto"/>
              </w:rPr>
            </w:pPr>
            <w:r>
              <w:rPr>
                <w:rFonts w:ascii="Arial" w:cs="Arial" w:eastAsia="Arial" w:hAnsi="Arial"/>
                <w:sz w:val="18"/>
                <w:szCs w:val="18"/>
                <w:color w:val="auto"/>
              </w:rPr>
              <w:t>ITEM 1.</w:t>
            </w:r>
          </w:p>
        </w:tc>
        <w:tc>
          <w:tcPr>
            <w:tcW w:w="9540" w:type="dxa"/>
            <w:vAlign w:val="bottom"/>
          </w:tcPr>
          <w:p>
            <w:pPr>
              <w:ind w:left="46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1A.</w:t>
            </w:r>
          </w:p>
        </w:tc>
        <w:tc>
          <w:tcPr>
            <w:tcW w:w="9540" w:type="dxa"/>
            <w:vAlign w:val="bottom"/>
          </w:tcPr>
          <w:p>
            <w:pPr>
              <w:ind w:left="460"/>
              <w:spacing w:after="0"/>
              <w:rPr>
                <w:sz w:val="20"/>
                <w:szCs w:val="20"/>
                <w:color w:val="auto"/>
              </w:rPr>
            </w:pPr>
            <w:r>
              <w:rPr>
                <w:rFonts w:ascii="Arial" w:cs="Arial" w:eastAsia="Arial" w:hAnsi="Arial"/>
                <w:sz w:val="18"/>
                <w:szCs w:val="18"/>
                <w:color w:val="auto"/>
              </w:rPr>
              <w:t>RISK FACTORS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1B.</w:t>
            </w:r>
          </w:p>
        </w:tc>
        <w:tc>
          <w:tcPr>
            <w:tcW w:w="9540" w:type="dxa"/>
            <w:vAlign w:val="bottom"/>
          </w:tcPr>
          <w:p>
            <w:pPr>
              <w:ind w:left="460"/>
              <w:spacing w:after="0"/>
              <w:rPr>
                <w:sz w:val="20"/>
                <w:szCs w:val="20"/>
                <w:color w:val="auto"/>
              </w:rPr>
            </w:pPr>
            <w:r>
              <w:rPr>
                <w:rFonts w:ascii="Arial" w:cs="Arial" w:eastAsia="Arial" w:hAnsi="Arial"/>
                <w:sz w:val="18"/>
                <w:szCs w:val="18"/>
                <w:color w:val="auto"/>
              </w:rPr>
              <w:t>UNRESOLVED STAFF COMMENTS</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2.</w:t>
            </w:r>
          </w:p>
        </w:tc>
        <w:tc>
          <w:tcPr>
            <w:tcW w:w="9540" w:type="dxa"/>
            <w:vAlign w:val="bottom"/>
          </w:tcPr>
          <w:p>
            <w:pPr>
              <w:ind w:left="460"/>
              <w:spacing w:after="0"/>
              <w:rPr>
                <w:sz w:val="20"/>
                <w:szCs w:val="20"/>
                <w:color w:val="auto"/>
              </w:rPr>
            </w:pPr>
            <w:r>
              <w:rPr>
                <w:rFonts w:ascii="Arial" w:cs="Arial" w:eastAsia="Arial" w:hAnsi="Arial"/>
                <w:sz w:val="18"/>
                <w:szCs w:val="18"/>
                <w:color w:val="auto"/>
              </w:rPr>
              <w:t>PROPERTIES</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3.</w:t>
            </w:r>
          </w:p>
        </w:tc>
        <w:tc>
          <w:tcPr>
            <w:tcW w:w="9540" w:type="dxa"/>
            <w:vAlign w:val="bottom"/>
          </w:tcPr>
          <w:p>
            <w:pPr>
              <w:ind w:left="460"/>
              <w:spacing w:after="0"/>
              <w:rPr>
                <w:sz w:val="20"/>
                <w:szCs w:val="20"/>
                <w:color w:val="auto"/>
              </w:rPr>
            </w:pPr>
            <w:r>
              <w:rPr>
                <w:rFonts w:ascii="Arial" w:cs="Arial" w:eastAsia="Arial" w:hAnsi="Arial"/>
                <w:sz w:val="18"/>
                <w:szCs w:val="18"/>
                <w:color w:val="auto"/>
              </w:rPr>
              <w:t>LEGAL PROCEEDINGS</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00" w:type="dxa"/>
            <w:vAlign w:val="bottom"/>
          </w:tcPr>
          <w:p>
            <w:pPr>
              <w:ind w:left="220"/>
              <w:spacing w:after="0"/>
              <w:rPr>
                <w:sz w:val="20"/>
                <w:szCs w:val="20"/>
                <w:color w:val="auto"/>
              </w:rPr>
            </w:pPr>
            <w:r>
              <w:rPr>
                <w:rFonts w:ascii="Arial" w:cs="Arial" w:eastAsia="Arial" w:hAnsi="Arial"/>
                <w:sz w:val="18"/>
                <w:szCs w:val="18"/>
                <w:color w:val="auto"/>
              </w:rPr>
              <w:t>ITEM 4.</w:t>
            </w:r>
          </w:p>
        </w:tc>
        <w:tc>
          <w:tcPr>
            <w:tcW w:w="9540" w:type="dxa"/>
            <w:vAlign w:val="bottom"/>
          </w:tcPr>
          <w:p>
            <w:pPr>
              <w:ind w:left="460"/>
              <w:spacing w:after="0"/>
              <w:rPr>
                <w:sz w:val="20"/>
                <w:szCs w:val="20"/>
                <w:color w:val="auto"/>
              </w:rPr>
            </w:pPr>
            <w:r>
              <w:rPr>
                <w:rFonts w:ascii="Arial" w:cs="Arial" w:eastAsia="Arial" w:hAnsi="Arial"/>
                <w:sz w:val="18"/>
                <w:szCs w:val="18"/>
                <w:color w:val="auto"/>
              </w:rPr>
              <w:t>[RESERVED]</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PART II</w:t>
            </w:r>
          </w:p>
        </w:tc>
        <w:tc>
          <w:tcPr>
            <w:tcW w:w="9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400" w:type="dxa"/>
            <w:vAlign w:val="bottom"/>
          </w:tcPr>
          <w:p>
            <w:pPr>
              <w:ind w:left="220"/>
              <w:spacing w:after="0"/>
              <w:rPr>
                <w:sz w:val="20"/>
                <w:szCs w:val="20"/>
                <w:color w:val="auto"/>
              </w:rPr>
            </w:pPr>
            <w:r>
              <w:rPr>
                <w:rFonts w:ascii="Arial" w:cs="Arial" w:eastAsia="Arial" w:hAnsi="Arial"/>
                <w:sz w:val="18"/>
                <w:szCs w:val="18"/>
                <w:color w:val="auto"/>
              </w:rPr>
              <w:t>ITEM 5.</w:t>
            </w:r>
          </w:p>
        </w:tc>
        <w:tc>
          <w:tcPr>
            <w:tcW w:w="9540" w:type="dxa"/>
            <w:vAlign w:val="bottom"/>
          </w:tcPr>
          <w:p>
            <w:pPr>
              <w:ind w:left="460"/>
              <w:spacing w:after="0"/>
              <w:rPr>
                <w:sz w:val="20"/>
                <w:szCs w:val="20"/>
                <w:color w:val="auto"/>
              </w:rPr>
            </w:pPr>
            <w:r>
              <w:rPr>
                <w:rFonts w:ascii="Arial" w:cs="Arial" w:eastAsia="Arial" w:hAnsi="Arial"/>
                <w:sz w:val="18"/>
                <w:szCs w:val="18"/>
                <w:color w:val="auto"/>
              </w:rPr>
              <w:t>MARKET FOR REGISTRANT’S COMMON EQUITY, RELATED STOCKHOLDER MATTERS AND ISSUER</w:t>
            </w:r>
          </w:p>
        </w:tc>
        <w:tc>
          <w:tcPr>
            <w:tcW w:w="48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Arial" w:cs="Arial" w:eastAsia="Arial" w:hAnsi="Arial"/>
                <w:sz w:val="18"/>
                <w:szCs w:val="18"/>
                <w:color w:val="auto"/>
              </w:rPr>
              <w:t>PURCHASES OF EQUITY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6.</w:t>
            </w:r>
          </w:p>
        </w:tc>
        <w:tc>
          <w:tcPr>
            <w:tcW w:w="9540" w:type="dxa"/>
            <w:vAlign w:val="bottom"/>
          </w:tcPr>
          <w:p>
            <w:pPr>
              <w:ind w:left="460"/>
              <w:spacing w:after="0"/>
              <w:rPr>
                <w:sz w:val="20"/>
                <w:szCs w:val="20"/>
                <w:color w:val="auto"/>
              </w:rPr>
            </w:pPr>
            <w:r>
              <w:rPr>
                <w:rFonts w:ascii="Arial" w:cs="Arial" w:eastAsia="Arial" w:hAnsi="Arial"/>
                <w:sz w:val="18"/>
                <w:szCs w:val="18"/>
                <w:color w:val="auto"/>
              </w:rPr>
              <w:t>SELECTED FINANCIAL DATA</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7.</w:t>
            </w:r>
          </w:p>
        </w:tc>
        <w:tc>
          <w:tcPr>
            <w:tcW w:w="9540" w:type="dxa"/>
            <w:vAlign w:val="bottom"/>
          </w:tcPr>
          <w:p>
            <w:pPr>
              <w:ind w:left="460"/>
              <w:spacing w:after="0"/>
              <w:rPr>
                <w:sz w:val="20"/>
                <w:szCs w:val="20"/>
                <w:color w:val="auto"/>
              </w:rPr>
            </w:pPr>
            <w:r>
              <w:rPr>
                <w:rFonts w:ascii="Arial" w:cs="Arial" w:eastAsia="Arial" w:hAnsi="Arial"/>
                <w:sz w:val="18"/>
                <w:szCs w:val="18"/>
                <w:color w:val="auto"/>
                <w:w w:val="98"/>
              </w:rPr>
              <w:t>MANAGEMENT’S DISCUSSION AND ANALYSIS OF FINANCIAL CONDITION AND RESULTS OF OPERATIONS</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7A.</w:t>
            </w:r>
          </w:p>
        </w:tc>
        <w:tc>
          <w:tcPr>
            <w:tcW w:w="9540" w:type="dxa"/>
            <w:vAlign w:val="bottom"/>
          </w:tcPr>
          <w:p>
            <w:pPr>
              <w:ind w:left="460"/>
              <w:spacing w:after="0"/>
              <w:rPr>
                <w:sz w:val="20"/>
                <w:szCs w:val="20"/>
                <w:color w:val="auto"/>
              </w:rPr>
            </w:pPr>
            <w:r>
              <w:rPr>
                <w:rFonts w:ascii="Arial" w:cs="Arial" w:eastAsia="Arial" w:hAnsi="Arial"/>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8.</w:t>
            </w:r>
          </w:p>
        </w:tc>
        <w:tc>
          <w:tcPr>
            <w:tcW w:w="9540" w:type="dxa"/>
            <w:vAlign w:val="bottom"/>
          </w:tcPr>
          <w:p>
            <w:pPr>
              <w:ind w:left="460"/>
              <w:spacing w:after="0"/>
              <w:rPr>
                <w:sz w:val="20"/>
                <w:szCs w:val="20"/>
                <w:color w:val="auto"/>
              </w:rPr>
            </w:pPr>
            <w:r>
              <w:rPr>
                <w:rFonts w:ascii="Arial" w:cs="Arial" w:eastAsia="Arial" w:hAnsi="Arial"/>
                <w:sz w:val="18"/>
                <w:szCs w:val="18"/>
                <w:color w:val="auto"/>
              </w:rPr>
              <w:t>FINANCIAL STATEMENTS AND SUPPLEMENTARY DATA</w:t>
            </w: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9.</w:t>
            </w:r>
          </w:p>
        </w:tc>
        <w:tc>
          <w:tcPr>
            <w:tcW w:w="9540" w:type="dxa"/>
            <w:vAlign w:val="bottom"/>
          </w:tcPr>
          <w:p>
            <w:pPr>
              <w:ind w:left="460"/>
              <w:spacing w:after="0"/>
              <w:rPr>
                <w:sz w:val="20"/>
                <w:szCs w:val="20"/>
                <w:color w:val="auto"/>
              </w:rPr>
            </w:pPr>
            <w:r>
              <w:rPr>
                <w:rFonts w:ascii="Arial" w:cs="Arial" w:eastAsia="Arial" w:hAnsi="Arial"/>
                <w:sz w:val="18"/>
                <w:szCs w:val="18"/>
                <w:color w:val="auto"/>
              </w:rPr>
              <w:t>CHANGES IN AND DISAGREEMENTS WITH ACCOUNTANTS ON ACCOUNTING AND FINANCIAL</w:t>
            </w:r>
          </w:p>
        </w:tc>
        <w:tc>
          <w:tcPr>
            <w:tcW w:w="48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Arial" w:cs="Arial" w:eastAsia="Arial" w:hAnsi="Arial"/>
                <w:sz w:val="18"/>
                <w:szCs w:val="18"/>
                <w:color w:val="auto"/>
              </w:rPr>
              <w:t>DISCLOSURE</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9A.</w:t>
            </w:r>
          </w:p>
        </w:tc>
        <w:tc>
          <w:tcPr>
            <w:tcW w:w="9540" w:type="dxa"/>
            <w:vAlign w:val="bottom"/>
          </w:tcPr>
          <w:p>
            <w:pPr>
              <w:ind w:left="460"/>
              <w:spacing w:after="0"/>
              <w:rPr>
                <w:sz w:val="20"/>
                <w:szCs w:val="20"/>
                <w:color w:val="auto"/>
              </w:rPr>
            </w:pPr>
            <w:r>
              <w:rPr>
                <w:rFonts w:ascii="Arial" w:cs="Arial" w:eastAsia="Arial" w:hAnsi="Arial"/>
                <w:sz w:val="18"/>
                <w:szCs w:val="18"/>
                <w:color w:val="auto"/>
              </w:rPr>
              <w:t>CONTROLS AND PROCEDURES</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400" w:type="dxa"/>
            <w:vAlign w:val="bottom"/>
          </w:tcPr>
          <w:p>
            <w:pPr>
              <w:ind w:left="220"/>
              <w:spacing w:after="0"/>
              <w:rPr>
                <w:sz w:val="20"/>
                <w:szCs w:val="20"/>
                <w:color w:val="auto"/>
              </w:rPr>
            </w:pPr>
            <w:r>
              <w:rPr>
                <w:rFonts w:ascii="Arial" w:cs="Arial" w:eastAsia="Arial" w:hAnsi="Arial"/>
                <w:sz w:val="18"/>
                <w:szCs w:val="18"/>
                <w:color w:val="auto"/>
              </w:rPr>
              <w:t>ITEM 9B.</w:t>
            </w:r>
          </w:p>
        </w:tc>
        <w:tc>
          <w:tcPr>
            <w:tcW w:w="9540" w:type="dxa"/>
            <w:vAlign w:val="bottom"/>
          </w:tcPr>
          <w:p>
            <w:pPr>
              <w:ind w:left="460"/>
              <w:spacing w:after="0"/>
              <w:rPr>
                <w:sz w:val="20"/>
                <w:szCs w:val="20"/>
                <w:color w:val="auto"/>
              </w:rPr>
            </w:pPr>
            <w:r>
              <w:rPr>
                <w:rFonts w:ascii="Arial" w:cs="Arial" w:eastAsia="Arial" w:hAnsi="Arial"/>
                <w:sz w:val="18"/>
                <w:szCs w:val="18"/>
                <w:color w:val="auto"/>
              </w:rPr>
              <w:t>OTHER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PART III</w:t>
            </w:r>
          </w:p>
        </w:tc>
        <w:tc>
          <w:tcPr>
            <w:tcW w:w="9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18"/>
        </w:trPr>
        <w:tc>
          <w:tcPr>
            <w:tcW w:w="1400" w:type="dxa"/>
            <w:vAlign w:val="bottom"/>
          </w:tcPr>
          <w:p>
            <w:pPr>
              <w:ind w:left="220"/>
              <w:spacing w:after="0"/>
              <w:rPr>
                <w:sz w:val="20"/>
                <w:szCs w:val="20"/>
                <w:color w:val="auto"/>
              </w:rPr>
            </w:pPr>
            <w:r>
              <w:rPr>
                <w:rFonts w:ascii="Arial" w:cs="Arial" w:eastAsia="Arial" w:hAnsi="Arial"/>
                <w:sz w:val="18"/>
                <w:szCs w:val="18"/>
                <w:color w:val="auto"/>
              </w:rPr>
              <w:t>ITEM 10.</w:t>
            </w:r>
          </w:p>
        </w:tc>
        <w:tc>
          <w:tcPr>
            <w:tcW w:w="9540" w:type="dxa"/>
            <w:vAlign w:val="bottom"/>
          </w:tcPr>
          <w:p>
            <w:pPr>
              <w:ind w:left="460"/>
              <w:spacing w:after="0"/>
              <w:rPr>
                <w:sz w:val="20"/>
                <w:szCs w:val="20"/>
                <w:color w:val="auto"/>
              </w:rPr>
            </w:pPr>
            <w:r>
              <w:rPr>
                <w:rFonts w:ascii="Arial" w:cs="Arial" w:eastAsia="Arial" w:hAnsi="Arial"/>
                <w:sz w:val="18"/>
                <w:szCs w:val="18"/>
                <w:color w:val="auto"/>
              </w:rPr>
              <w:t>DIRECTORS, EXECUTIVE OFFICERS AND CORPORATE GOVERNANCE</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11.</w:t>
            </w:r>
          </w:p>
        </w:tc>
        <w:tc>
          <w:tcPr>
            <w:tcW w:w="9540" w:type="dxa"/>
            <w:vAlign w:val="bottom"/>
          </w:tcPr>
          <w:p>
            <w:pPr>
              <w:ind w:left="46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12.</w:t>
            </w:r>
          </w:p>
        </w:tc>
        <w:tc>
          <w:tcPr>
            <w:tcW w:w="9540" w:type="dxa"/>
            <w:vAlign w:val="bottom"/>
          </w:tcPr>
          <w:p>
            <w:pPr>
              <w:ind w:left="460"/>
              <w:spacing w:after="0"/>
              <w:rPr>
                <w:sz w:val="20"/>
                <w:szCs w:val="20"/>
                <w:color w:val="auto"/>
              </w:rPr>
            </w:pPr>
            <w:r>
              <w:rPr>
                <w:rFonts w:ascii="Arial" w:cs="Arial" w:eastAsia="Arial" w:hAnsi="Arial"/>
                <w:sz w:val="18"/>
                <w:szCs w:val="18"/>
                <w:color w:val="auto"/>
              </w:rPr>
              <w:t>SECURITY OWNERSHIP OF CERTAIN BENEFICIAL OWNERS AND MANAGEMENT AND RELATED</w:t>
            </w:r>
          </w:p>
        </w:tc>
        <w:tc>
          <w:tcPr>
            <w:tcW w:w="48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9540" w:type="dxa"/>
            <w:vAlign w:val="bottom"/>
          </w:tcPr>
          <w:p>
            <w:pPr>
              <w:ind w:left="660"/>
              <w:spacing w:after="0"/>
              <w:rPr>
                <w:sz w:val="20"/>
                <w:szCs w:val="20"/>
                <w:color w:val="auto"/>
              </w:rPr>
            </w:pPr>
            <w:r>
              <w:rPr>
                <w:rFonts w:ascii="Arial" w:cs="Arial" w:eastAsia="Arial" w:hAnsi="Arial"/>
                <w:sz w:val="18"/>
                <w:szCs w:val="18"/>
                <w:color w:val="auto"/>
              </w:rPr>
              <w:t>STOCKHOLDER MATTERS</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00" w:type="dxa"/>
            <w:vAlign w:val="bottom"/>
          </w:tcPr>
          <w:p>
            <w:pPr>
              <w:ind w:left="220"/>
              <w:spacing w:after="0"/>
              <w:rPr>
                <w:sz w:val="20"/>
                <w:szCs w:val="20"/>
                <w:color w:val="auto"/>
              </w:rPr>
            </w:pPr>
            <w:r>
              <w:rPr>
                <w:rFonts w:ascii="Arial" w:cs="Arial" w:eastAsia="Arial" w:hAnsi="Arial"/>
                <w:sz w:val="18"/>
                <w:szCs w:val="18"/>
                <w:color w:val="auto"/>
              </w:rPr>
              <w:t>ITEM 13.</w:t>
            </w:r>
          </w:p>
        </w:tc>
        <w:tc>
          <w:tcPr>
            <w:tcW w:w="9540" w:type="dxa"/>
            <w:vAlign w:val="bottom"/>
          </w:tcPr>
          <w:p>
            <w:pPr>
              <w:ind w:left="4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400" w:type="dxa"/>
            <w:vAlign w:val="bottom"/>
          </w:tcPr>
          <w:p>
            <w:pPr>
              <w:ind w:left="220"/>
              <w:spacing w:after="0"/>
              <w:rPr>
                <w:sz w:val="20"/>
                <w:szCs w:val="20"/>
                <w:color w:val="auto"/>
              </w:rPr>
            </w:pPr>
            <w:r>
              <w:rPr>
                <w:rFonts w:ascii="Arial" w:cs="Arial" w:eastAsia="Arial" w:hAnsi="Arial"/>
                <w:sz w:val="18"/>
                <w:szCs w:val="18"/>
                <w:color w:val="auto"/>
              </w:rPr>
              <w:t>ITEM 14.</w:t>
            </w:r>
          </w:p>
        </w:tc>
        <w:tc>
          <w:tcPr>
            <w:tcW w:w="9540" w:type="dxa"/>
            <w:vAlign w:val="bottom"/>
          </w:tcPr>
          <w:p>
            <w:pPr>
              <w:ind w:left="460"/>
              <w:spacing w:after="0"/>
              <w:rPr>
                <w:sz w:val="20"/>
                <w:szCs w:val="20"/>
                <w:color w:val="auto"/>
              </w:rPr>
            </w:pPr>
            <w:r>
              <w:rPr>
                <w:rFonts w:ascii="Arial" w:cs="Arial" w:eastAsia="Arial" w:hAnsi="Arial"/>
                <w:sz w:val="18"/>
                <w:szCs w:val="18"/>
                <w:color w:val="auto"/>
              </w:rPr>
              <w:t>PRINCIPAL ACCOUNTING FEES AND SERVICES</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PART IV</w:t>
            </w:r>
          </w:p>
        </w:tc>
        <w:tc>
          <w:tcPr>
            <w:tcW w:w="9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2"/>
        </w:trPr>
        <w:tc>
          <w:tcPr>
            <w:tcW w:w="1400" w:type="dxa"/>
            <w:vAlign w:val="bottom"/>
          </w:tcPr>
          <w:p>
            <w:pPr>
              <w:ind w:left="220"/>
              <w:spacing w:after="0"/>
              <w:rPr>
                <w:sz w:val="20"/>
                <w:szCs w:val="20"/>
                <w:color w:val="auto"/>
              </w:rPr>
            </w:pPr>
            <w:r>
              <w:rPr>
                <w:rFonts w:ascii="Arial" w:cs="Arial" w:eastAsia="Arial" w:hAnsi="Arial"/>
                <w:sz w:val="18"/>
                <w:szCs w:val="18"/>
                <w:color w:val="auto"/>
              </w:rPr>
              <w:t>ITEM 15.</w:t>
            </w:r>
          </w:p>
        </w:tc>
        <w:tc>
          <w:tcPr>
            <w:tcW w:w="9540" w:type="dxa"/>
            <w:vAlign w:val="bottom"/>
          </w:tcPr>
          <w:p>
            <w:pPr>
              <w:ind w:left="460"/>
              <w:spacing w:after="0"/>
              <w:rPr>
                <w:sz w:val="20"/>
                <w:szCs w:val="20"/>
                <w:color w:val="auto"/>
              </w:rPr>
            </w:pPr>
            <w:r>
              <w:rPr>
                <w:rFonts w:ascii="Arial" w:cs="Arial" w:eastAsia="Arial" w:hAnsi="Arial"/>
                <w:sz w:val="18"/>
                <w:szCs w:val="18"/>
                <w:color w:val="auto"/>
              </w:rPr>
              <w:t>EXHIBITS AND FINANCIAL STATEMENT SCHEDULES</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05"/>
        </w:trPr>
        <w:tc>
          <w:tcPr>
            <w:tcW w:w="1400" w:type="dxa"/>
            <w:vAlign w:val="bottom"/>
          </w:tcPr>
          <w:p>
            <w:pPr>
              <w:spacing w:after="0"/>
              <w:rPr>
                <w:sz w:val="24"/>
                <w:szCs w:val="24"/>
                <w:color w:val="auto"/>
              </w:rPr>
            </w:pPr>
          </w:p>
        </w:tc>
        <w:tc>
          <w:tcPr>
            <w:tcW w:w="9540" w:type="dxa"/>
            <w:vAlign w:val="bottom"/>
          </w:tcPr>
          <w:p>
            <w:pPr>
              <w:ind w:left="426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r>
        <w:trPr>
          <w:trHeight w:val="226"/>
        </w:trPr>
        <w:tc>
          <w:tcPr>
            <w:tcW w:w="1400" w:type="dxa"/>
            <w:vAlign w:val="bottom"/>
            <w:tcBorders>
              <w:bottom w:val="single" w:sz="8" w:color="808080"/>
            </w:tcBorders>
          </w:tcPr>
          <w:p>
            <w:pPr>
              <w:spacing w:after="0"/>
              <w:rPr>
                <w:sz w:val="19"/>
                <w:szCs w:val="19"/>
                <w:color w:val="auto"/>
              </w:rPr>
            </w:pPr>
          </w:p>
        </w:tc>
        <w:tc>
          <w:tcPr>
            <w:tcW w:w="9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Euronet Worldwide, Inc. (“Euronet,” the “Company,” “we” or “us”) is a leading global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prepaid products, and global consumer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principal business segments as of December 31, 2009:</w:t>
      </w:r>
    </w:p>
    <w:p>
      <w:pPr>
        <w:spacing w:after="0" w:line="117" w:lineRule="exact"/>
        <w:rPr>
          <w:sz w:val="20"/>
          <w:szCs w:val="20"/>
          <w:color w:val="auto"/>
        </w:rPr>
      </w:pPr>
    </w:p>
    <w:p>
      <w:pPr>
        <w:ind w:left="220" w:right="20" w:hanging="212"/>
        <w:spacing w:after="0" w:line="279" w:lineRule="auto"/>
        <w:tabs>
          <w:tab w:leader="none" w:pos="22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An EFT Processing Segment, which processes transactions for a network of 9,720 ATMs and approximately 53,000 POS terminals across Europe, the Middle East and Asia Pacific. We provide comprehensive electronic payment solutions consisting of ATM network participation; outsourced ATM and POS management solutions; credit and debit card outsourcing; card issuing and merchant acquiring services. Through this segment, we also offer a suite of integrated electronic financial transaction (“EFT”) software solutions for electronic payment and transaction delivery systems.</w:t>
      </w:r>
    </w:p>
    <w:p>
      <w:pPr>
        <w:spacing w:after="0" w:line="76" w:lineRule="exact"/>
        <w:rPr>
          <w:rFonts w:ascii="Arial" w:cs="Arial" w:eastAsia="Arial" w:hAnsi="Arial"/>
          <w:sz w:val="17"/>
          <w:szCs w:val="17"/>
          <w:b w:val="1"/>
          <w:bCs w:val="1"/>
          <w:color w:val="auto"/>
        </w:rPr>
      </w:pPr>
    </w:p>
    <w:p>
      <w:pPr>
        <w:ind w:left="220" w:right="360" w:hanging="212"/>
        <w:spacing w:after="0" w:line="279" w:lineRule="auto"/>
        <w:tabs>
          <w:tab w:leader="none" w:pos="22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 Prepaid Processing Segment, which provides electronic distribution of prepaid mobile airtime and other prepaid products and collection services for various payment products, cards and services. Including terminals operated by unconsolidated subsidiaries, we operate a network of approximately 498,000 POS terminals providing electronic processing of prepaid mobile airtime top-up services in Europe, the Middle East, Asia Pacific and North America. Through this segment, we are one of the largest international providers of prepaid mobile airtime processing.</w:t>
      </w:r>
    </w:p>
    <w:p>
      <w:pPr>
        <w:spacing w:after="0" w:line="76" w:lineRule="exact"/>
        <w:rPr>
          <w:rFonts w:ascii="Arial" w:cs="Arial" w:eastAsia="Arial" w:hAnsi="Arial"/>
          <w:sz w:val="17"/>
          <w:szCs w:val="17"/>
          <w:b w:val="1"/>
          <w:bCs w:val="1"/>
          <w:color w:val="auto"/>
        </w:rPr>
      </w:pPr>
    </w:p>
    <w:p>
      <w:pPr>
        <w:ind w:left="220" w:right="100" w:hanging="212"/>
        <w:spacing w:after="0" w:line="259"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Money Transfer Segment, which provides global consumer-to-consumer money transfer services. We offer this service through a network of sending agents and Company-owned stores primarily in Europe and North America, disbursing money transfers through a worldwide payer network. Bill payment and check cashing services are offered primarily in the U.S. Based on revenues and volumes, through this segment, we are the third-largest global money transfer company.</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five processing centers in Europe, two in Asia Pacific and two in North America. We have 25 principal offices in Europe, one in the Middle East, six in Asia Pacific and seven in North America. Our executive offices are located in Leawood, Kansas, USA.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first company in the Euronet group was established in 1994 as Euronet Bank Access Kft., a Hungarian limited liability company. We began operations in 1995, setting up a processing center in Budapest, Hungary and installing our first ATMs in Hungary, followed by Poland and Germany. The Euronet group was reorganized on March 6, 1997 in connection with its initial public offering, and at that time the operating entities of the Euronet group became wholly-owned subsidiaries of Euronet Services Inc., a Delaware corporation. We changed our name from Euronet Services, Inc. to Euronet Worldwide, Inc. in 2001.</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Until December 1998, we devoted substantially all of our resources to establishing and expanding the EFT Processing Segment’s ATM network and outsourced ATM management services business in Europe: including Hungary, Poland, the Czech Republic, Croatia and Germany. We subsequently expanded our presence to the Middle East, Greece, Slovakia, India, Romania, Bulgaria, Serbia, Ukraine and China. We further expanded the product offerings of the EFT Processing Segment through the 2005 acquisition of Instreamline S.A., a Greek company that provides credit card and POS outsourcing services in addition to debit card and transaction gateway switching services in Greece and the Balkan region.</w:t>
      </w:r>
    </w:p>
    <w:p>
      <w:pPr>
        <w:spacing w:after="0" w:line="6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December 1998, we acquired Arkansas Systems, Inc. (now known as “Euronet USA”), a U.S.-based company that produces electronic payment and transaction delivery systems software for retail banks internationally. In 2007, we combined our EFT and Software segments as both businesses are strategically aligned wherein our software segment is working primarily on supporting our EFT service offerings and processing centers across Europe, the Middle East and Asia Pacific. This has resulted in significant cost savings for us in comparison to using third-party licensing and maintenance options.</w:t>
      </w:r>
    </w:p>
    <w:p>
      <w:pPr>
        <w:spacing w:after="0" w:line="4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2003, Euronet complemented its existing EFT and Software business by acquiring a third business, epay Limited (“epay”), which had offices in the U.K. and Australia. epay processes transactions and acts as a cash collection network for prepaid services, primarily prepaid mobile airtime. We started reporting epay’s results in a new segment called the Prepaid Processing Segment. The Prepaid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ind w:right="460"/>
        <w:spacing w:after="0" w:line="277" w:lineRule="auto"/>
        <w:rPr>
          <w:sz w:val="20"/>
          <w:szCs w:val="20"/>
          <w:color w:val="auto"/>
        </w:rPr>
      </w:pPr>
      <w:r>
        <w:rPr>
          <w:rFonts w:ascii="Arial" w:cs="Arial" w:eastAsia="Arial" w:hAnsi="Arial"/>
          <w:sz w:val="18"/>
          <w:szCs w:val="18"/>
          <w:color w:val="auto"/>
        </w:rPr>
        <w:t>Processing Segment subsequently expanded as a result of acquisitions in Germany, Romania, Spain, the U.K. and the U.S. and the establishment of new offices in France, New Zealand, Poland, India and Italy.</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2007, we established the Money Transfer Segment after completing the acquisition of Los Angeles-based RIA, the third-largest global money transfer company. Established in 1987, RIA originates and terminates transactions through a network of sending agents and Company-owned stores located throughout Europe and North America and an extensive payer network located in more than 100 countries. During 2008 and 2009, the Money Transfer Segment focused on increasing its non-U.S. market share, particularly in Europe where we are consistently seeing double-digit growth in volumes and profits, and expanding our payer network in specific fast-moving money transfer corridors. The segment made significant strides in expanding its product portfolio to offer complementary non-money transfer products such as bill payment and check cashing, and prepaid services in conjunction with the Prepaid Processing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Developments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July 2009, our Prepaid Processing Segment launched a new global brand identity under the name “epay,” uniting all of our existing prepaid subsidiaries in Australia, Germany, Italy, Spain, New Zealand, Poland, Romania, the U.K. and the U.S. The unified branding strategy reflects a stronger, more diversified business supporting our goal of transforming the Prepaid Processing Segment from being one of the largest international distributors of prepaid mobile airtime to becoming a leading provider of e-payment services and technology. In the last few years, the Prepaid Processing Segment has made significant strides in diversifying its product portfolio beyond prepaid mobile airtime and the process of transformation continued in 2009. Today, our epay portfolio extends across a wide range of products and services, including prepaid debit cards, e-wallets, bill payment, gift cards, digital content, lottery and transport payment solutions, including road tolls and public transport.</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November 2009, we obtained a payment services license from the U.K. Financial Services Authority (“FSA”). Following the expiration of a transition period in 2011, a payment services license will be required in order to perform certain services in Europe involving the facilitation of payments, including money transfer and certain payment card services. Under European law, a payment services license obtained in a European country may be “passported” to any other European country, and we have passported our U.K. license to 10 countries to date. This feature of the payment services regime will permit us to replace multiple, national money transfer and other permits with a single permit, and thereby to be regulated by a single regulator rather than several, national regulators. The new payment services regime has also facilitated expansion of our money transfer business by permitting us to become licensed more quickly in new European countries through passporting and allowing us to broaden our sales of money transfers through agents in certain European countries in which use of agents was not previously permitted.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April 2009, we completed the acquisition of Rapide Cheque, a small check cashing business in Montreal, Canada.</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December 2009, we completed the acquisition of Serbia-based Mellon Transaction Services (“MTS”), a member of the Greece-based Mellon Group of Companies. MTS provides integrated card issuing and acquiring solutions to financial institutions in Serbia, Egypt, Cyprus and Albania. The acquisition of MTS is of strategic importance to Euronet, as it positions us as the leading processor in Serbia and opens up new business development opportunities in the region.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 OVERVIEW</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19, Business Segment Information, to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EFT Processing Segment provides outsourcing and network services to financial institutions, primarily in the developing markets of Central, Eastern and Southern Europe (Hungary, Poland, the Czech Republic, Croatia, Romania, Slovakia, Serbia, Greece, Bulgaria and Ukraine), the Middle East and Asia Pacific (India and China), as well as in certain developed countries of Western Europe and North America. We provide these services either through our Euronet-owned ATMs or through contracts under which we operate ATMs on behalf of financial institutions. Although all of these markets present opportunities for expanding the sales of our services, we believe opportunities for growth in the ATM services business are greater in our developing markets.</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major source of revenue generated by our ATM network is recurring monthly management fees and transaction-based fees. We receive fixed monthly fees under many of our outsourced management contracts. The EFT Processing Segment also has revenues from POS operations and merchant management, card network management (for credit, debit, prepaid and loyalty cards), prepaid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100"/>
        <w:spacing w:after="0" w:line="255" w:lineRule="auto"/>
        <w:rPr>
          <w:sz w:val="20"/>
          <w:szCs w:val="20"/>
          <w:color w:val="auto"/>
        </w:rPr>
      </w:pPr>
      <w:r>
        <w:rPr>
          <w:rFonts w:ascii="Arial" w:cs="Arial" w:eastAsia="Arial" w:hAnsi="Arial"/>
          <w:sz w:val="18"/>
          <w:szCs w:val="18"/>
          <w:color w:val="auto"/>
        </w:rPr>
        <w:t>mobile phone recharge on ATMs and ATM advertising. The number of ATMs we operate decreased to 9,720 at December 31, 2009 from 10,128 at December 31, 2008. The reduction in ATMs was largely due to the expiration or termination of ATM services contracts in the first quarter of 2009. Most of the ATM reductions resulted from bank customers shifting their processing to related processing subsidiaries in contemplation of selling the subsidiaries to raise capital, rather than the loss of contracts to competitors. The reduction in the number of ATMs from contract terminations or expirations was partially offset in 2009 by increases in ATMs driven under new contracts, expansion of ATMs under existing contracts and the deployment of ATMs in markets where we operate Euronet-branded ATMs.</w:t>
      </w:r>
    </w:p>
    <w:p>
      <w:pPr>
        <w:spacing w:after="0" w:line="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monitor the number of transactions made by cardholders on our ATM network. These include cash withdrawals, balance inquiries, deposits, mobile phone airtime recharge purchases and certain denied (unauthorized) transactions. We do not bill certain transactions on our network to financial institutions, and we have excluded these transactions for reporting purposes. The number of transactions processed over our entire ATM network has increased over the last five years at a compound annual growth rate (“CAGR”) of approximately 19% as indicated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millions)</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14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2006</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2009</w:t>
            </w:r>
          </w:p>
        </w:tc>
      </w:tr>
      <w:tr>
        <w:trPr>
          <w:trHeight w:val="2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EFT processing transactions per year</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352.5</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455.5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582.5</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672.2</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703.0</w:t>
            </w:r>
          </w:p>
        </w:tc>
      </w:tr>
    </w:tbl>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Athens, Greece; Mumbai, India; Belgrade, Serbia; and Beijing, China. They are staffed 24 hours a day, seven days a week and consist of production IBM iSeries computers, which run the Euronet GoldNet ATM software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Euronet offers outsourced management services to financial institutions, retailers, mobile operators and other organizations using our processing centers’ electronic financial transaction processing software. Our outsourced management services include management of existing ATM networks, development of new ATM networks, management of POS networks, management of bunch note accepters, management of credit and debit card databases and other financial processing services. These services include 24-hour monitoring of each ATM’s status and cash condition, coordinating the cash delivery and management of cash levels in each ATM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Euronet-branded ATM networks in Western, Central and Eastern Europe are primarily managed by a processing center that uses our internally developed Integrated Transaction Management</w:t>
      </w:r>
      <w:r>
        <w:rPr>
          <w:rFonts w:ascii="Arial" w:cs="Arial" w:eastAsia="Arial" w:hAnsi="Arial"/>
          <w:sz w:val="15"/>
          <w:szCs w:val="15"/>
          <w:color w:val="auto"/>
        </w:rPr>
        <w:t>®</w:t>
      </w:r>
      <w:r>
        <w:rPr>
          <w:rFonts w:ascii="Arial" w:cs="Arial" w:eastAsia="Arial" w:hAnsi="Arial"/>
          <w:sz w:val="18"/>
          <w:szCs w:val="18"/>
          <w:color w:val="auto"/>
        </w:rPr>
        <w:t xml:space="preserve"> (“ITM”) core software solution. The ATMs in our network are able to process transactions for holders of credit and debit cards issued by or bearing the logos of financial institutions and international card organizations such as American Express</w:t>
      </w:r>
      <w:r>
        <w:rPr>
          <w:rFonts w:ascii="Arial" w:cs="Arial" w:eastAsia="Arial" w:hAnsi="Arial"/>
          <w:sz w:val="15"/>
          <w:szCs w:val="15"/>
          <w:color w:val="auto"/>
        </w:rPr>
        <w:t>®</w:t>
      </w:r>
      <w:r>
        <w:rPr>
          <w:rFonts w:ascii="Arial" w:cs="Arial" w:eastAsia="Arial" w:hAnsi="Arial"/>
          <w:sz w:val="18"/>
          <w:szCs w:val="18"/>
          <w:color w:val="auto"/>
        </w:rPr>
        <w:t>, Diners Club International</w:t>
      </w:r>
      <w:r>
        <w:rPr>
          <w:rFonts w:ascii="Arial" w:cs="Arial" w:eastAsia="Arial" w:hAnsi="Arial"/>
          <w:sz w:val="15"/>
          <w:szCs w:val="15"/>
          <w:color w:val="auto"/>
        </w:rPr>
        <w:t>®</w:t>
      </w:r>
      <w:r>
        <w:rPr>
          <w:rFonts w:ascii="Arial" w:cs="Arial" w:eastAsia="Arial" w:hAnsi="Arial"/>
          <w:sz w:val="18"/>
          <w:szCs w:val="18"/>
          <w:color w:val="auto"/>
        </w:rPr>
        <w:t>, Visa</w:t>
      </w:r>
      <w:r>
        <w:rPr>
          <w:rFonts w:ascii="Arial" w:cs="Arial" w:eastAsia="Arial" w:hAnsi="Arial"/>
          <w:sz w:val="15"/>
          <w:szCs w:val="15"/>
          <w:color w:val="auto"/>
        </w:rPr>
        <w:t>®</w:t>
      </w:r>
      <w:r>
        <w:rPr>
          <w:rFonts w:ascii="Arial" w:cs="Arial" w:eastAsia="Arial" w:hAnsi="Arial"/>
          <w:sz w:val="18"/>
          <w:szCs w:val="18"/>
          <w:color w:val="auto"/>
        </w:rPr>
        <w:t>, MasterCard</w:t>
      </w:r>
      <w:r>
        <w:rPr>
          <w:rFonts w:ascii="Arial" w:cs="Arial" w:eastAsia="Arial" w:hAnsi="Arial"/>
          <w:sz w:val="15"/>
          <w:szCs w:val="15"/>
          <w:color w:val="auto"/>
        </w:rPr>
        <w:t>®</w:t>
      </w:r>
      <w:r>
        <w:rPr>
          <w:rFonts w:ascii="Arial" w:cs="Arial" w:eastAsia="Arial" w:hAnsi="Arial"/>
          <w:sz w:val="18"/>
          <w:szCs w:val="18"/>
          <w:color w:val="auto"/>
        </w:rPr>
        <w:t>/Europay, Discover</w:t>
      </w:r>
      <w:r>
        <w:rPr>
          <w:rFonts w:ascii="Arial" w:cs="Arial" w:eastAsia="Arial" w:hAnsi="Arial"/>
          <w:sz w:val="15"/>
          <w:szCs w:val="15"/>
          <w:color w:val="auto"/>
        </w:rPr>
        <w:t>®</w:t>
      </w:r>
      <w:r>
        <w:rPr>
          <w:rFonts w:ascii="Arial" w:cs="Arial" w:eastAsia="Arial" w:hAnsi="Arial"/>
          <w:sz w:val="18"/>
          <w:szCs w:val="18"/>
          <w:color w:val="auto"/>
        </w:rPr>
        <w:t xml:space="preserve"> and China Union Pay as well as international ATM networks such as PULSE</w:t>
      </w:r>
      <w:r>
        <w:rPr>
          <w:rFonts w:ascii="Arial" w:cs="Arial" w:eastAsia="Arial" w:hAnsi="Arial"/>
          <w:sz w:val="15"/>
          <w:szCs w:val="15"/>
          <w:color w:val="auto"/>
        </w:rPr>
        <w:t>®</w:t>
      </w:r>
      <w:r>
        <w:rPr>
          <w:rFonts w:ascii="Arial" w:cs="Arial" w:eastAsia="Arial" w:hAnsi="Arial"/>
          <w:sz w:val="18"/>
          <w:szCs w:val="18"/>
          <w:color w:val="auto"/>
        </w:rPr>
        <w:t>. This ability is accomplished through our agreements and relationships with these institutions, international credit and debit card issuers and international associations of card issuers.</w:t>
      </w:r>
    </w:p>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 typical ATM transaction, the transaction is routed from the ATM to our processing center and then to the card issuer for authorization. Once authorization is received, the authorization message is routed back to the ATM and the transaction is completed. The card issuer is responsible for authorizing ATM transactions processed on our ATMs. This process normally takes less than 30 seconds.</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We do not charge cardholders a transaction or access fee for using our ATMs.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generally receive fees from our customers for four types of ATM transactions: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withdrawals,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balance inquiries,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transactions not completed because the relevant card issuer does not give authorization,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are automatically renewed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with the exception of those in the Czech Republic where we provide the cash for the ATMs. Regardless of the source, Euronet is generally liable for the cash in the ATM networks. 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or are adjusted for inflation. Transaction fees are billed to financial institutions and card organizations with payment terms typically no longer than one month.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value-added services in addition to basic cash withdrawal and balance inquiry transactions. These value added services include electronic bill payment, ATM advertising, money transfer payout on ATMs and the sale of prepaid mobile airtime recharge services from ATMs or mobile phone devices. We are committed to the ongoing development of innovative new products and services to offer our EFT processing customers and intend to implement additional services as markets develop.</w:t>
      </w:r>
    </w:p>
    <w:p>
      <w:pPr>
        <w:spacing w:after="0" w:line="8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Poland, Hungary, Croatia, Romania, Czech Republic, Slovakia and India, we have established electronic connections to some or all of the major mobile phone operators. These connections permit us to transmit to them electronic requests to recharge mobile phone accounts. We operate networks of ATMs in these markets to offer customers of the mobile operators the ability to credit their prepaid mobile phone accounts.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expanded our outsourced management solutions beyond ATMs to include credit and debit card and POS terminal management services. We support these services using our proprietary software products. Since 1996, we have sold advertising on our ATM network. Clients can display their advertisements on our ATM video screens, on the ATM receipts and on coupons dispensed with cash from the ATMs.</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offer a suite of integrated EFT software solutions for electronic payments and transaction delivery systems. We generate revenue for our software products from licensing, professional services and maintenance fees for software and sales of related hardware, primarily to financial institutions around the world.</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 compliant cross-border transaction processing solution. SEPA is an area in which all electronic payments can be made and received in the euro,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Financial institutions in both developing and developed markets are receptive to outsourcing the operation of their ATM, POS and card networks. The operation of these devices requires expensive hardware and software and specialized personnel. These resources are available to us, and we offer them to financial institutions under outsourcing contracts. The expansion and enhancement of our outsourced management solutions in new and existing markets will remain an important business opportunity for Euronet. Increasing the number of non-owned ATMs that we operate under management services agreements and continued development of our credit and debit card outsourcing business should provide continued growth while minimizing our capital investment.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We continually strive to make our own ATM networks more efficient by eliminating underperforming ATMs and installing ATMs in more desirable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Moreover, we will make selective additions to our own ATM network if we see market demand and profit opportunities.</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EFT Processing Segment’s ATM and Mobile Recharge line of services are strengthened through complementary services offered by our Prepaid Processing Segment, where we provide top-up services through POS terminals. We intend to expand our technology and business methods into other markets where we operate and expect to leverage our relationships with mobile operators and financial institutions to facilitate expansion.</w:t>
      </w:r>
    </w:p>
    <w:p>
      <w:pPr>
        <w:spacing w:after="0" w:line="5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recent years, the need for “all-in” services has increased in the market.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Euronet’s card issuing processing product line has seen steady growth in the last three years. We now have card outsourcing clients in Bulgaria and Romania. We are committed to grow both the geographical coverage and to sell more services in the existing markets. As a part of the card outsourcing proposition, we are selling chargeback handling and fraud systems priced on a transaction basis.</w:t>
      </w:r>
    </w:p>
    <w:p>
      <w:pPr>
        <w:spacing w:after="0" w:line="7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ITM software is used by our Budapest, Mumbai, Beijing and Belgrade processing centers in our EFT Processing Segment, including our Euronet Middle East joint venture processing center in Bahrain, resulting in cost savings and added value compared to third-party license and maintenance options. Furthermore, we have identified opportunities to provide processing services to our software solutions customers and we believe our ability to develop, adapt and control our own software gives us credibility with our processing services customers. We have been able to enter into agreements under which we contribute the right to use our ITM software in lieu of cash as our initial capital contributions to new transaction processing joint ventures. Such contributions permit us to enter new markets without significant cash outlays.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business is significantly impacted by seasonality during the fourth quarter and first quarter of each year due to higher transaction levels during the holiday season and lower levels after the holiday season. We have estimated that, absent significant fluctuations in foreign currency exchanges rates or unusual circumstances, such as the impact of new acquisitions or unusually high levels of growth due to market factors, the overall revenue realized in the EFT Processing Segment is likely to be approximately 5% to 10% lower during the first quarter of each year than in the fourth quarter of the year. We have historically experienced minimal differences between the second and third quarters of each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individual customer of the EFT Processing Segment makes up greater than 10% of consolidated total revenue. We do not have any government contracts in the EFT Processing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independent ATM deployment market. None of these competitors have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fourth quarter 2009, the Company sold Euronet Essentis Limited (“Essentis”), a U.K. software entity, in order to focus our investments and resources on our transaction processing businesses.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PREPAID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currently offer prepaid mobile phone top-up services and certain other prepaid and payment products on a network of approximately 498,000 POS terminals across approximately 237,000 retailer locations in Europe, the Middle East, Asia Pacific and North America. We are one of the largest international providers of prepaid processing, or “top-up,” services for prepaid mobile airtime. Our processing centers for the Prepaid Processing Segment are located in Basildon, U.K.; Martinsried, Germany; and Leawood, Kansas, U.S.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2003, we have continually expanded our prepaid business and plan to further expand our operations in our existing markets and other markets by taking advantage of our expertise together with relationships with mobile operators and retailers. In addition to prepaid airtime, we offer a wide range of products across our retail networks, including prepaid debit cards, gift cards, prepaid vouchers, transport payments, lottery payments, prepaid content such as music and games, prepaid long distance and bill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major source of revenue generated by our Prepaid Processing Segment is commissions or processing fees received from telecommunications service providers for the sale and distribution of prepaid mobile airtime. We also generate revenue from commissions earned from the distribution of other prepaid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“postpaid” accounts, where usage is billed at the end of each billing period,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“prepaid” accounts, where customers pay in advance by crediting their accounts prior to usage.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mobile operators in the U.S. and certain European countries have provided service principally through postpaid accounts, the trend in many other countries in Europe and the rest of the world is to offer wireless service on a prepaid basis. It is believed that this shift is driven by customers’ perception that prepaid products better meet their needs and enable them to better control their monthly wireless expenditures.</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Currently, two principal methods are available to credit prepaid accounts (referred to as “top-up” of accounts). The first is through the purchase of “scratch cards” bearing a PIN (personal identification number) that, when entered into a customer’s mobile phone account, credits the account by the value of airtime purchased. Scratch cards are sold predominantly through retail outlets. The second is through various electronic means of crediting accounts using POS terminals. Electronic top-up (or “e-top-up”) methods have several advantages over scratch cards, primarily because electronic methods do not require the cost of creation, distribution and management of a physical inventory of cards or involve the risk of losses stemming from fraud, theft and mismanagement. Prior to 2004, scratch cards were the predominant method of crediting mobile phone accounts in most developed markets. However, since 2004, a shift has occurred in these markets away from usage of scratch cards and e-top-up is now the predominant method.</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Prepaid Processing Segment processes the sale of prepaid mobile phone minutes to consumers through networks of POS terminals and direct connections to the electronic payment systems of retailers. In some markets, we enter into agreements with mobile phone operators and connect directly to their back-office systems. In other markets, we distribute mobile phone time by connecting directly to the mobile operators or by purchasing PINs that enable airtime top-up. We then distribute the mobile phone time electronically through POS terminals either via a direct credit from the mobile operator to the mobile phone or via the sales of PINs. The business has grown rapidly over the past few years as new retailers have been added and prepaid airtime distribution has switched from scratch cards to electronic means.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prepaid markets, we expand our distribution networks through the signing of new contracts with retailers, and in some markets, through the acquisition of existing networks. We also seek to improve the results of our existing networks through the addition of new mobile operators in markets where we do not already distribute all of the available prepaid time and the addition of other prepaid products not necessarily related to the mobile operators. In addition, in the U.S. we are expanding our sales presence in all sales segments. We are continuing to focus on our growing network of distributors, generally referred to as Independent Sales Organizations (“ISOs”), that contract with retailers in their network to distribute PINs from their terminals. We continue to increase our focus on direct relationships with chains of independent convenience stores and other larger scale retailers, where we can negotiate agreements with the merchant on a multiyear basis.</w:t>
      </w:r>
    </w:p>
    <w:p>
      <w:pPr>
        <w:spacing w:after="0" w:line="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distribute PINs, we establish an electronic connection with the POS terminals and maintain systems that monitor transaction levels at each terminal. As sales to customers of mobile airtime are completed, the customer pays the retailer and the retailer becomes obligated to make settlement to us of the principal amount of the phone time sold. We maintain systems that enable us to monitor the payment practices of each retailer.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Prepaid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process prepaid mobile airtime top-up transactions on our POS network across Europe, the Middle East, Asia Pacific and North America for two types of clients: distributors and retailers. Both types of client transactions start with a consumer in a retail store. The retailer uses a specially programmed POS terminal in the store or the retailer’s electronic cash register (“ECR”) system that is connected to our network to buy prepaid airtime. The customer will select a predefined amount of prepaid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operator or drawing from our inventory of PINs, the purchased amount of airtime will be either credited to the consumer’s account or delivered via a PIN printed by the terminal and given to the consumer. In the case of PINs printed by the terminal, the consumer must then call a mobile operator’s toll-free number to activate the purchased airtime to this consumer’s mobile account.</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One difference in our relationships with various retailers and distributors is how we charge for our services. For distributors and certain very large retailers we charge a processing fee. However, the majority of our transactions occur with smaller retailer clients. With these clients, we receive a commission on each transaction that is withheld from the payments made to the mobile operator, and we share that commission with the retailers.</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monitor the number of transactions made on our prepaid networks. The number of transactions processed on our entire POS network has increased over the last five years at a CAGR of approximately 22% as indicated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millions)</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14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2006</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2009</w:t>
            </w:r>
          </w:p>
        </w:tc>
      </w:tr>
      <w:tr>
        <w:trPr>
          <w:trHeight w:val="2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Prepaid processing transactions per year</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348.0</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457.8</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634.8</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713.1</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777.1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provide our prepaid services through POS terminals installed in retail outlets or, in the case of major retailers, through direct connections between their ECR systems and our processing centers. In markets where we operate proprietary technology (the U.K., Australia, Poland, Ireland, New Zealand, Spain, Greece, India, Italy and the U.S.), we generally own and maintain the POS terminals. In Germany, Austria and Romania,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Germany, distributors are key intermediaries in the sale of e-top-up.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POS network can be used for the distribution of other products and services. Although prepaid mobile airtime is the primary product distributed through our Prepaid Processing Segment, additional products include prepaid long distance calling card plans, prepaid Internet plans, prepaid debit cards, prepaid gift cards, prepaid vouchers, transport payments, lottery payments, bill payment, money transfer and prepaid content such as music and games. In certain locations, the terminals used for prepaid services can also be used for electronic funds transfer to process credit and debit card payments for retail merchandise. For 2009, gross profit from products other than prepaid mobile airtime comprised approximately 10% – 15% of the Prepaid Processing Segment’s gross profit.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 Strategy</w:t>
      </w:r>
    </w:p>
    <w:p>
      <w:pPr>
        <w:spacing w:after="0" w:line="12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plan to expand our prepaid processing business in our existing markets and new markets by taking advantage of our expansive distribution network and existing relationships with mobile phone operators and retailers. Although all of these markets present opportunities for expanding the sales of our services, we believe opportunities for transaction growth in the Prepaid Processing Segment are greater in Poland, Germany, Italy, Romania and India, where there is organic growth of prepaid products in the prepaid markets.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prepaid business is significantly impacted by seasonality during the fourth quarter and first quarter of each year due to the higher transaction levels during the holiday season and lower levels following the holiday season. We expect that, absent significant fluctuations in foreign currency exchanges rates or unusual circumstances, such as the impact of new acquisitions or unusually high levels of growth due to market factors, the overall revenue realized is likely to be 5% to 10% lower during the first quarter than in the fourth quarter of the year. We have historically experienced minimal differences between the second and third quarters of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 individual customer of our Prepaid Processing Segment makes up greater than 10% of consolidated total revenue. In 2009, we implemented our first government contracts with the Transport for London in the U.K. and Queensland Motorways in Australia.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of their own through which they offer top-up of their own products. None of these companies is dominant in any of the markets where we do business.</w:t>
      </w:r>
    </w:p>
    <w:p>
      <w:pPr>
        <w:spacing w:after="0" w:line="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however, that we currently have a competitive advantage due to various factors. First, in the U.K., Germany and Australia, our acquired subsidiaries have been concentrating on the sale of electronic prepaid mobile airtime for longer than most of our competitors and have significant market presence in those markets. In addition, we offer complementary ATM and mobile recharge solutions through our EFT processing centers. We believe this improves our ability to solicit the use of networks of devices owned by third parties (for example, banks and switching networks) to deliver recharge services. In selected developing markets, we expect to establish a first to market advantage by rolling out terminals rapidly before competition is established. We also have an extremely flexible technical platform that enables us to tailor POS solutions to individual merchant and mobile operator requirements where appropriate. The GPRS (wireless) technology, designed by our epay Germany subsidiary, will also give us an advantage in remote areas where landline phone lines are of lesser quality or are nonexistent.</w:t>
      </w:r>
    </w:p>
    <w:p>
      <w:pPr>
        <w:spacing w:after="0" w:line="8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principal competitive factors in this area include price (that is, the level of commission paid to retailers for each recharge transaction), breadth of mobile operator product and up-time offered on the system. Major retailers with high volumes are in a position to demand a larger share of the commission, which increases the amount of competition among service providers. Recently, we are seeing signs that mobile operators may wish to take over and expand their own distribution networks of prepaid time, and in doing so, they may become our competitors. Additionally, mobile top-up is now being performed online or via mobile devices which provides other alternatives for consumers to use.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began reporting the results of this segment in the second quarter 2007 after we completed the acquisition of RIA, which established Euronet as the third-largest global money transfer company. Our Money Transfer segment processed approximately $5.8 billion in money transfers in 2009. We originate transfers through a network of sending agents and Company-owned stores located in Europe and North America and disburse money transfers through an extensive payer network in more than 100 countries.</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sending agent network includes a variety of agents, including large/medium size regional retailers, convenience stores, bodegas, multi-service shops and phone centers, which are predominantly found in areas with a large immigrant population. Each money transfer transaction is processed using the Company’s proprietary software system and checked for security, completeness and compliance with federal regulations at every step of the process. The sender can track the progress of their transfer through RIA’s customer service representatives, and funds are delivered quickly to their beneficiary via our extensive payout network, which includes large banks and non-bank financial institutions, post offices and large retailers. As of December 31, 2009, we provided consumer-to-consumer money transfer services through a network of approximately 82,200 locations. Our processing center for the Money Transfer Segment is located in Cerritos, California and we operate call centers in Cerritos, California, El Salvador and Spain and provide multi-lingual customer service for both our agents and consumers.</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money transfer sending network is also used to offer other products and services. Additional product offerings include bill payment services enabling over-the-counter payments for utilities, wireless and cable bills; money orders; prepaid mobile airtime: prepaid debit cards; comprehensive check cashing service for a wide variety of issued checks; and foreign currency exchange services. These services are all offered through our Company-owned stores while select services are offered through our agents in certain markets.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Money Transfer Services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offer consumer-to-consumer money transfer services primarily through three channels at agent locations and Company-owned stores: by phone (“TeleRIA”), via computer (“RIA Online”) and card-based over a POS terminal (“Rialink”). All three types of transactions start with a consumer in an agent location or one of our stores. Through our TeleRIA service, customers connect to our call center from a telephone available at an agent location or RIA store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 In an online transaction, customers provide the required information to the agent who enters the data into our online platform via a computer using a unique username and password. The real-time online connection we maintain with the agent enables the agent to generate a receipt and complete the transaction. Transactions through our newest channel, Rialink, are similar to online transactions, but are initiated over a POS terminal once the customer has completed a one-time enrollment over the phone with our customer service representative. After completing a successful pilot, Rialink has become a part of our main product offering and has shown great results in high volume stores and agent locations in our select send markets due to the speed, efficiency and ease of use of the POS transfer method, resulting in increased customer retention. We intend to roll out our Rialink money transfer product across more markets and locations. We will continue to enhance this product offering by adding a loyalty program to the card and combining it with prepaid debit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 in the Money Transfer Segment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in Europe and North America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Through RIA, we have established high-potential money transfer corridors from the U.S. and internationally beyond the traditional U.S. to Mexico corridor. For 2010 and beyond, we intend to increase the volume of money transfers processed by leveraging our banking and merchant/retailer relationships to expand our agent and payer networks and by entering new markets. Additionally, we plan to sell more complementary products and services such as prepaid debit cards and bill payment and check cashing services. Further, we expect to continue to take advantage of cross-selling opportunities with our Prepaid and EFT Segments by providing prepaid services through RIA’s stores and agents and offering our money transfer services at select prepaid retail locations in key markets. We will continue to make investments in our systems to support this growth.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our lowest volumes during the first quarter. During the first quarter of each year we have historically experienced a 5% to 10% decrease in overall transactions when compared to the fourth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individual customer of our Money Transfer Segment makes up greater than 10% of consolidated total revenue. There are no government contracts with any country within the Money Transfer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Our continued growth also depends upon our ability to compete effectively with these alternative technologies.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 In 2007, we made significant investments to develop new cross-border merchant acquiring capabilities that we are now offering to multinational merchants.</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Prepaid Processing Segment, development has focused on expanding the types of prepaid products and services available to consumers over our network to include, for example, prepaid vouchers, transport payments, lottery payments, prepaid gift and debit cards, and bill payment capabilities. This is intended to make our offerings more attractive to retailers.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made an ongoing commitment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$3.3 million, $3.4 million and $3.1 million in 2009, 2008 and 2007, respectively. Development costs that were capitalized totaled $1.3 million, $2.0 million and $1.4 million for the years ended December 31, 2009, 2008 and 2007, respectively.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121"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For information on results from operations, property and equipment, and total assets by geographic location, please see Note 19, Business Segment Information, to the Consolidated Financial Statements. Additionally, see Item 1A — Risk Factors, for risk factors related to foreign operations.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had approximately 2,700 employees as of December 31, 2009 and 2,500 employees as of December 31, 2008 and 2007. We believe our future success will depend in part on our ability to continue to recruit, retain and motivate qualified management, technical and administrative employees. Currently, no union represents any of our employees, except in our Spanish subsidiary. We experienced no work stoppages or strikes by our workforce in 2009 and we consider relations with our employees to be good.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below, certain of our business activities are subject to regulation in some of our current markets. In the Money Transfer Segment, we are subject to a wide variety of laws and regulations of the U.S., individual U.S. states, foreign markets and other governmental jurisdictions where we operate.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by either RIA or its agents. For more discussion, see Item 1A — Risk Factors.</w:t>
      </w:r>
    </w:p>
    <w:p>
      <w:pPr>
        <w:spacing w:after="0" w:line="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German law, we currently may not operate our own ATM network in Germany without a sponsor, which is Bankhaus August Lenz (“BAL”). In that market, we act only as a subcontractor providing certain ATM-related services to BAL. As a result, our activities in the German market currently are entirely dependent upon the continuance of our agreement with BAL, or the ability to enter into a similar agreement with another institution in the event of the termination of such agreement. While we believe, based on our experience, that we should be able to find a replacement for BAL if the agreement with BAL were to be terminated for any reason, the inability to maintain the BAL agreement or to enter into a similar agreement with another institution upon a termination of the BAL agreement could have a material adverse effect on our operations in Germany. For further information, see Item 1A — Risk Factors. We are considering bringing our German and other ATM Networks under a payment services license, which would enable us to operate independently of a sponsor bank.</w:t>
      </w:r>
    </w:p>
    <w:p>
      <w:pPr>
        <w:spacing w:after="0" w:line="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Commencing in November 2009, a new regulatory initiative, the Payment Services Directive (“PSD”), has been applicable to certain of our businesses, including in particular, our money transfer services, merchant acquiring, certain card services and bill payment. The PSD initiative requires a license to be obtained to perform such services in a European country, following the expiration of a two-year transition period in November 2011, and such license may be extended throughout the EU through “passporting.” Conditions of obtaining the license include minimum capital requirements, establishment of procedures for safeguarding of funds, and certain governance and reporting requirements. In addition, certain regulations relating to the conduct of business, in particular, consumer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3" w:name="page14"/>
    <w:bookmarkEnd w:id="13"/>
    <w:p>
      <w:pPr>
        <w:ind w:right="560"/>
        <w:spacing w:after="0" w:line="277" w:lineRule="auto"/>
        <w:rPr>
          <w:sz w:val="20"/>
          <w:szCs w:val="20"/>
          <w:color w:val="auto"/>
        </w:rPr>
      </w:pPr>
      <w:r>
        <w:rPr>
          <w:rFonts w:ascii="Arial" w:cs="Arial" w:eastAsia="Arial" w:hAnsi="Arial"/>
          <w:sz w:val="18"/>
          <w:szCs w:val="18"/>
          <w:color w:val="auto"/>
        </w:rPr>
        <w:t>disclosure requirements and certain rules regarding the timing and settlement of payments must be met. As of November 2009, we obtained a payment services license in the U.K. and have begun complying with these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 of payment instruments. Typical requirements include the meeting of minimum net worth requirements, maintaining permissible investments (e.g., cash, agent receivables, and government -backed securities) at levels commensurate with outstanding payment obligations and the filing of a security instrument (typically in the form of a surety bond) to offset the risk of default of trustee obligations by the license holder. We are required by many regulators to file interim reports of licensed activity, most often on a quarterly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a number of states will choose to perform examinations off-site.</w:t>
      </w:r>
    </w:p>
    <w:p>
      <w:pPr>
        <w:spacing w:after="0" w:line="6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bodies in the U.S. and abroad may impose additional rules on the conduct of our Money Transfer Segment that could have a significant impact on our operations and our agent network.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U.S. and certain foreign countries in which we operate. These laws require us to turn over property held by the Company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relevant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Company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comply with the GLBA and any state privacy provision by posting a privacy notice on the receipts provided to the consumers upon completion of a transaction. In addition, we comply with the Directive using the safe harbor permitted by the Directive by filing with the U.S. Department of Commerce, publicly declaring our privacy policy for information collected outside of the U.S., posting our privacy policy on our Web site and requiring our agents in the European Union to notify customers of the privacy policy.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an area that is rapidly evolving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risk-based policies and programs to comply with the existing, new or changed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 independently examined on an annual basis. In addition, we continue to enhance our anti-money laundering and anti-terrorist financing compliance policy, procedures, monitoring systems and staffing levels.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brand names of “RIA,” “RIA Envia” and “AFEX,”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the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patent applications for a number of our new software products and our new processing technology, including our recharge services.</w:t>
      </w:r>
    </w:p>
    <w:p>
      <w:pPr>
        <w:spacing w:after="0" w:line="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With respect to our Prepaid Processing Segment, we rolled out our new branding for “epay” in 2009. As part of this global branding strategy, we filed trademark applications for the new “epay” brand in the U.S., U.K., the European Union (“E.U.”) through a Community Trademark application, Malaysia, India, Australia and New Zealand. The new trademark has issued to registration in the U.K. and the E.U. The trademark applications in the other jurisdictions are still pending. We also hold trademarks for our prepaid operating subsidiaries in other jurisdictions, including PaySpot, Inc. (“PaySpot”) in the U.S. We cannot be certain that we will be entitled to use the epay trademark in any markets other than those in which we have registered the trademark. In 2003, we filed a series of patent applications for our POS recharge and certain other products in support of epay and PaySpot technology. As of the date of this report, these patents are still pending. We also hold a patent license covering certain of PaySpot’s operations in the U.S.</w:t>
      </w:r>
    </w:p>
    <w:p>
      <w:pPr>
        <w:spacing w:after="0" w:line="5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the Prepaid Processing business is an area in which many “process patents” have been filed in the U.S. over recent years covering processes that are in wide use in the industry.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26, 2010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320" w:type="dxa"/>
            <w:vAlign w:val="bottom"/>
          </w:tcPr>
          <w:p>
            <w:pPr>
              <w:spacing w:after="0"/>
              <w:rPr>
                <w:sz w:val="14"/>
                <w:szCs w:val="14"/>
                <w:color w:val="auto"/>
              </w:rPr>
            </w:pPr>
          </w:p>
        </w:tc>
        <w:tc>
          <w:tcPr>
            <w:tcW w:w="672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Position Held</w:t>
            </w: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Michael J. Brown</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Kevin J. Caponecchi</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43</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7040" w:type="dxa"/>
            <w:vAlign w:val="bottom"/>
            <w:gridSpan w:val="2"/>
          </w:tcPr>
          <w:p>
            <w:pPr>
              <w:ind w:left="320"/>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Rick L. Weller</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November 2002</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 Chief Financial Officer</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Jeffrey B. Newman</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55</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1996</w:t>
            </w:r>
          </w:p>
        </w:tc>
        <w:tc>
          <w:tcPr>
            <w:tcW w:w="7040" w:type="dxa"/>
            <w:vAlign w:val="bottom"/>
            <w:gridSpan w:val="2"/>
          </w:tcPr>
          <w:p>
            <w:pPr>
              <w:ind w:left="320"/>
              <w:spacing w:after="0"/>
              <w:rPr>
                <w:sz w:val="20"/>
                <w:szCs w:val="20"/>
                <w:color w:val="auto"/>
              </w:rPr>
            </w:pPr>
            <w:r>
              <w:rPr>
                <w:rFonts w:ascii="Arial" w:cs="Arial" w:eastAsia="Arial" w:hAnsi="Arial"/>
                <w:sz w:val="18"/>
                <w:szCs w:val="18"/>
                <w:color w:val="auto"/>
              </w:rPr>
              <w:t>Executive Vice President — General Counsel</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Juan C. Bianchi</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39</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 Managing Director, Money Transfer Segment</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Nikos Fountas</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46</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7040" w:type="dxa"/>
            <w:vAlign w:val="bottom"/>
            <w:gridSpan w:val="2"/>
          </w:tcPr>
          <w:p>
            <w:pPr>
              <w:ind w:left="320"/>
              <w:spacing w:after="0"/>
              <w:rPr>
                <w:sz w:val="20"/>
                <w:szCs w:val="20"/>
                <w:color w:val="auto"/>
              </w:rPr>
            </w:pPr>
            <w:r>
              <w:rPr>
                <w:rFonts w:ascii="Arial" w:cs="Arial" w:eastAsia="Arial" w:hAnsi="Arial"/>
                <w:sz w:val="18"/>
                <w:szCs w:val="18"/>
                <w:color w:val="auto"/>
              </w:rPr>
              <w:t>Senior Vice President — Managing Director, Europe EFT Processing Segment</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Gareth Gumbley</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37</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2008</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Senior Vice President — Managing Director, Prepaid Processing Segment</w:t>
            </w:r>
          </w:p>
        </w:tc>
      </w:tr>
    </w:tbl>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MICHAEL J. BROWN, Chairman and Chief Executive Officer. Mr. Brown is one of the founders of Euronet and has served as our Chairman of the Board and Chief Executive Officer since 1996. He also co-founded our predecessor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5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KEVIN J. CAPONECCHI, President. Mr. Caponecchi joined Euronet as President in July 2007.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6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JUAN C. BIANCHI, Executive Vice President, Managing Director — Money Transfer Segment. Mr. Bianchi joined Euronet subsequent to the acquisition of RIA.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NIKOS FOUNTAS, Senior Vice President, Managing Director — Europe EFT Processing Segment.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his current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GARETH GUMBLEY, Senior Vice President, Managing Director — Prepaid Processing Segment. Mr. Gumbley joined Euronet in 2004 as managing director for the Company’s prepaid businesses in Australia and New Zealand. In May 2008, Mr. Gumbley took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both"/>
        <w:ind w:right="40"/>
        <w:spacing w:after="0" w:line="264" w:lineRule="auto"/>
        <w:rPr>
          <w:sz w:val="20"/>
          <w:szCs w:val="20"/>
          <w:color w:val="auto"/>
        </w:rPr>
      </w:pPr>
      <w:r>
        <w:rPr>
          <w:rFonts w:ascii="Arial" w:cs="Arial" w:eastAsia="Arial" w:hAnsi="Arial"/>
          <w:sz w:val="18"/>
          <w:szCs w:val="18"/>
          <w:color w:val="auto"/>
        </w:rPr>
        <w:t>over his current responsibility as managing director of Euronet’s Prepaid Processing Segment. Prior to joining Euronet, he served as chief executive officer of Dialect Solutions (a News Corporation company), a global Internet payments processor. Mr. Gumbley is a member of the Chartered Institute of Management Accountants and a member of the Australian Institute of Company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 of Directors or Certain Officers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2009, Roger Heinz, formerly Managing Director — Europe EFT Processing Segment, was replaced in that position by Nikos Fountas.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Web 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Exchange Act on our Web site free of charge as soon as reasonably practicable after these documents are electronically filed with, or furnished to, the SEC. The information on our Web site is not, and shall not be deemed to be a part of this report or incorporated into any other filings we make with the SEC. In addition, our SEC filings are made available via the SEC’s EDGAR filing system accessible at www.sec.gov.</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 site at www.euronetworldwide.com in the “Investor Relations” section.</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will also provide printed copies of these materials to any stockholders, upon request, to Euronet Worldwide, Inc., 4601 College Boulevard, Suite 300, Leawood, Kansas, U.S.A. 66211, Attention: Investor Relations.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6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7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have a substantial amount of indebtedness. As of December 31, 2009, total liabilities were $846.2 million, of which $320.3 million represents long-term debt obligations, and total assets were $1,412.7 million. Of our total long-term debt obligations, $155.2 million is comprised of contingently convertible debentures that, in certain situations, could be settled in stock.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70" w:lineRule="exact"/>
        <w:rPr>
          <w:sz w:val="20"/>
          <w:szCs w:val="20"/>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142" w:lineRule="exact"/>
        <w:rPr>
          <w:rFonts w:ascii="Arial" w:cs="Arial" w:eastAsia="Arial" w:hAnsi="Arial"/>
          <w:sz w:val="17"/>
          <w:szCs w:val="17"/>
          <w:b w:val="1"/>
          <w:bCs w:val="1"/>
          <w:color w:val="auto"/>
        </w:rPr>
      </w:pPr>
    </w:p>
    <w:p>
      <w:pPr>
        <w:ind w:left="660" w:right="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high degree of indebtedness will make us more vulnerable to changes in general economic conditions and/or a downturn in our business, thereby making it more difficult for us to satisfy our obligations; and</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73"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Prepayment in full of the obligations under our Credit Facility may be required six months prior to any required repurchase date under our $175 million principal amount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w:t>
      </w:r>
    </w:p>
    <w:p>
      <w:pPr>
        <w:ind w:right="80" w:firstLine="8"/>
        <w:spacing w:after="0" w:line="261"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have sufficient liquidity (as determined by the administrative agent and the lenders). Holders of the 3.5% debentures have the option to require us to purchase their debentures at par on October 15, 2012, 2015 and 2020, or upon a change in control of the Company.</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Restrictive covenants in our credit facilities may adversely affect us. The Credit Facility contains four financial covenants that we must meet as defined in the agreement: (1) total debt to EBITDA ratio, (2) senior secured debt to EBITDA ratio, (3) EBITDA to fixed charge coverage ratio and (4) minimum Consolidated Net Worth.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due to the recent economic crisis. If we are unable to secure additional financing or such financing is not available at acceptable terms, we may be unable to secure financing for growth or refinance our debt obligations, if necessary.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ind w:right="28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recent uncertainty in the credit markets could affect our ability to obtain debt financing on reasonable terms.</w:t>
      </w:r>
    </w:p>
    <w:p>
      <w:pPr>
        <w:spacing w:after="0" w:line="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the ongoing uncertainty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from operations.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$129.0 million outstanding balance of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from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recent growth is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80" w:lineRule="exact"/>
        <w:rPr>
          <w:sz w:val="20"/>
          <w:szCs w:val="20"/>
          <w:color w:val="auto"/>
        </w:rPr>
      </w:pPr>
    </w:p>
    <w:p>
      <w:pPr>
        <w:ind w:left="660" w:right="180" w:hanging="436"/>
        <w:spacing w:after="0" w:line="25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92"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may assume unanticipated liabilities and contingencies;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69"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We may be required to recognize additional impairment charges related to long-lived assets and goodwill recorded in connection with our acquisitions.</w:t>
      </w:r>
    </w:p>
    <w:p>
      <w:pPr>
        <w:spacing w:after="0" w:line="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total assets include approximately $617.6 million, or 44%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2008, we determined that certain goodwill and intangible assets of our Spanish prepaid business and our RIA money transfer business were impaired and we recorded a total of $230.0 million of non-cash impairment charges, including the adjustment in first quarter 2009 when the measurement was completed. If operating results in any of our key markets, including the U.S., U.K., Germany, Spain and Australia, deteriorate or our plans do not progress as expected when we acquired these entities or if capital markets depress our value or that of similar companies, we may be required to record an additional impairment write-down of goodwill, intangible assets or other long-lived assets. This could have a material adverse effect on our results of operations and financial condition.</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Like other participants in the money transfer industry, as a result of downturns in certain labor markets, the current recessionary economic environment and immigration developments, our volume of money transfers from the U.S. to Mexico have declined as have related revenues. These issues have also resulted in certain competitors lowering transaction fees and foreign currency exchange spreads in certain markets where we do business in an attempt to limit the impact on money transfer volumes. For 2009, money transfer transactions to Mexico, which represented approximately 25% of total money transfer transactions, decreased by 19%. If this trend continues or worsens, or we experience similar trends in our international business, we may be required to record an additional impairment write-down of our goodwill, intangible assets or other long lived assets associated with the Money Transfer Segment.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expansion plans and opportunities are focused on four separate areas: (i) our network of owned and operated ATMs; (ii) outsourced ATM management contracts; (iii) our prepaid mobile airtime services; and (iv) our money transfer and bill payment services. The continued expansion and development of our ATM business will depend on various factors including the following:</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demand for our ATM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install ATMs in an efficient and timely manner;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expansion of our business into new countries as currently planned;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outsourcing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agreements with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obtain sufficient numbers of ATMs on a timely basis;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six to twelve months or longer. Moreover, banks evaluate a 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 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currently offer prepaid mobile airtime top-up and other prepaid services in Europe, the Middle East, Asia Pacific and North America. We plan to expand in these and other markets by taking advantage of our existing relationships with mobile phone operators, banks and retailers and by offering additional prepaid products. This expansion will depend on various factors, including the following:</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ability to negotiate new agreements, and renew existing agreements, in these markets with mobile phone operators, banks and retailers;</w:t>
      </w:r>
    </w:p>
    <w:p>
      <w:pPr>
        <w:spacing w:after="0" w:line="142" w:lineRule="exact"/>
        <w:rPr>
          <w:rFonts w:ascii="Arial" w:cs="Arial" w:eastAsia="Arial" w:hAnsi="Arial"/>
          <w:sz w:val="17"/>
          <w:szCs w:val="17"/>
          <w:b w:val="1"/>
          <w:bCs w:val="1"/>
          <w:color w:val="auto"/>
        </w:rPr>
      </w:pPr>
    </w:p>
    <w:p>
      <w:pPr>
        <w:ind w:left="660" w:right="4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acceptance and popularity of additional prepaid products such as prepaid gift and debit cards, prepaid vouchers, transport payments, lottery payments and bill payment;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increase in the number of prepaid mobile phone users;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recessionary economic environment or other outside factors could have a negative impact on mobile phone operators, retailers and our customers and could reduce the level of transactions, which could,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 In addition, the recessionary economic environment could reduce the level of transactions taking place on our networks, which will have a negative impact on our business.</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Additionally, in the Money Transfer Segment, we experience increased transaction levels during the May through October timeframe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coinciding with the increase in worker migration patterns. As a result of these seasonal variations, our quarterly operating results may fluctuate materially and could lead to volatility in the price of our shares.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 prolonged economic downturn or recession could materially impact our results from operations. A recessionary economic environment could have a negative impact on mobile phone operators,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growth and profitability of our prepaid business is dependent on certain factors that vary from market to market.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Prepaid Processing Segment derives revenues based on processing fees and commissions from mobile and other telecommunication operators and distributors of prepaid wireless products. Growth in our prepaid business in any given market is driven by a number of factors, including the extent to which conversion from scratch cards to electronic distribution solutions is occurring or has been completed, the overall pace of growth in the prepaid mobile phone market, our market share of the retail distribution capacity and the level of commission that is paid to the various intermediaries in the prepaid mobile airtime distribution chain. In mature markets, such as the U.K., Australia, Germany, New Zealand and Spain, the conversion from scratch cards to electronic forms of distribution is either complete or nearing completion. Therefore, these factors will cease to provide the organic increases in the number of transactions per terminal that we have experienced historically. Also, competition among prepaid distributors results in retailer churn and the reduction of commissions paid by mobile operators, although a portion of such reductions can be passed along to retailers. In the last year, processing fees and commissions per transaction have declined in most markets, and we expect that trend to continue. We have been able to improve our results despite that trend due to substantial growth in the number of transactions, driven by acquisitions and organic growth. We do not expect to continue this rate of growth. If we cannot continue to increase our transaction levels and per-transaction fees and commissions continue to decline, the combined impact of these factors could adversely impact our financial results.</w:t>
      </w:r>
    </w:p>
    <w:p>
      <w:pPr>
        <w:spacing w:after="0" w:line="6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prepaid mobile airtime top-up and money transfer businesses may be susceptible to fraud and/or credit risks occurring at the retailer and/or consumer level.</w:t>
      </w:r>
    </w:p>
    <w:p>
      <w:pPr>
        <w:spacing w:after="0" w:line="5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In our Prepaid Processing Segment, we contract with retailers that accept payment on our behalf, which we then transfer to a trust or other operating account for payment to mobile phone operators. In the event a retailer does not transfer to us payments that it receives for mobile airtime, whether as a result of fraud, insolvency, billing delays or otherwise, we are responsible to the mobile phone operator for the cost of the airtime credited to the customer’s mobile phone.</w:t>
      </w:r>
    </w:p>
    <w:p>
      <w:pPr>
        <w:ind w:right="300"/>
        <w:spacing w:after="0" w:line="255" w:lineRule="auto"/>
        <w:rPr>
          <w:sz w:val="20"/>
          <w:szCs w:val="20"/>
          <w:color w:val="auto"/>
        </w:rPr>
      </w:pPr>
      <w:r>
        <w:rPr>
          <w:rFonts w:ascii="Arial" w:cs="Arial" w:eastAsia="Arial" w:hAnsi="Arial"/>
          <w:sz w:val="18"/>
          <w:szCs w:val="18"/>
          <w:color w:val="auto"/>
        </w:rPr>
        <w:t>We can provide no assurance that retailer fraud or insolvency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6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mobile phone operators and retailers, our top-up business is subject to the risk of non-renewal of those contracts, or renewal under less favorable terms.</w:t>
      </w:r>
    </w:p>
    <w:p>
      <w:pPr>
        <w:spacing w:after="0" w:line="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contracts with mobile phone operators to process prepaid mobile airtime recharge services typically have terms of less than three years. Many of those contracts may be canceled by either party upon three months’ notice. Our contracts with mobile phone operators are not exclusive, so these operators may enter into top-up contracts with other service providers. In addition, our top-up service contracts with major retailers typically have terms of one to three years, and our contracts with smaller retailers typically may be canceled by either party upon three to six months’ notice. The cancellation or non-renewal of one or more of our significant mobile phone operator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1" w:name="page22"/>
    <w:bookmarkEnd w:id="21"/>
    <w:p>
      <w:pPr>
        <w:ind w:right="220"/>
        <w:spacing w:after="0" w:line="277" w:lineRule="auto"/>
        <w:rPr>
          <w:sz w:val="20"/>
          <w:szCs w:val="20"/>
          <w:color w:val="auto"/>
        </w:rPr>
      </w:pPr>
      <w:r>
        <w:rPr>
          <w:rFonts w:ascii="Arial" w:cs="Arial" w:eastAsia="Arial" w:hAnsi="Arial"/>
          <w:sz w:val="18"/>
          <w:szCs w:val="18"/>
          <w:color w:val="auto"/>
        </w:rPr>
        <w:t>operations. In addition, our contracts generally permit operators to reduce our fees at any time. Commission revenue or fee reductions by any of the mobile phone operators could also have a material adverse effect on our business, financial condition or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processes and systems we employ may be subject to patent protection by other parties.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57"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our ATM business.</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In some cases, banks may terminate their contracts prior to the expiration of their terms. We cannot assure you that we will be able to continue to sign or maintain these agreements on terms and conditions acceptable to us or whether those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4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44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fees from banks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7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increased issuance of credit and debit cards;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increased acceptance of our ATM processing and management services in our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maintenance of the level of transaction fees we receive;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installation of larger numbers of ATMs;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continued use of our ATMs by credit and debit cardholders.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that are set by the central ATM processing switch. The banks that participate in these switches set the interchange fee, and we are not in a position in any market to greatly influence these fees, which may increase or decrease over time. A significant decrease in the interchange fee in any market could adversely affect our results in that market.</w:t>
      </w:r>
    </w:p>
    <w:p>
      <w:pPr>
        <w:spacing w:after="0" w:line="8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 charge customers. If we cannot continue to increase our transaction levels and per-transaction fees generally decline, our results would be adversely affected.</w:t>
      </w:r>
    </w:p>
    <w:p>
      <w:pPr>
        <w:spacing w:after="0" w:line="6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6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toward immigration may have a negative effect on immigration in the U.S. and other countries, which could also have an adverse impact on our money transfer revenues.</w:t>
      </w:r>
    </w:p>
    <w:p>
      <w:pPr>
        <w:spacing w:after="0" w:line="5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and other regulations (both U.S. and foreign) is important to our success in achieving growth and an inability to do this could have an adverse impact on our revenues and earnings. Anti-money laundering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Future growth and profitability depend upon expansion within the markets in which we currently operate and the development of new markets for our money transfer services. Our expansion into new markets is dependent upon our ability to successfully integrate RIA into our existing operations, to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subject to regulation by the U.S. states in which we operate, by the U.S. federal government and by the governments of the other countries in which we operate. Changes in the laws, rules and regulations of these governmental entities could have a material adverse impact on our results of operations, financial condition and cash flow.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8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methods or services, may affect the demand for other services in a dramatic way. The development of any new technology that reduces the need or demand for prepaid mobile phone time could materially and adversely affect our business.</w:t>
      </w:r>
    </w:p>
    <w:p>
      <w:pPr>
        <w:spacing w:after="0" w:line="6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w:t>
      </w:r>
    </w:p>
    <w:p>
      <w:pPr>
        <w:spacing w:after="0" w:line="5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w:t>
      </w:r>
    </w:p>
    <w:p>
      <w:pPr>
        <w:spacing w:after="0" w:line="5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Athens, Budapest, Belgrade, Beijing and Mumbai processing centers. Transactions in the Prepaid Processing Segment are processed through our Basildon, Martinsried and Leawood, Kansas processing centers. Transactions in our Money Transfer Segment are processed through our Cerritos, California processing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7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ind w:right="160"/>
        <w:spacing w:after="0" w:line="259" w:lineRule="auto"/>
        <w:rPr>
          <w:sz w:val="20"/>
          <w:szCs w:val="20"/>
          <w:color w:val="auto"/>
        </w:rPr>
      </w:pPr>
      <w:r>
        <w:rPr>
          <w:rFonts w:ascii="Arial" w:cs="Arial" w:eastAsia="Arial" w:hAnsi="Arial"/>
          <w:sz w:val="18"/>
          <w:szCs w:val="18"/>
          <w:color w:val="auto"/>
        </w:rPr>
        <w:t>sophisticated technology to attempt to obtain unauthorized access to the information handled by ATM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The recent economic crisis increases the risk that criminals will attempt such data theft.</w:t>
      </w:r>
    </w:p>
    <w:p>
      <w:pPr>
        <w:spacing w:after="0" w:line="7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limitations that may leave us bearing some or all of any losses arising from security breaches.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5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are required under German law and the rules of financial transaction switching networks in all of our markets to have “sponsors” to operate ATMs and switch ATM transactions. Our failure to secure “sponsor” arrangements in Germany or any other market could prevent us from doing business in that market.</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German law, only a licensed financial institution may operate ATMs. Because we are not a licensed financial institution we are required to have a “sponsor” bank to conduct our German ATM operations.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Germany or any other market, we could be prevented from doing business in the applicable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money transfer based revenue is primarily generated through the use of our agent and correspondent networks. Transaction volumes at existing locations may increase over time and new agents provide us with additional revenue.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6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Prepaid Processing Segment and Money Transfer Segment include large, well financed companies and financial institutions larger than us with earlier entry into the market. As a result, we may lack the financial resources and access to capital needed to capture increased market share.</w:t>
      </w:r>
    </w:p>
    <w:p>
      <w:pPr>
        <w:spacing w:after="0" w:line="6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Prepaid Processing Segment</w:t>
      </w:r>
      <w:r>
        <w:rPr>
          <w:rFonts w:ascii="Arial" w:cs="Arial" w:eastAsia="Arial" w:hAnsi="Arial"/>
          <w:sz w:val="18"/>
          <w:szCs w:val="18"/>
          <w:color w:val="auto"/>
        </w:rPr>
        <w:t>— We face competition in the prepaid business in all of our markets. A few multinational companies operate in several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we therefore compete with them in a number of countries. In other markets, our competition is from smaller, local companies. Major retailers with high volumes are in a position to demand a larger share of commissions or to negotiate directly with the mobile operators, which may compress our margins.</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Money Transfer Segment</w:t>
      </w:r>
      <w:r>
        <w:rPr>
          <w:rFonts w:ascii="Arial" w:cs="Arial" w:eastAsia="Arial" w:hAnsi="Arial"/>
          <w:sz w:val="16"/>
          <w:szCs w:val="16"/>
          <w:color w:val="auto"/>
        </w:rPr>
        <w:t>— Our primary competitors in the money transfer and bill payment business include other independent processors and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6" w:name="page27"/>
    <w:bookmarkEnd w:id="26"/>
    <w:p>
      <w:pPr>
        <w:ind w:right="66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5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55"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and Asia Pacific, where the risk of continued political, economic and regulatory change that could impact our operating results is greater than in the U.S. or Western Europe.</w:t>
      </w:r>
    </w:p>
    <w:p>
      <w:pPr>
        <w:spacing w:after="0" w:line="7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have subsidiaries in Central and Eastern Europe, the Middle East and Asia Pacific. We expect to continue to expand our operations to other countries in these regions.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6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example, currently there are no limitations on the repatriation of profits from any of the countries in which we have subsidiaries (although U.S. tax laws discourage repatriation), but foreign currency exchange control restrictions, taxes or limitations may be imposed or increased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corporate, contract, property, insolvency, competition, securities and other laws and regulations in Central Europe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5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76" w:lineRule="exact"/>
        <w:rPr>
          <w:sz w:val="20"/>
          <w:szCs w:val="20"/>
          <w:color w:val="auto"/>
        </w:rPr>
      </w:pPr>
    </w:p>
    <w:p>
      <w:pPr>
        <w:jc w:val="both"/>
        <w:ind w:right="520"/>
        <w:spacing w:after="0" w:line="289" w:lineRule="auto"/>
        <w:rPr>
          <w:sz w:val="20"/>
          <w:szCs w:val="20"/>
          <w:color w:val="auto"/>
        </w:rPr>
      </w:pPr>
      <w:r>
        <w:rPr>
          <w:rFonts w:ascii="Arial" w:cs="Arial" w:eastAsia="Arial" w:hAnsi="Arial"/>
          <w:sz w:val="17"/>
          <w:szCs w:val="17"/>
          <w:b w:val="1"/>
          <w:bCs w:val="1"/>
          <w:color w:val="auto"/>
        </w:rPr>
        <w:t>As allowable under the Internal Revenue Code (the “Code”), the interest deduction from our convertible debentures is based on a comparable interest rate for a traditional, nonconvertible, fixed rate debt instrument with similar terms. This allowable deduction is in excess of the stated interest rate. This deduction may be deferred, limited or eliminated under certain conditions.</w:t>
      </w:r>
    </w:p>
    <w:p>
      <w:pPr>
        <w:spacing w:after="0" w:line="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U.S Treasury regulations contain an anti-abuse regulation, set forth in Section 1.1275-2(g), that grants the Commissioner of the Internal Revenue Service authority to depart from the regulations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our convertible debentures and ultimately sustained, our deductions attributable to the convertible debentures could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7" w:name="page28"/>
    <w:bookmarkEnd w:id="27"/>
    <w:p>
      <w:pPr>
        <w:ind w:right="40"/>
        <w:spacing w:after="0" w:line="259" w:lineRule="auto"/>
        <w:rPr>
          <w:sz w:val="20"/>
          <w:szCs w:val="20"/>
          <w:color w:val="auto"/>
        </w:rPr>
      </w:pPr>
      <w:r>
        <w:rPr>
          <w:rFonts w:ascii="Arial" w:cs="Arial" w:eastAsia="Arial" w:hAnsi="Arial"/>
          <w:sz w:val="18"/>
          <w:szCs w:val="18"/>
          <w:color w:val="auto"/>
        </w:rPr>
        <w:t>limited to the stated interest thereon. The scope of application of the anti-abuse regulations is unclear. However, we are of the view that application of the contingent payment debt instrument regulations to our convertible debentures is a reasonable result such that the anti-abuse regulation should not apply. If a contrary position was asserted and ultimately sustained, our tax deductions would be severely diminished with a resulting adverse effect on our cash flow and ability to service the convertible debentures.</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Under the Code, no deduction is allowed for interest expense in excess of $5 million on convertible subordinated indebtedness incurred to acquire stock or assets of another corporation reduced by any interest paid on other obligations which have provided consideration for an acquisition of stock in another corporation. If a significant portion of the proceeds from the issuance of the convertible debentures, either alone or together with other debt proceeds, was used for a domestic acquisition and the convertible debentures and other debt, if any, were deemed to be corporate acquisition indebtedness as defined in Section 279 of the Code, interest deductions for tax purposes in excess of $5 million on such debt reduced by any interest paid on other obligations which have provided consideration for an acquisition of stock in another corporation would be disallowed. This would adversely impact our cash flow and our ability to pay down the convertible debentures. We previously applied a significant portion of the proceeds from our December 2004 issuance of 1.625% Convertible Senior Debentures Due 2024 to acquisitions of foreign corporations. In prior years, the interest expense attributable to these acquisitions exhausted all of the $5 million annual interest expense deduction permitted under the Code for certain convertible subordinated debt incurred for corporation acquisitions. In 2009, the repurchase of the 1.625% Convertible Senior Debentures Due 2024 significantly reduced interest expense for federal income tax purposes and, consequently, a larger portion of the annual interest expense subject to limitation was able to be deducted. Although the portion of interest expense able to be deducted increased, significant interest deductions would be disallowed with respect to our October 2005 3.5% Convertible Debentures Due 2025 if Section 279 of the Code applied. We do not currently anticipate that this limitation will apply but there can be no assurance of that fact.</w:t>
      </w:r>
    </w:p>
    <w:p>
      <w:pPr>
        <w:spacing w:after="0" w:line="6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past, the U.S. Senate has drafted proposed tax relief legislation that contained a provision that would eliminate the comparable interest rate deduction on future issuances of convertible debentures such as ours. Legislation containing this provision has not been passed, however, we cannot predict if there will be future tax legislation proposed and approved that would eliminate the comparable interest rate deduction.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recent economic downturn,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7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as well as complying with local legal and regulatory requirements. Because we operate financial transaction processing networks that offer new products and services to customers, the laws and regulations in the markets in which we operate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8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However, a significant amount of our cash outflows, including the acquisition of ATMs, executive salaries, certain long-term contracts and a significant portion of our debt obligations, are made in U.S. dollars, while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Moreover, exchange rate policies have not always allowed for the free conversion of currencies at the market rate. Future fluctuations in the value of the U.S. dollar could have an adverse effect on our results.</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right="20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58"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46" w:lineRule="exact"/>
        <w:rPr>
          <w:sz w:val="20"/>
          <w:szCs w:val="20"/>
          <w:color w:val="auto"/>
        </w:rPr>
      </w:pPr>
    </w:p>
    <w:p>
      <w:pPr>
        <w:ind w:left="660" w:right="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30"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non-cumulative voting for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control by our board of directors of the size of our board of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limitations on the ability of stockholders to call special meetings of stockholders; and</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also approved a stockholders’ rights agreement (the “Rights Agreement”) between Euronet and EquiServe Trust Company, N.A., (subsequently renamed Computershare Limited) as Rights Agent. Pursuant to the Rights Agreement, holders of our common stock are entitled to purchase one one-thousandth (1/1,000) of a share (a “Unit”) of Junior Preferred Stock at a price of $57.00 per Unit upon certain events. The purchase price is subject to appropriate adjustment for stock splits and other similar events. Generally, in the event a person or entity acquires, or initiates a tender offer to acquire, at least 15% of Euronet’s then-outstanding common stock, the Rights will become exercisable for common stock having a value equal to two times the exercise price of the Right, or effectively at one-half of Euronet’s then-current stock price. The existence of the Rights Plan may discourage, delay or prevent a change of control or takeover attempt of our company by a third party that is opposed to by our management and board of directors.</w:t>
      </w:r>
    </w:p>
    <w:p>
      <w:pPr>
        <w:spacing w:after="0" w:line="55"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Our directors and officers, together with the entities with which they are associated, owned approximately 9% of our Common Stock as of December 31, 2009, giving them significant control over decisions related to our Company.</w:t>
      </w:r>
    </w:p>
    <w:p>
      <w:pPr>
        <w:spacing w:after="0" w:line="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control includes the ability to influence the election of other directors of our Company and to cast a large block of votes with respect to virtually all matters submitted to a vote of our stockholders. This concentration of control may have the effect of delaying or preventing transactions or a potential change of control of our Company.</w:t>
      </w:r>
    </w:p>
    <w:p>
      <w:pPr>
        <w:spacing w:after="0" w:line="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8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An additional 9.8 million shares of Common Stock, representing 19% of the shares outstanding as of December 31, 2009,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2009, we had an aggregate of 5.4 million options and restricted stock awards outstanding held by our directors, officers and employees, which entitles these holders to acquire an equal number of shares of our Common Stock upon exercise.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ind w:right="40"/>
        <w:spacing w:after="0" w:line="264" w:lineRule="auto"/>
        <w:rPr>
          <w:sz w:val="20"/>
          <w:szCs w:val="20"/>
          <w:color w:val="auto"/>
        </w:rPr>
      </w:pPr>
      <w:r>
        <w:rPr>
          <w:rFonts w:ascii="Arial" w:cs="Arial" w:eastAsia="Arial" w:hAnsi="Arial"/>
          <w:sz w:val="18"/>
          <w:szCs w:val="18"/>
          <w:color w:val="auto"/>
        </w:rPr>
        <w:t>this amount, 1.3 million options are vested and exercisable as of December 31, 2009. Approximately 0.1 million additional shares of our Common Stock may be issued in connection with our employee stock purchase plan. Another 4.3 million shares of Common Stock could be issued upon conversion of the Company’s Convertible Debentures issued in October 2005.</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Accordingly, based on current trading prices of our Common Stock, approximately 9.8 million shares could potentially be added to our total current Common Stock outstanding through the exercise of options or the issuance of additional shares, which could adversely impact the trading price for our stock. The actual number of shares issuable could be higher depending upon our stock price at the time of payment (i.e., more shares could be issuable if our share price declines).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5.4 million total options and restricted stock awards outstanding, an aggregate of 2.6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executive offices are located in Leawood, Kansas. As of December 31, 2009, we also maintain principal operational offices in Little Rock, Arkansas; Leawood, Kansas; Cerritos, California; San Juan, Puerto Rico; Budapest, Hungary; Warsaw, Poland; Zagreb, Croatia; Prague, Czech Republic; Berlin and Martinsried, Germany; Bucharest, Romania; Bratislava, Slovakia; Athens, Greece; Madrid, Spain; Belgrade, Serbia; Sofia, Bulgaria; Basildon and London, U.K.; Kiev, Ukraine; Rome and Milan, Italy; Paris, France; Geneva, Switzerland; Stockholm, Sweden; Brussels, Belgium; Dublin, Ireland; Cairo, Egypt; Mumbai and Pune, India; Sydney and Liverpool, Australia; Auckland, New Zealand; Beijing, China; Montreal, Canada; Antiguo Cuscatlan, El Salvador; and Mexico City, Mexico. Our office leases generally provide for initial terms ranging from two to twelve years.</w:t>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Belgrade, Serbia; Athens, Greece; Beijing, China; and Mumbai, India. Our processing centers for the Prepaid Processing Segment are located in Basildon, U.K.; Martinsried, Germany; and Leawood, Kansas. Our processing center for the Money Transfer Segment is located in Cerritos, California.</w:t>
      </w:r>
    </w:p>
    <w:p>
      <w:pPr>
        <w:spacing w:after="0" w:line="7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Our processing centers in Budapest, Belgrade, Athens, Beijing, Mumbai, Basildon, Martinsried, Leawood and Cerritos have off-site real time backup processing centers that are capable of providing full or partial processing capability in the event of failure of the primary processing centers.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discussion in Part II, Item 8 — Financial Statements and Supplementary Data and Note 22, Litigation and Contingencies, to the Consolidated Financial Statements included elsewhere in this report, regarding litigation is incorporated herein by reference.</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80" w:right="460" w:hanging="76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 for our Common Stock for the quarters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quarters ended</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$25.30</w:t>
            </w: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84"/>
              </w:rPr>
              <w:t>20.71</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$16.68</w:t>
            </w: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$25.09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17.73</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$20.36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$20.43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12.59</w:t>
            </w:r>
          </w:p>
        </w:tc>
        <w:tc>
          <w:tcPr>
            <w:tcW w:w="15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16.28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$13.65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7.57</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$30.57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19.07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 without lender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we had 84 stockholders of record of our Common Stock, and none of our Preferred Stock was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2009, we did not issue any equity securities that were not registered under the Securities Act of 1933, which have not been previously reported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Set forth below is a graph comparing the total cumulative return on the Common Stock from December 31, 2004 through December 31, 2009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2004.</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929640</wp:posOffset>
            </wp:positionH>
            <wp:positionV relativeFrom="page">
              <wp:posOffset>603250</wp:posOffset>
            </wp:positionV>
            <wp:extent cx="5711190" cy="2821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711190"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NOTE: Derived from CRSP NASDAQ Stock Market, Center for Research in Security Prices (CRSP</w:t>
      </w:r>
      <w:r>
        <w:rPr>
          <w:rFonts w:ascii="Arial" w:cs="Arial" w:eastAsia="Arial" w:hAnsi="Arial"/>
          <w:sz w:val="15"/>
          <w:szCs w:val="15"/>
          <w:color w:val="auto"/>
        </w:rPr>
        <w:t>®</w:t>
      </w:r>
      <w:r>
        <w:rPr>
          <w:rFonts w:ascii="Arial" w:cs="Arial" w:eastAsia="Arial" w:hAnsi="Arial"/>
          <w:sz w:val="18"/>
          <w:szCs w:val="18"/>
          <w:color w:val="auto"/>
        </w:rPr>
        <w:t>), Booth School of Business, The University of Chicago. Used with permission. All rights reserved. Graph copyright 2010 Zacks Investment Research,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78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 average</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780" w:type="dxa"/>
            <w:vAlign w:val="bottom"/>
            <w:gridSpan w:val="3"/>
            <w:vMerge w:val="continue"/>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7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40" w:type="dxa"/>
            <w:vAlign w:val="bottom"/>
          </w:tcPr>
          <w:p>
            <w:pPr>
              <w:spacing w:after="0"/>
              <w:rPr>
                <w:sz w:val="12"/>
                <w:szCs w:val="12"/>
                <w:color w:val="auto"/>
              </w:rPr>
            </w:pPr>
          </w:p>
        </w:tc>
        <w:tc>
          <w:tcPr>
            <w:tcW w:w="22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 and rights</w:t>
            </w:r>
          </w:p>
        </w:tc>
        <w:tc>
          <w:tcPr>
            <w:tcW w:w="17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options and rights</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(b)</w:t>
            </w: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3,934,549</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13.76</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 awards</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1,295,179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5,229,728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4,068,228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40" w:type="dxa"/>
            <w:vAlign w:val="bottom"/>
            <w:vMerge w:val="restart"/>
          </w:tcPr>
          <w:p>
            <w:pPr>
              <w:jc w:val="right"/>
              <w:ind w:right="35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18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color w:val="auto"/>
              </w:rPr>
              <w:t>(dollar amounts in thousands, except as noted)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statements of operations data:</w:t>
            </w: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1,032,694</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1,045,665</w:t>
            </w:r>
          </w:p>
        </w:tc>
        <w:tc>
          <w:tcPr>
            <w:tcW w:w="140" w:type="dxa"/>
            <w:vAlign w:val="bottom"/>
          </w:tcPr>
          <w:p>
            <w:pPr>
              <w:spacing w:after="0"/>
              <w:rPr>
                <w:sz w:val="18"/>
                <w:szCs w:val="18"/>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902,666</w:t>
            </w:r>
          </w:p>
        </w:tc>
        <w:tc>
          <w:tcPr>
            <w:tcW w:w="4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615,376</w:t>
            </w:r>
          </w:p>
        </w:tc>
        <w:tc>
          <w:tcPr>
            <w:tcW w:w="32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 (1)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904,406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1,138,435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56,251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46,997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28,590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 (1)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(149,021)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76,234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Other expenses,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(17,026)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(52,896)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(6,277)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w w:val="91"/>
              </w:rPr>
              <w:t>Income (loss) from continuing operations before</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57,173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(200,667)</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70,865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50,160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(15,676)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(193,330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Earnings (loss) per share from continuing</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0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0.59</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0.77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0.90</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0.58</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0.87</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1,412,679</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1,405,644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1,850,449</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1,107,674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Debt obligations, long-term portion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320,283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294,355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491,923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289,795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long-term portion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Summary network data:</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Number of operational ATMs at end of period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200"/>
              <w:spacing w:after="0" w:line="201" w:lineRule="exact"/>
              <w:rPr>
                <w:sz w:val="20"/>
                <w:szCs w:val="20"/>
                <w:color w:val="auto"/>
              </w:rPr>
            </w:pPr>
            <w:r>
              <w:rPr>
                <w:rFonts w:ascii="Arial" w:cs="Arial" w:eastAsia="Arial" w:hAnsi="Arial"/>
                <w:sz w:val="18"/>
                <w:szCs w:val="18"/>
                <w:color w:val="auto"/>
                <w:w w:val="95"/>
              </w:rPr>
              <w:t>EFT processing transactions during the period</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703.0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672.2</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582.5</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Number of operational prepaid processing POS</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terminals at end of period (rounded)</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498,000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396,000</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200"/>
              <w:spacing w:after="0" w:line="201" w:lineRule="exact"/>
              <w:rPr>
                <w:sz w:val="20"/>
                <w:szCs w:val="20"/>
                <w:color w:val="auto"/>
              </w:rPr>
            </w:pPr>
            <w:r>
              <w:rPr>
                <w:rFonts w:ascii="Arial" w:cs="Arial" w:eastAsia="Arial" w:hAnsi="Arial"/>
                <w:sz w:val="18"/>
                <w:szCs w:val="18"/>
                <w:color w:val="auto"/>
              </w:rPr>
              <w:t>Prepaid processing transactions during the</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400"/>
              <w:spacing w:after="0"/>
              <w:rPr>
                <w:sz w:val="20"/>
                <w:szCs w:val="20"/>
                <w:color w:val="auto"/>
              </w:rPr>
            </w:pPr>
            <w:r>
              <w:rPr>
                <w:rFonts w:ascii="Arial" w:cs="Arial" w:eastAsia="Arial" w:hAnsi="Arial"/>
                <w:sz w:val="18"/>
                <w:szCs w:val="18"/>
                <w:color w:val="auto"/>
              </w:rPr>
              <w:t>period (millions)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777.1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634.8</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Money transfer transactions during the period</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90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results of 2009 and 2008 include non-cash charges related to impairment of goodwill and acquired intangible assets of $9.9 million and $220.1 million, respectively. The results for 2007 include a benefit of $12.2 million for a federal excise tax refund.</w:t>
      </w:r>
    </w:p>
    <w:p>
      <w:pPr>
        <w:spacing w:after="0" w:line="3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Note: We believe that the period-to-period comparisons of our financial results are not necessarily meaningful due to certain significant transactions, including numerous acquisitions (See Note 6, Acquisitions, to the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3" w:name="page34"/>
    <w:bookmarkEnd w:id="33"/>
    <w:p>
      <w:pPr>
        <w:ind w:right="14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COMPANY OVERVIEW, GEOGRAPHIC LOCATIONS AND PRINCIPAL PRODUCTS AND SERVICES</w:t>
      </w:r>
    </w:p>
    <w:p>
      <w:pPr>
        <w:ind w:right="40"/>
        <w:spacing w:after="0" w:line="257" w:lineRule="auto"/>
        <w:rPr>
          <w:sz w:val="20"/>
          <w:szCs w:val="20"/>
          <w:color w:val="auto"/>
        </w:rPr>
      </w:pPr>
      <w:r>
        <w:rPr>
          <w:rFonts w:ascii="Arial" w:cs="Arial" w:eastAsia="Arial" w:hAnsi="Arial"/>
          <w:sz w:val="18"/>
          <w:szCs w:val="18"/>
          <w:color w:val="auto"/>
        </w:rPr>
        <w:t>Euronet Worldwide, Inc. (“Euronet,” the “Company,” “we” or “us”) is a leading global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prepaid products, and global consumer money transfer services. As of December 31, 2009, we operate in the following three principal business segments:</w:t>
      </w:r>
    </w:p>
    <w:p>
      <w:pPr>
        <w:spacing w:after="0" w:line="80" w:lineRule="exact"/>
        <w:rPr>
          <w:sz w:val="20"/>
          <w:szCs w:val="20"/>
          <w:color w:val="auto"/>
        </w:rPr>
      </w:pPr>
    </w:p>
    <w:p>
      <w:pPr>
        <w:ind w:left="660" w:right="220" w:hanging="436"/>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EFT Processing Segment, which processes transactions for a network of 9,720 ATMs and approximately 53,000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(“EFT”) software solutions for electronic payment and transaction delivery systems.</w:t>
      </w:r>
    </w:p>
    <w:p>
      <w:pPr>
        <w:spacing w:after="0" w:line="93" w:lineRule="exact"/>
        <w:rPr>
          <w:rFonts w:ascii="Arial" w:cs="Arial" w:eastAsia="Arial" w:hAnsi="Arial"/>
          <w:sz w:val="18"/>
          <w:szCs w:val="18"/>
          <w:b w:val="1"/>
          <w:bCs w:val="1"/>
          <w:color w:val="auto"/>
        </w:rPr>
      </w:pPr>
    </w:p>
    <w:p>
      <w:pPr>
        <w:ind w:left="660" w:right="160" w:hanging="436"/>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electronic distribution of prepaid mobile airtime and other prepaid products and collection services for various prepaid products, cards and services. Including terminals operated by unconsolidated subsidiaries, we operate a network of approximately 498,000 POS terminals providing electronic processing of prepaid mobile airtime top-up services in Europe, the Middle East, Asia Pacific and North America.</w:t>
      </w:r>
    </w:p>
    <w:p>
      <w:pPr>
        <w:spacing w:after="0" w:line="92" w:lineRule="exact"/>
        <w:rPr>
          <w:rFonts w:ascii="Arial" w:cs="Arial" w:eastAsia="Arial" w:hAnsi="Arial"/>
          <w:sz w:val="18"/>
          <w:szCs w:val="18"/>
          <w:b w:val="1"/>
          <w:bCs w:val="1"/>
          <w:color w:val="auto"/>
        </w:rPr>
      </w:pPr>
    </w:p>
    <w:p>
      <w:pPr>
        <w:ind w:left="660" w:right="320" w:hanging="436"/>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Money Transfer Segment, which provides global consumer-to-consumer money transfer services through a sending network of agents and Company-owned stores primarily in North America and Europe, disbursing money transfers through a worldwide payer network. The Money Transfer Segment originates and terminates transactions through a network of approximately 82,200 locations, which include sending agents and Company-owned stores, and an extensive payer network in more than 100 countries.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five processing centers in Europe, two in Asia Pacific and two in North America. We have 25 principal offices in Europe, one in the Middle East, six in Asia Pacific, and seven in North America. Our executive offices are located in Leawood, Kansas, USA. With approximately 76% of our revenues denominated in currencies other than the U.S. dollar, any significant changes in currency exchange rates will likely have a significant impact on our growth in revenues, operating income and diluted earnings per share (for more discussion, see Item 1A — Risk Factors and Item 7A - Quantitative and Qualitative Disclosures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represented approximately 19% of total consolidated revenue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2009, is derived from fees charged for transactions effected by cardholders on our proprietary network of ATMs, as well as fixed management fees and transaction fees we charge to banks for operating ATMs and processing debit and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 in this segment is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represented approximately 58% of total consolidated revenue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2009, is primarily derived from commissions or processing fees received from telecommunications service providers for the sale and distribution of prepaid mobile airtime. We also generate revenue from commissions earned from the distribution of other prepaid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ind w:right="20"/>
        <w:spacing w:after="0" w:line="302" w:lineRule="auto"/>
        <w:rPr>
          <w:sz w:val="20"/>
          <w:szCs w:val="20"/>
          <w:color w:val="auto"/>
        </w:rPr>
      </w:pPr>
      <w:r>
        <w:rPr>
          <w:rFonts w:ascii="Arial" w:cs="Arial" w:eastAsia="Arial" w:hAnsi="Arial"/>
          <w:sz w:val="16"/>
          <w:szCs w:val="16"/>
          <w:color w:val="auto"/>
        </w:rPr>
        <w:t>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prepaid vouchers, transport payments, lottery payments, bill payment, money transfer and prepaid content such as music and games.</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 in the Money Transfer Segment, which represents approximately 23% of total consolidated revenue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2009, is primarily derived by charging a transaction fee, and retaining the difference between purchasing foreign currency at wholesale exchange rates and selling the foreign currency to consumers at retail exchange rates. We have an origination network in place comprised of agents and Company-owned stores primarily in North America and Europe 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signing new outsourced ATM and POS terminal management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increasing transactions processed on our network of owned and operated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expansion of our prepaid processing network;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expansion of our money transfer and bill payment network;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maintain pricing and interchange fees at current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approximately six to twelve months or longer.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contribute the right to use our software in lieu of cash as our initial capital contributions to new transaction processing joint ventures. Such contributions sometimes permit us to enter new markets without significant capital investment.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entered the cross-border merchant processing and acquiring business and, since the beginning of 2007, we have devoted significant resources to the development of the necessary processing systems and capabilities for this business, which involves the purchase and design of hardware and software. Merchant acquiring involves processing credit and debit card transactions that are made on POS terminals, including authorization, settlement, and processing of settlement files. It generally involves the assumption of credit risk, as the principal amount of transactions is usually settled to merchants before settlements are received from card associations.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58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right="58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content providers, agent financial institutions and retailers;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content providers and retailers to our advantage;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continued use of third-party providers such as ourselves to supply electronic processing solutions for prepaid content;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successfully brand our retail locations;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mature markets, such as the U.K., Australia, Germany, New Zealand and Spain, the conversion from scratch cards to electronic forms of distribution is either complete or nearing completion. Because of this factor, we are not likely to experience the organic increases in the number of transactions per terminal that we have experienced historically. Also in mature markets, competition among prepaid distributors results in the increase of commissions paid to retailers and increases in retailer attrition rates. The combined impact of these factors in developed markets is a flattening of growth in the revenues and profits that we earn. In other markets in which we operate, such as Poland, Germany and the U.S., many of the factors that may contribute to rapid growth (conversion from scratch cards to electronic distribution, growth in the prepaid market, expansion of our network of retailers and access to all mobile operators’ products) remain present.</w:t>
      </w:r>
    </w:p>
    <w:p>
      <w:pPr>
        <w:spacing w:after="0" w:line="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the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Like other participants in the money transfer industry, as a result of downturns in certain labor markets, the current recessionary economic environment and immigration developments, the number of money transfers from the U.S. to Mexico decreased in 2009 and 2008 compared to respective prior years. We cannot predict how long these issues will continue to affect the U.S. market or whether other markets will experience similar issues.</w:t>
      </w:r>
    </w:p>
    <w:p>
      <w:pPr>
        <w:spacing w:after="0" w:line="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These services are not directly identifiable with our business segments.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910" w:gutter="0" w:footer="0" w:header="0"/>
        </w:sectPr>
      </w:pPr>
    </w:p>
    <w:bookmarkStart w:id="36" w:name="page37"/>
    <w:bookmarkEnd w:id="36"/>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rapid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(LOSS) FOR THE YEARS ENDED DECEMBER 31, 2009, 2008 AND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Operating Income (Loss)</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197,740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205,257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174,049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48,190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38,306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1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602,075</w:t>
            </w:r>
          </w:p>
        </w:tc>
        <w:tc>
          <w:tcPr>
            <w:tcW w:w="1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609,106</w:t>
            </w: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569,858</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49,446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(4,659)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232,879</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231,302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158,759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(157,150)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1,032,694</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1,045,665</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902,666</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97,282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(123,503)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(25,017)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6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1,032,694</w:t>
            </w:r>
          </w:p>
        </w:tc>
        <w:tc>
          <w:tcPr>
            <w:tcW w:w="6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1,045,665</w:t>
            </w:r>
          </w:p>
        </w:tc>
        <w:tc>
          <w:tcPr>
            <w:tcW w:w="6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902,666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72,265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(149,021)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76,234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annual consolidated revenues decreased by 1% for 2009 compared to 2008 and increased by 16% for 2008 over 2007. The 2009 decrease was largely the result of the impact of a stronger U.S. dollar, partly offset by growth in our business resulting from increases in transactions processed. The 2008 increase is primarily due to the acquisition of RIA Envia in April 2007 along with increases in transactions processed. For further discussion regarding acquisitions, see Note 6, Acquisitions, to the Consolidated Financial Statements.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operating income for 2009 and 2008 includes non-cash goodwill and intangible asset impairment charges of $9.9 million and $220.1 million, respectively, as discussed in Note 10, Goodwill and Acquired Intangible Assets, Net, to the Consolidated Financial Statements. The results for 2007 include an increase in operating income of $12.2 million for a federal excise tax refund discussed in Note 23, Federal Excise Tax Refund, to the Consolidated Financial Statements. Excluding the goodwill and intangible assets impairment charges in 2009 and 2008 and the federal excise tax refund in 2007, our operating income increased 16% for 2009 over 2008 and 11% for 2008 over 2007. These increases were primarily the result of growth in transaction volumes and related revenues.</w:t>
      </w:r>
    </w:p>
    <w:p>
      <w:pPr>
        <w:spacing w:after="0" w:line="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Net income attributable to Euronet Worldwide, Inc. for 2009 was $30.3 million, or $0.59 per diluted share, compared to net loss attributable to Euronet Worldwide, Inc. for 2008 of $193.5 million, or $3.93 per diluted share, and net income attributable to Euronet Worldwide, Inc. of $35.8 million, or $0.76 per diluted share for 2007. In addition to the explanations above, net loss for 2008 included an $18.8 million impairment loss on investment securities and a foreign currency exchange translation loss of $9.8 million, while net income for 2009 and 2007 included foreign currency exchange translation gains of $3.9 million and $15.5 million, respectively. Net income (loss) attributable to Euronet Worldwide, Inc. for 2009, 2008 and 2007 includes gain (loss) from discontinued operations of $0.5 million, $(1.1) million and $1.0 million, respectively, or $0.01, $(0.02) and $0.02 per diluted share,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2007 and through mid-2008, the U.S. dollar weakened compared to most of the currencies of the countries in which we operate. In the second half of 2008 and through the first half of 2009, the U.S. dollar strengthened before weakening again in the second half of 2009. These fluctuations in currency exchange rates resulted in the U.S. dollar being, on average, stronger in 2009 than in 2008 and weaker in 2008 than in 2007. Because our revenues and local expenses are recorded in the functional currencies of our operating entities, amounts we earned for 2009 were negatively impacted by the stronger U.S. dollar, while amounts we earned for 2008 and 2007 were positively impacted by the weaker U.S. dollar. Because of changes in foreign currency exchanges rates, we estimate that our 2009 operating income was diminished by approximately 14% compared to 2008, while 2008 operating income benefited by approximately 5% when compared to 2007. While the impact of the stronger U.S. dollar generally hampered results in each segment in 2009, the benefit for 2008 was mainly concentrated in the EFT Processing Segment, largely due to the impact of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140"/>
        <w:spacing w:after="0" w:line="342" w:lineRule="auto"/>
        <w:rPr>
          <w:sz w:val="20"/>
          <w:szCs w:val="20"/>
          <w:color w:val="auto"/>
        </w:rPr>
      </w:pPr>
      <w:r>
        <w:rPr>
          <w:rFonts w:ascii="Arial" w:cs="Arial" w:eastAsia="Arial" w:hAnsi="Arial"/>
          <w:sz w:val="16"/>
          <w:szCs w:val="16"/>
          <w:color w:val="auto"/>
        </w:rPr>
        <w:t>changes in exchange rates of the Polish zloty. To provide further perspective on the impact of foreign currency exchange rates, the following table shows the changes in values for 2009 and 2008, relative to the U.S. dollar, of the currencies of the countries in which we have our most significant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Average Translation Rate</w:t>
            </w:r>
          </w:p>
        </w:tc>
        <w:tc>
          <w:tcPr>
            <w:tcW w:w="12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vMerge w:val="restart"/>
          </w:tcPr>
          <w:p>
            <w:pPr>
              <w:jc w:val="center"/>
              <w:ind w:left="373"/>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60" w:type="dxa"/>
            <w:vAlign w:val="bottom"/>
          </w:tcPr>
          <w:p>
            <w:pPr>
              <w:spacing w:after="0"/>
              <w:rPr>
                <w:sz w:val="10"/>
                <w:szCs w:val="10"/>
                <w:color w:val="auto"/>
              </w:rPr>
            </w:pP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Year Ended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340" w:type="dxa"/>
            <w:vAlign w:val="bottom"/>
            <w:gridSpan w:val="2"/>
            <w:vMerge w:val="restart"/>
          </w:tcPr>
          <w:p>
            <w:pPr>
              <w:jc w:val="center"/>
              <w:ind w:left="373"/>
              <w:spacing w:after="0"/>
              <w:rPr>
                <w:sz w:val="20"/>
                <w:szCs w:val="20"/>
                <w:color w:val="auto"/>
              </w:rPr>
            </w:pPr>
            <w:r>
              <w:rPr>
                <w:rFonts w:ascii="Arial" w:cs="Arial" w:eastAsia="Arial" w:hAnsi="Arial"/>
                <w:sz w:val="14"/>
                <w:szCs w:val="14"/>
                <w:b w:val="1"/>
                <w:bCs w:val="1"/>
                <w:color w:val="auto"/>
                <w:w w:val="89"/>
              </w:rPr>
              <w:t>2009</w:t>
            </w: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Currency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680" w:type="dxa"/>
            <w:vAlign w:val="bottom"/>
            <w:gridSpan w:val="2"/>
          </w:tcPr>
          <w:p>
            <w:pPr>
              <w:jc w:val="center"/>
              <w:ind w:left="375"/>
              <w:spacing w:after="0"/>
              <w:rPr>
                <w:sz w:val="20"/>
                <w:szCs w:val="20"/>
                <w:color w:val="auto"/>
              </w:rPr>
            </w:pPr>
            <w:r>
              <w:rPr>
                <w:rFonts w:ascii="Arial" w:cs="Arial" w:eastAsia="Arial" w:hAnsi="Arial"/>
                <w:sz w:val="14"/>
                <w:szCs w:val="14"/>
                <w:b w:val="1"/>
                <w:bCs w:val="1"/>
                <w:color w:val="auto"/>
                <w:w w:val="96"/>
              </w:rPr>
              <w:t>2008</w:t>
            </w:r>
          </w:p>
        </w:tc>
        <w:tc>
          <w:tcPr>
            <w:tcW w:w="4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4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$0.7922</w:t>
            </w:r>
          </w:p>
        </w:tc>
        <w:tc>
          <w:tcPr>
            <w:tcW w:w="4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$0.8519</w:t>
            </w:r>
          </w:p>
        </w:tc>
        <w:tc>
          <w:tcPr>
            <w:tcW w:w="4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$0.8380</w:t>
            </w:r>
          </w:p>
        </w:tc>
        <w:tc>
          <w:tcPr>
            <w:tcW w:w="4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British pound</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1.5660</w:t>
            </w:r>
          </w:p>
        </w:tc>
        <w:tc>
          <w:tcPr>
            <w:tcW w:w="1680" w:type="dxa"/>
            <w:vAlign w:val="bottom"/>
            <w:gridSpan w:val="2"/>
          </w:tcPr>
          <w:p>
            <w:pPr>
              <w:jc w:val="right"/>
              <w:ind w:right="282"/>
              <w:spacing w:after="0"/>
              <w:rPr>
                <w:sz w:val="20"/>
                <w:szCs w:val="20"/>
                <w:color w:val="auto"/>
              </w:rPr>
            </w:pPr>
            <w:r>
              <w:rPr>
                <w:rFonts w:ascii="Arial" w:cs="Arial" w:eastAsia="Arial" w:hAnsi="Arial"/>
                <w:sz w:val="18"/>
                <w:szCs w:val="18"/>
                <w:color w:val="auto"/>
              </w:rPr>
              <w:t>1.8528</w:t>
            </w:r>
          </w:p>
        </w:tc>
        <w:tc>
          <w:tcPr>
            <w:tcW w:w="460" w:type="dxa"/>
            <w:vAlign w:val="bottom"/>
          </w:tcPr>
          <w:p>
            <w:pPr>
              <w:spacing w:after="0"/>
              <w:rPr>
                <w:sz w:val="18"/>
                <w:szCs w:val="18"/>
                <w:color w:val="auto"/>
              </w:rPr>
            </w:pPr>
          </w:p>
        </w:tc>
        <w:tc>
          <w:tcPr>
            <w:tcW w:w="1240" w:type="dxa"/>
            <w:vAlign w:val="bottom"/>
          </w:tcPr>
          <w:p>
            <w:pPr>
              <w:jc w:val="right"/>
              <w:ind w:right="296"/>
              <w:spacing w:after="0"/>
              <w:rPr>
                <w:sz w:val="20"/>
                <w:szCs w:val="20"/>
                <w:color w:val="auto"/>
              </w:rPr>
            </w:pPr>
            <w:r>
              <w:rPr>
                <w:rFonts w:ascii="Arial" w:cs="Arial" w:eastAsia="Arial" w:hAnsi="Arial"/>
                <w:sz w:val="18"/>
                <w:szCs w:val="18"/>
                <w:color w:val="auto"/>
              </w:rPr>
              <w:t>2.0006</w:t>
            </w:r>
          </w:p>
        </w:tc>
        <w:tc>
          <w:tcPr>
            <w:tcW w:w="1340" w:type="dxa"/>
            <w:vAlign w:val="bottom"/>
            <w:gridSpan w:val="2"/>
          </w:tcPr>
          <w:p>
            <w:pPr>
              <w:jc w:val="right"/>
              <w:ind w:right="42"/>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1.3938</w:t>
            </w:r>
          </w:p>
        </w:tc>
        <w:tc>
          <w:tcPr>
            <w:tcW w:w="16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1.4707</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1.3699</w:t>
            </w:r>
          </w:p>
        </w:tc>
        <w:tc>
          <w:tcPr>
            <w:tcW w:w="13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Hungarian forint</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0.0050</w:t>
            </w:r>
          </w:p>
        </w:tc>
        <w:tc>
          <w:tcPr>
            <w:tcW w:w="1680" w:type="dxa"/>
            <w:vAlign w:val="bottom"/>
            <w:gridSpan w:val="2"/>
          </w:tcPr>
          <w:p>
            <w:pPr>
              <w:jc w:val="right"/>
              <w:ind w:right="282"/>
              <w:spacing w:after="0"/>
              <w:rPr>
                <w:sz w:val="20"/>
                <w:szCs w:val="20"/>
                <w:color w:val="auto"/>
              </w:rPr>
            </w:pPr>
            <w:r>
              <w:rPr>
                <w:rFonts w:ascii="Arial" w:cs="Arial" w:eastAsia="Arial" w:hAnsi="Arial"/>
                <w:sz w:val="18"/>
                <w:szCs w:val="18"/>
                <w:color w:val="auto"/>
              </w:rPr>
              <w:t>0.0059</w:t>
            </w:r>
          </w:p>
        </w:tc>
        <w:tc>
          <w:tcPr>
            <w:tcW w:w="460" w:type="dxa"/>
            <w:vAlign w:val="bottom"/>
          </w:tcPr>
          <w:p>
            <w:pPr>
              <w:spacing w:after="0"/>
              <w:rPr>
                <w:sz w:val="18"/>
                <w:szCs w:val="18"/>
                <w:color w:val="auto"/>
              </w:rPr>
            </w:pPr>
          </w:p>
        </w:tc>
        <w:tc>
          <w:tcPr>
            <w:tcW w:w="1240" w:type="dxa"/>
            <w:vAlign w:val="bottom"/>
          </w:tcPr>
          <w:p>
            <w:pPr>
              <w:jc w:val="right"/>
              <w:ind w:right="296"/>
              <w:spacing w:after="0"/>
              <w:rPr>
                <w:sz w:val="20"/>
                <w:szCs w:val="20"/>
                <w:color w:val="auto"/>
              </w:rPr>
            </w:pPr>
            <w:r>
              <w:rPr>
                <w:rFonts w:ascii="Arial" w:cs="Arial" w:eastAsia="Arial" w:hAnsi="Arial"/>
                <w:sz w:val="18"/>
                <w:szCs w:val="18"/>
                <w:color w:val="auto"/>
              </w:rPr>
              <w:t>0.0054</w:t>
            </w:r>
          </w:p>
        </w:tc>
        <w:tc>
          <w:tcPr>
            <w:tcW w:w="1340" w:type="dxa"/>
            <w:vAlign w:val="bottom"/>
            <w:gridSpan w:val="2"/>
          </w:tcPr>
          <w:p>
            <w:pPr>
              <w:jc w:val="right"/>
              <w:ind w:right="42"/>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 rupee</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0.0207</w:t>
            </w:r>
          </w:p>
        </w:tc>
        <w:tc>
          <w:tcPr>
            <w:tcW w:w="16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0.0232</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0.0242</w:t>
            </w:r>
          </w:p>
        </w:tc>
        <w:tc>
          <w:tcPr>
            <w:tcW w:w="13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Polish zloty</w:t>
            </w: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0.3235</w:t>
            </w:r>
          </w:p>
        </w:tc>
        <w:tc>
          <w:tcPr>
            <w:tcW w:w="1680" w:type="dxa"/>
            <w:vAlign w:val="bottom"/>
            <w:gridSpan w:val="2"/>
          </w:tcPr>
          <w:p>
            <w:pPr>
              <w:jc w:val="right"/>
              <w:ind w:right="282"/>
              <w:spacing w:after="0"/>
              <w:rPr>
                <w:sz w:val="20"/>
                <w:szCs w:val="20"/>
                <w:color w:val="auto"/>
              </w:rPr>
            </w:pPr>
            <w:r>
              <w:rPr>
                <w:rFonts w:ascii="Arial" w:cs="Arial" w:eastAsia="Arial" w:hAnsi="Arial"/>
                <w:sz w:val="18"/>
                <w:szCs w:val="18"/>
                <w:color w:val="auto"/>
              </w:rPr>
              <w:t>0.4200</w:t>
            </w:r>
          </w:p>
        </w:tc>
        <w:tc>
          <w:tcPr>
            <w:tcW w:w="460" w:type="dxa"/>
            <w:vAlign w:val="bottom"/>
          </w:tcPr>
          <w:p>
            <w:pPr>
              <w:spacing w:after="0"/>
              <w:rPr>
                <w:sz w:val="20"/>
                <w:szCs w:val="20"/>
                <w:color w:val="auto"/>
              </w:rPr>
            </w:pPr>
          </w:p>
        </w:tc>
        <w:tc>
          <w:tcPr>
            <w:tcW w:w="1240" w:type="dxa"/>
            <w:vAlign w:val="bottom"/>
          </w:tcPr>
          <w:p>
            <w:pPr>
              <w:jc w:val="right"/>
              <w:ind w:right="296"/>
              <w:spacing w:after="0"/>
              <w:rPr>
                <w:sz w:val="20"/>
                <w:szCs w:val="20"/>
                <w:color w:val="auto"/>
              </w:rPr>
            </w:pPr>
            <w:r>
              <w:rPr>
                <w:rFonts w:ascii="Arial" w:cs="Arial" w:eastAsia="Arial" w:hAnsi="Arial"/>
                <w:sz w:val="18"/>
                <w:szCs w:val="18"/>
                <w:color w:val="auto"/>
              </w:rPr>
              <w:t>0.3623</w:t>
            </w:r>
          </w:p>
        </w:tc>
        <w:tc>
          <w:tcPr>
            <w:tcW w:w="1340" w:type="dxa"/>
            <w:vAlign w:val="bottom"/>
            <w:gridSpan w:val="2"/>
          </w:tcPr>
          <w:p>
            <w:pPr>
              <w:jc w:val="right"/>
              <w:ind w:right="42"/>
              <w:spacing w:after="0"/>
              <w:rPr>
                <w:sz w:val="20"/>
                <w:szCs w:val="20"/>
                <w:color w:val="auto"/>
              </w:rPr>
            </w:pPr>
            <w:r>
              <w:rPr>
                <w:rFonts w:ascii="Arial" w:cs="Arial" w:eastAsia="Arial" w:hAnsi="Arial"/>
                <w:sz w:val="18"/>
                <w:szCs w:val="18"/>
                <w:color w:val="auto"/>
              </w:rPr>
              <w:t>(23%)</w:t>
            </w:r>
          </w:p>
        </w:tc>
        <w:tc>
          <w:tcPr>
            <w:tcW w:w="1300" w:type="dxa"/>
            <w:vAlign w:val="bottom"/>
            <w:gridSpan w:val="2"/>
          </w:tcPr>
          <w:p>
            <w:pPr>
              <w:jc w:val="right"/>
              <w:ind w:right="10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2009, 2008 AND 2007 — BY BUSINESS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Compared to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gridSpan w:val="5"/>
          </w:tcPr>
          <w:p>
            <w:pPr>
              <w:jc w:val="right"/>
              <w:ind w:right="17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25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8"/>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(Decrease)</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1"/>
        </w:trPr>
        <w:tc>
          <w:tcPr>
            <w:tcW w:w="49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197,740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205,257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(7,517)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9"/>
        </w:trPr>
        <w:tc>
          <w:tcPr>
            <w:tcW w:w="49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83,198</w:t>
            </w: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93,414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(10,216)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30,302</w:t>
            </w:r>
          </w:p>
        </w:tc>
        <w:tc>
          <w:tcPr>
            <w:tcW w:w="220" w:type="dxa"/>
            <w:vAlign w:val="bottom"/>
          </w:tcPr>
          <w:p>
            <w:pPr>
              <w:spacing w:after="0"/>
              <w:rPr>
                <w:sz w:val="18"/>
                <w:szCs w:val="18"/>
                <w:color w:val="auto"/>
              </w:rPr>
            </w:pP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34,944</w:t>
            </w: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(4,642)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17,437</w:t>
            </w: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19,398</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(1,961)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18,613</w:t>
            </w:r>
          </w:p>
        </w:tc>
        <w:tc>
          <w:tcPr>
            <w:tcW w:w="220" w:type="dxa"/>
            <w:vAlign w:val="bottom"/>
          </w:tcPr>
          <w:p>
            <w:pPr>
              <w:spacing w:after="0"/>
              <w:rPr>
                <w:sz w:val="18"/>
                <w:szCs w:val="18"/>
                <w:color w:val="auto"/>
              </w:rPr>
            </w:pP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19,195</w:t>
            </w: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(582)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149,550</w:t>
            </w: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166,951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(17,401)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8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48,190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38,306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9,884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703.0</w:t>
            </w: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672.2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ATMs as of December 31</w:t>
            </w:r>
          </w:p>
        </w:tc>
        <w:tc>
          <w:tcPr>
            <w:tcW w:w="2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9,720</w:t>
            </w:r>
          </w:p>
        </w:tc>
        <w:tc>
          <w:tcPr>
            <w:tcW w:w="220" w:type="dxa"/>
            <w:vAlign w:val="bottom"/>
          </w:tcPr>
          <w:p>
            <w:pPr>
              <w:spacing w:after="0"/>
              <w:rPr>
                <w:sz w:val="18"/>
                <w:szCs w:val="18"/>
                <w:color w:val="auto"/>
              </w:rPr>
            </w:pP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10,128</w:t>
            </w: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(408)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9,441</w:t>
            </w: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10,554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revenues for 2009 decreased when compared to 2008 due to the stronger U.S. dollar during 2009 compared to 2008 relative to most of the currencies of the countries in which we operate. Because our revenues are recorded in the functional currencies of our operating entities, amounts we earn in foreign currencies are negatively impacted by the stronger U.S. dollar. Additionally, the decrease in the number of ATMs operated, which is primarily due to expiration or termination of ATM services contracts discussed in more detail in the following paragraphs, limited our revenue growth. Offsetting these decreases were contract termination fees totaling $4.4 million and increases in revenues primarily associated with our operations in Germany, India, Poland and our software and cross-border merchant processing and acquiring businesses.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40"/>
        <w:spacing w:after="0" w:line="271" w:lineRule="auto"/>
        <w:rPr>
          <w:sz w:val="20"/>
          <w:szCs w:val="20"/>
          <w:color w:val="auto"/>
        </w:rPr>
      </w:pPr>
      <w:r>
        <w:rPr>
          <w:rFonts w:ascii="Arial" w:cs="Arial" w:eastAsia="Arial" w:hAnsi="Arial"/>
          <w:sz w:val="17"/>
          <w:szCs w:val="17"/>
          <w:color w:val="auto"/>
        </w:rPr>
        <w:t>Average monthly revenue per ATM was $1,745 for 2009, compared to $1,621 for 2008. The increase is generally the result of increased transaction fees in Germany, the non-recurring contract termination fees discussed above and the expiration of an ATM services contract in the U.K. at the end of the first quarter 2008, partly offset by the impact of the stronger U.S. dollar. We have recently been able to increase transaction fees in Germany, but we are uncertain if we will be able to increase them further or maintain the current rates. The U.K. contract involved processing services only with very little associated costs and, therefore, had lower-than-average revenue per ATM. Revenues per transaction were $0.28 for 2009 and $0.31 for 2008. The decrease is primarily the result of the impact of the stronger U.S. dollar and the growth of transactions in India and China, where revenues per transaction have been historically lower than in Central and Eastern Europe, generally due to lower labor costs. During 2009, transactions on Cashnet—Euronet’s shared network in India— increased 98% when compared to 2008.</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could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in the banking industry could make this process less predictable.</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renew or restructure our ATM outsourcing agreements. During the fourth quarter 2008 and first quarter 2009, certain customer contracts were terminated or expired, resulting in a decrease of approximately 1,700 ATMs. Most of the ATM reductions resulted from bank customers shifting their processing to related processing subsidiaries in contemplation of selling the subsidiaries to raise capital, rather than the loss of contracts to competitors. The reduction in the number of ATMs from contract terminations or expirations was partially offset during 2009 by increases in ATMs driven under new contracts, expansion of ATMs under existing contracts and the deployment of ATMs in markets where we operate Euronet-branded ATMs.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contracts that we are able to renew, as was the case for certain contract renewals in prior years, we expect customers to seek rate concessions or up-front payments because of the greater availability of alternative processing solutions in many of our markets now, as compared to when we entered into the contracts. Excluding the expired or terminated contracts discussed above, we were able to renew or extend most of the remaining contracts that were due to expire in 2009. While we were successful in many cases in obtaining new terms that preserve the same level of earnings arising from the agreements, we were not successful in all cases and, therefore, we expect to experience reductions in revenues in future quarters arising from the expiration or restructuring of agreements.</w:t>
      </w:r>
    </w:p>
    <w:p>
      <w:pPr>
        <w:spacing w:after="0" w:line="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contracts that expired during the fourth quarter 2008 and first quarter 2009, excluding substantial termination fees described above, we estimate that the impact to 2009 was a reduction in revenues of approximately $15 million to $16 million, resulting in reduced operating income of approximately $3 million to $4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processing-center-related expenses. The decrease in direct operating cost for 2009, compared to 2008, is attributed to the impact of the stronger U.S. dollar and the decrease in the number of ATMs under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Gross profit, which is calculated as revenues less direct operating costs, increased to $114.5 million for 2009 from $111.8 million for 2008. This increase is mainly attributable to the increased transaction fees in Germany, improved profitability in India, Poland and our cross-border merchant processing and acquiring business and the contract termination fee revenues discussed above. Partly offsetting these increases are the impact of the stronger U.S. dollar and the loss of ATM services contracts discussed above. Gross profit as a percentage of revenues (“gross margin”) was 58% for 2009 compared to 54% for 2008. The increase in gross margin is primarily due to the previously mentioned contract termination fees and gross margin improvements in Germany, India and our cross-border merchant processing and acquiring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decrease in salaries and benefits for 2009 compared to 2008 is almost entirely due to the impact of the stronger U.S. dollar discussed above. As a percentage of revenues, these costs decreased to 15% for 2009 from 17% for 2008.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The decrease in selling, general and administrative expenses for 2009 compared to 2008 is due primarily to the impact of the stronger U.S. dollar. The decrease in these expenses was also impacted by the spike in expenses in the second half of 2008 following the launch of our cross-border merchant processing and acquiring business. As a percentage of revenues, selling, general and administrative expenses remained flat at 9% for 2009 and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decrease in depreciation and amortization expense for 2009 compared to 2008 is due primarily to the impact of the stronger U.S. dollar described above, partly offset by increased depreciation associated with our cross-border merchant processing and acquiring business as well as increased deployment of owned ATMs in Poland. As a percentage of revenues, these expenses remained flat at 9% for 2009 and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as a percentage of revenues was 24% for 2009 compared to 19% for 2008. The increases in operating income and operating margin were primarily due to the substantial contract termination fee revenues described above and the improvements in Germany, India and our software and cross-border merchant processing and acquiring businesses, partly offset by the impact of the stronger U.S. dollar. Operating income per transaction was $0.07 for 2009 and $0.06 for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December 31, 2009, the EFT Segment had a software contract backlog of approximately $6.3 million compared to approximately $7.9 million as of December 31, 2008. This backlog represents software sales based on signed contracts under which we continue to have performance milestones before the sale will be completed. We recognize revenues on a percentage of completion method, based on certain milestone conditions, for our software solutions. As a result, we have not recognized all the revenues associated with these sales contracts. We cannot give assurances that the milestones under the contracts will be completed or that we will be able to recognize the related revenues within the next year.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Compared to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(Decrease)</w:t>
            </w: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205,257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174,049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31,208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9"/>
        </w:trPr>
        <w:tc>
          <w:tcPr>
            <w:tcW w:w="4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74,879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18,535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34,944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31,874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3,070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14,952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4,446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19,195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16,197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2,998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137,902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29,049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10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38,306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36,147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2,159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ATMs as of December 31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10,128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11,347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(1,219)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revenues for 2008 increased when compared to 2007 primarily due to increases in the average number of ATMs operated and the number of transactions processed. These increases were attributable to many of our operations, but primarily our operations in Poland,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spacing w:after="0" w:line="276" w:lineRule="auto"/>
        <w:rPr>
          <w:sz w:val="20"/>
          <w:szCs w:val="20"/>
          <w:color w:val="auto"/>
        </w:rPr>
      </w:pPr>
      <w:r>
        <w:rPr>
          <w:rFonts w:ascii="Arial" w:cs="Arial" w:eastAsia="Arial" w:hAnsi="Arial"/>
          <w:sz w:val="17"/>
          <w:szCs w:val="17"/>
          <w:color w:val="auto"/>
        </w:rPr>
        <w:t>India and Euronet Card Services Greece. Additionally, during 2008 the U.S. dollar was weaker on average than during 2007 relative to the currencies of most of the countries in which we operate. Because our revenues are recorded in the functional currencies of our operating entities, amounts we earn in foreign currencies are positively impacted by the weakening of the U.S. dollar. Partly offsetting these improvements were decreases in revenue associated with our operations in Romania due to a decrease in the per-transaction fee structure with a customer that was granted in exchange for an extension of the contract term and the expiration of an ATM services contract discussed in more detail in the following paragraph.</w:t>
      </w:r>
    </w:p>
    <w:p>
      <w:pPr>
        <w:spacing w:after="0" w:line="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Average monthly revenue per ATM was $1,621 for 2008, compared to $1,447 for 2007 and revenue per transaction was $0.31 for 2008 and $0.30 for 2007. The increase in revenues per ATM is generally the result of the expiration of an ATM services contract in the U.K. at the end of the first quarter 2008 that involved processing services only, with very little associated costs and, therefore, had lower-than-average revenue per ATM. As of December 31, 2007 and March 31, 2008, we were providing processing services for approximately 2,300 and 2,400 ATMs, respectively, under this contract. Partly offsetting this improvement is the addition of ATMs in China and India, where revenues per ATM have been historically lower than Central and Eastern Europe, generally due to lower labor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processing-center-related expenses. The increase in direct operating cost for 2008, compared to 2007, is attributed to the increase in the average number of ATMs under operation, particularly the growing number of independently deployed ATMs in new markets, and the launch of our cross-border merchant processing and acquiring business. Throughout 2007 and into 2008, we incurred substantial capital and operating expenditures in anticipation of entering the cross-border merchant processing and acquiring business after we entered into an agreement for these services with a large petrol retailer in Central Europe. The revenues recorded in 2008 after launching this business in mid-2008 were not significant; however, the cost structure was largely in place and contributed to the increase in direct operating costs and certain other expenses discussed below. Additionally, 2008 and 2007 include losses of approximately $0.7 million and $1.9 million, respectively, primarily in Poland and Hungary, as a result of certain fraudulent transactions by card holders on our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profit increased to $111.8 million for 2008 from $99.2 million for 2007. This increase is mainly attributable to the increase in revenues discussed above. Gross margin was 54% for 2008 compared to 57% for 2007. The decrease in gross margin is primarily due to the impact of the expiration of the ATM services contract in the U.K. and launching the cross-border merchant processing and acquiring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salaries and benefits for 2008 compared to 2007 was due to staffing costs to support growth in the average number of ATMs managed and transactions processed and for new products, such as POS, card processing and cross-border merchant processing and acquiring. Salaries and benefits also increased as a result of general merit increases awarded to employees. As a percentage of revenue, however, these costs decreased slightly to 17% of revenues for 2008 compared to 18% for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Selling, general and administrative expenses for 2007 include a $1.2 million arbitration loss awarded by a tribunal in Budapest, Hungary arising from a claim by a former cash supply contractor in Central Europe. Excluding the impact of the arbitration loss, as a percentage of revenues, selling general and administrative expenses increased to 9% in 2008 compared to 8% in 2007. This increase in selling, general and administrative expenses for 2008 compared to 2007 is due primarily to the launch of our cross-border merchant processing and acquiring business that occurred during the second quarter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increase in depreciation and amortization expense for 2008 compared to 2007 is due primarily to additional ATMs in Poland and India and additional equipment and software for our processing centers in Hungary and China. As a percentage of revenue, these expenses remained flat at 9% for both 2008 and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operating income was primarily due to the increases in revenues described above. Additionally, operating income was affected by several unique items in 2008 and 2007: 2007 operating income was reduced $1.2 million by the arbitration loss described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spacing w:after="0" w:line="279" w:lineRule="auto"/>
        <w:rPr>
          <w:sz w:val="20"/>
          <w:szCs w:val="20"/>
          <w:color w:val="auto"/>
        </w:rPr>
      </w:pPr>
      <w:r>
        <w:rPr>
          <w:rFonts w:ascii="Arial" w:cs="Arial" w:eastAsia="Arial" w:hAnsi="Arial"/>
          <w:sz w:val="17"/>
          <w:szCs w:val="17"/>
          <w:color w:val="auto"/>
        </w:rPr>
        <w:t>above; operating income was $1.2 million greater in 2008 compared to 2007 due to the decrease in fraudulent card losses described above; operating income was $7.6 million less in 2008 compared to 2007 due to the expiration of the ATM services contract in the U.K. and the launching of the cross-border merchant processing and acquiring business described above. Excluding the impacts of these items, operating income increased 20% in 2008 compared to 2007, was 22% as a percentage of revenues for 2008 compared to 21% for 2007 and was $0.06 per transaction for both 2008 and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Compared to 2008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the Prepaid Processing Segment for the years ended December 31, 2009 and 2008: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6"/>
          </w:tcPr>
          <w:p>
            <w:pPr>
              <w:jc w:val="right"/>
              <w:ind w:right="19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4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(Decrease)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0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602,075</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609,106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(7,031)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40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485,305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495,971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(10,666)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28,753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28,574</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179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50,681</w:t>
            </w: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(50,681)</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15,417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16,441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552,629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613,765</w:t>
            </w:r>
          </w:p>
        </w:tc>
        <w:tc>
          <w:tcPr>
            <w:tcW w:w="10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(61,136)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49,446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54,105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Transactions processed (millions)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777.1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64.0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decrease in revenues for 2009 compared to 2008 was generally attributable to the impact of the stronger U.S. dollar and mobile operator commission rate decreases in certain markets, largely offset by the increase in total transactions processed across most of our Prepaid Processing Segment operations, particularly Australia, Germany and the U.S.</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additional products sold over the base of prepaid processing terminals, (ii) developing markets or markets in which there is organic growth in the prepaid sector overall, (iii) continued conversion from scratch cards to electronic top-up in less mature markets, and (iv) acquisitions, if available.</w:t>
      </w:r>
    </w:p>
    <w:p>
      <w:pPr>
        <w:spacing w:after="0" w:line="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Revenues per transaction decreased to $0.77 for 2009 from $0.85 for 2008 due primarily to the impact of the stronger U.S. dollar and mobile operator commission rate decreases in certain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These expenditures generally fluctuate directly with revenues and processed transactions. The decrease in direct operating costs is generally attributable to the impact of the stronger U.S. dollar, partly offset by the increase in total transactions processed. Additionally, almost of the decrease in mobile operator commission revenues discussed above was passed on to retail merchants resulting in lower commission costs.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was $116.8 million for 2009 compared to $113.1 million for 2008. Gross margin remained flat at 19% for both 2009 and 2008 and gross profit per transaction was $0.15 for 2009 compared to $0.16 for 2008. Most of the reduction in gross profit per transaction is due to the impact of the stronger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Salaries and benefits were flat for 2009 compared to 2008 as a result of the impact of the stronger U.S. dollar largely offsetting increased costs to support development in new and growing markets. As a percentage of revenues, salaries and benefits increased slightly to 4.8% for 2009 from 4.7% for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increase in selling, general and administrative expenses for 2009 compared to 2008 is primarily due to additional overhead to support development in new and growing markets and increased allowance for bad debts and other balance sheet reconciliation issues in one of our operating units, partly offset by the impact of the stronger U.S. dollar. As a percentage of revenues, selling, general and administrative expenses increased to 3.8% for 2009 from 3.6% for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2008, we recorded a non-cash impairment charge of $50.7 million related to the goodwill of the Spanish prepaid business. See the discussion in “2008 Compared to 2007” below for more information about this 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The decrease in depreciation and amortization for 2009 compared to 2008 is almost entirely due to the impact of the stronger U.S. dollar. As a percentage of revenues, depreciation and amortization expense decreased slightly to 2.6% for 2009 from 2.7% for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increase in operating income for 2009 compared to 2008 is mainly due to the goodwill impairment charge in 2008. Excluding the goodwill impairment charge, operating income as a percentage of revenues was 8.2% for 2009 compared to 7.6% for 2008. The increase is primarily due to the growth in transactions processed. Also excluding the goodwill impairment charge, operating income per transaction remained flat at $0.06 for each of 2009 and 2008.</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2008 Compared to 2007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the Prepaid Processing Segment for the years ended December 31, 2008 and 2007: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Increase</w:t>
            </w: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609,106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569,858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39,248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9"/>
        </w:trPr>
        <w:tc>
          <w:tcPr>
            <w:tcW w:w="40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495,971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464,874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31,097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28,574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27,493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1,081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20,567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50,681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50,681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excise tax refund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(12,191)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12,191</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16,441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16,302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517,045</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06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(4,659)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52,813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(57,472)</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634.8</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8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increase in revenues for 2008 compared to 2007 was generally attributable to the increase in total transactions processed across most of our Prepaid Processing Segment operations, particularly Australia, Germany and Poland.</w:t>
      </w:r>
    </w:p>
    <w:p>
      <w:pPr>
        <w:spacing w:after="0" w:line="6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Revenues per transaction decreased to $0.85 for 2008 from $0.90 for 2007 due primarily to the growth in revenues and transactions recorded by our ATX subsidiary, which is 51% Euronet-owned. In accordance with U.S. GAAP, ATX is consolidated and the amounts in our financial statements and in the table above reflect 100% of ATX’s results. Results attributable to the 49% minority owner are reflected in the noncontrolling interests line of our Consolidated Statements of Operations. ATX provides only transaction processing services without direct costs and other operating costs generally associated with installing and managing terminals; therefore, the revenue we recognize from these transactions is a fraction of that recognized on average transactions, but with very low cost. Partly offsetting this decrease was the growth in both volumes and revenues in Australia which generally has higher revenues per transaction, but also pays higher commission rates to retailers, than our other Prepaid Processing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operating costs is generally attributable to the increase in total transactions processed.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Gross profit was $113.1 million for 2008 compared to $105.0 million for 2007. Gross margin increased to 19% for 2008 compared to 18% for 2007 and gross profit per transaction was $0.16 for 2008 compared to $0.17 for 2007. Most of the reduction in gross profit per transaction is due to the growth of revenues and transactions at our ATX subsidiary and the general maturity of the prepaid mobile airtime business in many of our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While salaries and benefits increased for 2008 compared to 2007 to support development in new and growing markets, as a percentage of revenue, they decreased slightly to 4.7% for 2008 from 4.8% for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increase in selling, general and administrative expenses for 2008 compared to 2007 is the result of additional overhead to support development in new and growing markets. As a percentage of revenues, these selling, general and administrative expenses remained flat at 3.6% for both 2008 and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2008, we recorded a non-cash impairment charge of $50.7 million related to the goodwill of the Spanish prepaid business. We perform our annual goodwill impairment test during the fourth quarter of each year, which coincided in 2008 with severe disruptions in the credit markets and the macroeconomic business climate. These events caused credit, currency and stock markets to plummet in the second half of 2008 and adversely impacted corporate valuations across most industries, all of which contributed to a significant decline in our stock price during this period. An important component of the 2008 goodwill impairment testing was the reconciliation of a company’s equity to its market capitalization. During the fourth quarter 2008 and into 2009, our total market capitalization was less than the recorded value of the Company’s equity by an amount approaching 50% of recorded equity, creating a strong indicator of impairment for our goodwill balance. Because of these macroeconomic conditions, after incorporating assumptions that we or another purchaser would likely make into the Company’s business outlook and projections for the Spanish prepaid business, we determined that the resulting valuations were not sufficient to support the recorded value of our investment. Specifically, growth in the prepaid mobile phone business in Spain had been slower than expected and commission pressure from mobile operators, as well as intense competition from other prepaid processors, had reduced profitability. See Note 10, Goodwill and Acquired Intangible Assets, Net, to the Consolidated Financial Statements for a further discussion of this charge.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excise tax refund</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During 2006, the Internal Revenue Service (“IRS”) announced that Internal Revenue Code Section 4251 (relating to communications excise tax) will no longer apply to, among other services, prepaid mobile airtime services such as those offered by the Prepaid Processing Segment’s U.S. operations. Additionally, companies that paid this excise tax during the period beginning on March 1, 2003 and ending on July 31, 2006, were entitled to a credit or refund of amounts paid in conjunction with the filing of 2006 federal income tax returns. During 2007, $12.2 million was recorded for amounts paid during this period as a reduction to operating expenses of the Prepaid Processing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increase in depreciation and amortization for 2008 compared to 2007 reflects additional POS terminals installed as the business has grown. As a percentage of revenues, depreciation and amortization expense decreased to 2.7% for 2008 from 2.9% for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decrease in operating income for 2008 compared to 2007 is mainly due to the goodwill impairment charge in 2008 and the benefit of the federal excise tax refund in 2007. Excluding the goodwill impairment charge and the benefit of the federal excise tax refund, operating income as a percentage of revenues was 7.6% for 2008 compared to 7.1% for 2007. The increase is due to the growth in revenues and transactions processed and the impact of leveraging operating costs. Also excluding the goodwill impairment charge and the federal excise tax refund, operating income per transaction remained flat at $0.06 for 2008 and 2007.</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Compared to 2008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actual results of operations for the years ended December 31, 2009 and 2008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40" w:type="dxa"/>
            <w:vAlign w:val="bottom"/>
            <w:gridSpan w:val="5"/>
          </w:tcPr>
          <w:p>
            <w:pPr>
              <w:jc w:val="right"/>
              <w:ind w:right="19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5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1"/>
        </w:trPr>
        <w:tc>
          <w:tcPr>
            <w:tcW w:w="4700" w:type="dxa"/>
            <w:vAlign w:val="bottom"/>
            <w:gridSpan w:val="4"/>
          </w:tcPr>
          <w:p>
            <w:pPr>
              <w:spacing w:after="0"/>
              <w:rPr>
                <w:sz w:val="20"/>
                <w:szCs w:val="20"/>
                <w:color w:val="auto"/>
              </w:rPr>
            </w:pPr>
            <w:r>
              <w:rPr>
                <w:rFonts w:ascii="Arial" w:cs="Arial" w:eastAsia="Arial" w:hAnsi="Arial"/>
                <w:sz w:val="14"/>
                <w:szCs w:val="14"/>
                <w:color w:val="auto"/>
              </w:rPr>
              <w:t>(dollar amounts in thousands)</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232,879</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231,302</w:t>
            </w:r>
          </w:p>
        </w:tc>
        <w:tc>
          <w:tcPr>
            <w:tcW w:w="1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470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114,457</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(4,590)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54,166</w:t>
            </w:r>
          </w:p>
        </w:tc>
        <w:tc>
          <w:tcPr>
            <w:tcW w:w="220" w:type="dxa"/>
            <w:vAlign w:val="bottom"/>
          </w:tcPr>
          <w:p>
            <w:pPr>
              <w:spacing w:after="0"/>
              <w:rPr>
                <w:sz w:val="18"/>
                <w:szCs w:val="18"/>
                <w:color w:val="auto"/>
              </w:rPr>
            </w:pPr>
          </w:p>
        </w:tc>
        <w:tc>
          <w:tcPr>
            <w:tcW w:w="2260" w:type="dxa"/>
            <w:vAlign w:val="bottom"/>
            <w:gridSpan w:val="2"/>
          </w:tcPr>
          <w:p>
            <w:pPr>
              <w:jc w:val="right"/>
              <w:ind w:right="1460"/>
              <w:spacing w:after="0"/>
              <w:rPr>
                <w:sz w:val="20"/>
                <w:szCs w:val="20"/>
                <w:color w:val="auto"/>
              </w:rPr>
            </w:pPr>
            <w:r>
              <w:rPr>
                <w:rFonts w:ascii="Arial" w:cs="Arial" w:eastAsia="Arial" w:hAnsi="Arial"/>
                <w:sz w:val="18"/>
                <w:szCs w:val="18"/>
                <w:color w:val="auto"/>
              </w:rPr>
              <w:t>50,543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3,623</w:t>
            </w:r>
          </w:p>
        </w:tc>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38,716</w:t>
            </w:r>
          </w:p>
        </w:tc>
        <w:tc>
          <w:tcPr>
            <w:tcW w:w="2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34,673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1460"/>
              <w:spacing w:after="0"/>
              <w:rPr>
                <w:sz w:val="20"/>
                <w:szCs w:val="20"/>
                <w:color w:val="auto"/>
              </w:rPr>
            </w:pPr>
            <w:r>
              <w:rPr>
                <w:rFonts w:ascii="Arial" w:cs="Arial" w:eastAsia="Arial" w:hAnsi="Arial"/>
                <w:sz w:val="18"/>
                <w:szCs w:val="18"/>
                <w:color w:val="auto"/>
              </w:rPr>
              <w:t>169,396</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(159,512)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1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8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233,233</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right"/>
              <w:ind w:right="1460"/>
              <w:spacing w:after="0"/>
              <w:rPr>
                <w:sz w:val="20"/>
                <w:szCs w:val="20"/>
                <w:color w:val="auto"/>
              </w:rPr>
            </w:pPr>
            <w:r>
              <w:rPr>
                <w:rFonts w:ascii="Arial" w:cs="Arial" w:eastAsia="Arial" w:hAnsi="Arial"/>
                <w:sz w:val="18"/>
                <w:szCs w:val="18"/>
                <w:color w:val="auto"/>
              </w:rPr>
              <w:t>388,452</w:t>
            </w:r>
          </w:p>
        </w:tc>
        <w:tc>
          <w:tcPr>
            <w:tcW w:w="14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(155,219)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(157,150)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156,796</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80" w:type="dxa"/>
            <w:vAlign w:val="bottom"/>
            <w:gridSpan w:val="3"/>
          </w:tcPr>
          <w:p>
            <w:pPr>
              <w:ind w:left="200"/>
              <w:spacing w:after="0"/>
              <w:rPr>
                <w:sz w:val="20"/>
                <w:szCs w:val="20"/>
                <w:color w:val="auto"/>
              </w:rPr>
            </w:pPr>
            <w:r>
              <w:rPr>
                <w:rFonts w:ascii="Arial" w:cs="Arial" w:eastAsia="Arial" w:hAnsi="Arial"/>
                <w:sz w:val="18"/>
                <w:szCs w:val="18"/>
                <w:color w:val="auto"/>
              </w:rPr>
              <w:t>Transactions processed (millions)</w:t>
            </w:r>
          </w:p>
        </w:tc>
        <w:tc>
          <w:tcPr>
            <w:tcW w:w="20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4"/>
                <w:szCs w:val="24"/>
                <w:color w:val="auto"/>
              </w:rPr>
            </w:pPr>
          </w:p>
        </w:tc>
        <w:tc>
          <w:tcPr>
            <w:tcW w:w="2260" w:type="dxa"/>
            <w:vAlign w:val="bottom"/>
            <w:gridSpan w:val="2"/>
          </w:tcPr>
          <w:p>
            <w:pPr>
              <w:jc w:val="right"/>
              <w:ind w:right="146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6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70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4"/>
          </w:tcPr>
          <w:p>
            <w:pPr>
              <w:spacing w:after="0"/>
              <w:rPr>
                <w:sz w:val="20"/>
                <w:szCs w:val="20"/>
                <w:color w:val="auto"/>
              </w:rPr>
            </w:pPr>
            <w:r>
              <w:rPr>
                <w:rFonts w:ascii="Arial" w:cs="Arial" w:eastAsia="Arial" w:hAnsi="Arial"/>
                <w:sz w:val="18"/>
                <w:szCs w:val="18"/>
                <w:i w:val="1"/>
                <w:iCs w:val="1"/>
                <w:color w:val="auto"/>
              </w:rPr>
              <w:t>Revenues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Revenues from the Money Transfer Segment include a transaction fee for each transaction as well as the difference between purchasing currency at wholesale exchange rates and selling the currency to customers at retail exchange rates. Revenues per transaction were $13.23 for 2009 compared to $13.85 for 2008. On a historical basis, about 75% of our Money Transfer Segment revenues is derived from transaction fees, about 25% is derived from the foreign currency spread and other small amounts of revenue are derived from sources such as fees for cashing checks, issuing money orders and processing bill payments. For 2009, 63% of our money transfers were initiated in the U.S., 33% in Europe and 4% in other countries, such as Canada and Australia. For 2008, 68% of our money transfers were initiated in the U.S., 29% in Europe and 3% in other countries. We expect that the U.S. will continue to represent our highest volume market; however, significant future growth is expected to be derived from non-U.S. initiated sources.</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increase in revenues for 2009 compared to 2008 is primarily due to a 5% increase in the number of transactions processed for 2009 compared to 2008, mostly offset by the impact of the stronger U.S. dollar. For 2009, money transfers to Mexico, which represented 25% of total money transfers, decreased by 19%, while transfers to all other countries increased 17% when compared to the prior year primarily due to the expansion of our operations. The decline in transfers to Mexico was largely the result of downturns in certain labor markets and other economic factors impacting the U.S. market as well as immigration developments in the U.S. These issues have also resulted in certain competitors lowering transaction fees and foreign currency exchange spreads in an attempt to limit the impact on money transfer volumes. We have generally maintained our pricing structure in response to these developments.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The decrease in direct operating costs in 2009 compared to 2008 is due to the impact of the stronger U.S. dollar, partly offset by the growth in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was $123.0 million for 2009 compared to gross profit of $116.8 million for 2008. This improvement is primarily due to the growth in money transfer transactions, partly offset by the impact of the stronger U.S. dollar related to money transfers originated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6" w:name="page47"/>
    <w:bookmarkEnd w:id="46"/>
    <w:p>
      <w:pPr>
        <w:ind w:right="120"/>
        <w:spacing w:after="0" w:line="255" w:lineRule="auto"/>
        <w:rPr>
          <w:sz w:val="20"/>
          <w:szCs w:val="20"/>
          <w:color w:val="auto"/>
        </w:rPr>
      </w:pPr>
      <w:r>
        <w:rPr>
          <w:rFonts w:ascii="Arial" w:cs="Arial" w:eastAsia="Arial" w:hAnsi="Arial"/>
          <w:sz w:val="18"/>
          <w:szCs w:val="18"/>
          <w:color w:val="auto"/>
        </w:rPr>
        <w:t>outside the U.S. As discussed above, certain competitors have been lowering transaction fees and foreign currency exchange spreads in the U.S. market as a result of the economic factors and immigration developments impacting the U.S. market. We have generally maintained our pricing structure in response to these developments. We cannot predict how long these issues will continue to affect the U.S. market or whether other markets will experience similar issues, and we cannot predict whether we will change our pricing strategy over the short or long term in order to protect or increase market share. Gross margin was 53% for 2009 compared to 51% for 2008. The improvement primarily reflects the strong growth in transaction volume in our higher margin non-U.S. locations.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The increase in salaries and benefits for 2009 compared to 2008 is primarily due to the increased expenditures we incurred to support expansion or our operations, primarily internationally, partly offset by the impact of the stronger U.S. dollar. As a percentage of revenues, salaries and benefits increased slightly to 23% for 2009 from 22% for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Selling, general and administrative expenses include operations support costs, such as rent, utilities, professional fees, indirect telecommunications, advertising and other miscellaneous overhead costs. The increase in selling, general and administrative expenses for 2009 compared to 2008 is primarily the result of increased expenditures to support expansion of our operations, primarily internationally, and increased professional fees for legal expenses, partly offset by the impact of the stronger U.S. dollar. As a percentage of revenues, selling, general and administrative expenses increased to 17% for 2009 from 15%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fourth quarter of 2008, we recorded a non-cash impairment charge of $169.4 million related to certain goodwill and intangible assets of the RIA money transfer business. This charge was an estimate based on the assessment performed up to the filing date of our 2008 Annual Report on Form 10-K. We completed the assessment in the first quarter of 2009 and recorded an additional $9.9 million non-cash impairment charge in the first quarter of 2009. See the discussion in “2008 Compared to 2007” below for more information about these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Depreciation and amortization primarily represents amortization of acquired intangibles and also includes depreciation of money transfer terminals, computers and software, leasehold improvements and office equipment. The increase in depreciation and amortization for 2009 compared to 2008 is primarily due to additional computer equipment in our customer service centers and increased leasehold improvements, office equipment and computer equipment for expansion of our company stores along with greater acquisition-related amortization, partly offset by the impact of the stronger U.S. dollar. As a percentage of revenues, depreciation and amortization increased to 8.8% for 2009 from 8.4% for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increase in operating income for 2009 compared to 2008 is mainly due to the larger goodwill and acquired intangible impairment charge in 2008 compared to 2009. Excluding these charges from both years, operating income decreased 22% in 2009 compared to 2008, which is the result of increased costs to expand internationally, increased professional fees and the negative impact of the stronger U.S. dollar, partly offset by the growth in transactions processed, mainly those originated in non-U.S. locations. Additionally, 2008 revenues and operating income included approximately $2.5 million in benefit from the favorable management of foreign exchange spreads that did not recur in 2009.</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2008 Compared to 2007</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Money Transfer Segment was established during April 2007 with the acquisition of RIA, which is more fully described in Note 6, Acquisitions, to the Consolidated Financial Statements included in this report. To assist in better understanding the results of the Money Transfer Segment, unaudited pro forma results for 2007 have been provided as if RIA’s results were included in our consolidated results of operations beginning January 1, 2007. The pro forma financial information is not intended to represent, or be indicative of, the consolidated results of operations or financial condition that would have been reported had the RIA acquisition been completed as of the beginning of the periods presented.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actual results of operations for the years ended December 31, 2008 and 2007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As Reported</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right"/>
              <w:ind w:right="392"/>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293"/>
              <w:spacing w:after="0" w:line="142" w:lineRule="exact"/>
              <w:rPr>
                <w:sz w:val="20"/>
                <w:szCs w:val="20"/>
                <w:color w:val="auto"/>
              </w:rPr>
            </w:pPr>
            <w:r>
              <w:rPr>
                <w:rFonts w:ascii="Arial" w:cs="Arial" w:eastAsia="Arial" w:hAnsi="Arial"/>
                <w:sz w:val="14"/>
                <w:szCs w:val="14"/>
                <w:b w:val="1"/>
                <w:bCs w:val="1"/>
                <w:color w:val="auto"/>
              </w:rPr>
              <w:t>Year-over-Year Change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8"/>
              </w:rPr>
              <w:t>Increase</w:t>
            </w: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4"/>
          </w:tcPr>
          <w:p>
            <w:pPr>
              <w:spacing w:after="0"/>
              <w:rPr>
                <w:sz w:val="20"/>
                <w:szCs w:val="20"/>
                <w:color w:val="auto"/>
              </w:rPr>
            </w:pPr>
            <w:r>
              <w:rPr>
                <w:rFonts w:ascii="Arial" w:cs="Arial" w:eastAsia="Arial" w:hAnsi="Arial"/>
                <w:sz w:val="14"/>
                <w:szCs w:val="14"/>
                <w:color w:val="auto"/>
              </w:rPr>
              <w:t>(dollar amounts in thousands)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231,302</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158,759</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72,543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9"/>
        </w:trPr>
        <w:tc>
          <w:tcPr>
            <w:tcW w:w="474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114,457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83,795</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30,662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50,543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32,705</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17,838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21,459</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13,214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169,396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169,396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13,670</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5,713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72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388,452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151,629</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236,823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(157,150)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(164,280)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Transactions processed (millions)</w:t>
            </w:r>
          </w:p>
        </w:tc>
        <w:tc>
          <w:tcPr>
            <w:tcW w:w="24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6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74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The following table compares the results of operations for the year ended December 31, 2008 to the pro forma results of operations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for the Money Transfer Segment: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Year-over-Year Change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2007</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7"/>
              </w:rPr>
              <w:t>Pro Forma</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231,302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204,948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26,354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9"/>
        </w:trPr>
        <w:tc>
          <w:tcPr>
            <w:tcW w:w="4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114,457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108,589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5,868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50,543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42,383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8,160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27,444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7,229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w w:val="94"/>
              </w:rPr>
              <w:t>Goodwill and acquired intangible assets impairment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169,396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169,396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17,700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40" w:type="dxa"/>
            <w:vAlign w:val="bottom"/>
            <w:gridSpan w:val="2"/>
          </w:tcPr>
          <w:p>
            <w:pPr>
              <w:ind w:left="42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388,452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196,116</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192,336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Operating income (loss)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(157,150)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8,832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(165,982)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Transactions processed (millions)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15.5</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206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Comparison of pro forma operating results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2007, we combined our previous money transfer business with RIA and incurred total exit costs of $0.9 million. These costs represented the accelerated depreciation and amortization of property and equipment, software and leasehold improvements that were disposed of during 2007; the write-off of marketing materials and trademarks that have been discontinued or will not be used; the write-off of accounts receivable from agents that did not meet RIA’s credit requirements; and severance and retention payments made to certain employees. These exit costs are not included in pro forma operating expenses in the above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per transaction was $13.85 for 2008 compared to pro forma revenue per transaction of $13.22 for 2007. For 2008, 68% of our money transfers were initiated in the U.S., 29% in Europe and 3% in other countries, such as Canada and Australia. For 2007, 75% of our money transfers were initiated in the U.S., 23% in Europe and 2% in other countries.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increase in revenues for 2008 compared to pro forma revenues for 2007 is primarily due to an 8% increase in the number of transactions processed for 2008 compared to 2007. For 2008, money transfers to Mexico, which represented 32% of total money transfers, decreased by 9%, while transfers to all other countries increased 18% when compared to the prior year due to the expansion of our operations and continued growth in immigrant worker populations in countries other than the U.S. The decline in transfers to Mexico was largely the result of immigration issues, downturns in certain labor markets and the economic crisis that began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While direct operating costs generally increase or decrease by a similar percentage as transactions, growth in transactions has outpaced the growth in direct costs in 2008 due to a greater growth rate for Company-owned stores than for agents.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Gross profit was $116.8 million for 2008 compared to pro forma gross profit of $96.4 million for 2007. This improvement is primarily due to the growth in money transfer transactions originated in non-U.S. locations, discussed above, along with favorable management of foreign currency exchange rate spreads. Gross margin was 51% for 2008 compared to pro forma gross margin of 47% for 2007. The improvement primarily reflects the strong growth in transaction volume in our more profitable non-U.S. locations.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increase in salaries and benefits for 2008 compared to pro forma salaries and benefits for 2007 is primarily due to merit increases and additional costs to support our global expansion efforts, primarily the opening of Company-owned stores in Germany, France, Spain and the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increase in selling, general and administrative expenses for 2008 compared to pro forma selling, general and administrative expenses for 2007 is primarily to support our global expansion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2008, we recorded a non-cash impairment charge of $169.4 million related to certain goodwill and intangible assets of the RIA money transfer business. We perform our annual goodwill impairment test during the fourth quarter of each year, which coincided in 2008 with severe disruptions in the credit markets and the macroeconomic business climate. These events caused credit, currency and stock markets to plummet in the second half of 2008 and adversely impacted corporate valuations across most industries, all of which contributed to a significant decline in our stock price. An important component of the 2008 goodwill impairment testing was the reconciliation of a company’s equity to its market capitalization. During the fourth quarter 2008 and into 2009, our total market capitalization was less than the recorded value of the Company’s equity by an amount approaching 50% of recorded equity, creating a strong indicator of impairment for our goodwill balance. Because of these macroeconomic conditions, after incorporating assumptions that we or another purchaser would likely make into the business outlook and projections for the Money Transfer Segment, we determined that the resulting valuations were not sufficient to support the recorded value of our investment. Specifically, we experienced reductions in volumes for money transfers between the U.S. and Mexico, among other corridors, that were initially expected to continue expanding. See Note 10, Goodwill and Acquired Intangible Assets, Net, to the Consolidated Financial Statements for a further discussion of this charge.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depreciation and amortization for 2008 compared to pro forma depreciation and amortization for 2007 is primarily due to additional computer equipment in our customer service centers and increased leasehold improvements, office equipment and computer equipment for expansion of our Company-owned stores. As a percentage of revenues, depreciation and amortization was relatively flat at 8.4% for 2008 compared to pro forma depreciation and amortization of 8.6% for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jc w:val="both"/>
        <w:ind w:right="400"/>
        <w:spacing w:after="0" w:line="288" w:lineRule="auto"/>
        <w:rPr>
          <w:sz w:val="20"/>
          <w:szCs w:val="20"/>
          <w:color w:val="auto"/>
        </w:rPr>
      </w:pPr>
      <w:r>
        <w:rPr>
          <w:rFonts w:ascii="Arial" w:cs="Arial" w:eastAsia="Arial" w:hAnsi="Arial"/>
          <w:sz w:val="16"/>
          <w:szCs w:val="16"/>
          <w:color w:val="auto"/>
        </w:rPr>
        <w:t>The decrease in operating income for 2008 compared to pro forma operating income for 2007 is due to the goodwill and acquired intangible impairment charge in 2008. Excluding this charge, operating income increased 39% in 2008 compared to pro forma operating income for 2007 which is the result of increased revenues and gross profit as discussed in more detail above, partly offset by additional costs incurred to support our global expansion efforts.</w:t>
      </w:r>
    </w:p>
    <w:p>
      <w:pPr>
        <w:ind w:right="500"/>
        <w:spacing w:after="0" w:line="261" w:lineRule="auto"/>
        <w:rPr>
          <w:sz w:val="20"/>
          <w:szCs w:val="20"/>
          <w:color w:val="auto"/>
        </w:rPr>
      </w:pPr>
      <w:r>
        <w:rPr>
          <w:rFonts w:ascii="Arial" w:cs="Arial" w:eastAsia="Arial" w:hAnsi="Arial"/>
          <w:sz w:val="18"/>
          <w:szCs w:val="18"/>
          <w:color w:val="auto"/>
        </w:rPr>
        <w:t>Additionally, 2008 revenues and operating income included approximately $2.5 million in benefit from the favorable management of foreign exchange currency spreads as the result of unique circumstances.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2009, 2008 and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2009</w:t>
            </w:r>
          </w:p>
        </w:tc>
        <w:tc>
          <w:tcPr>
            <w:tcW w:w="7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Increase</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89"/>
              </w:rPr>
              <w:t>(Decrease)</w:t>
            </w:r>
          </w:p>
        </w:tc>
        <w:tc>
          <w:tcPr>
            <w:tcW w:w="8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5080" w:type="dxa"/>
            <w:vAlign w:val="bottom"/>
            <w:gridSpan w:val="3"/>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60" w:type="dxa"/>
            <w:vAlign w:val="bottom"/>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w w:val="93"/>
              </w:rPr>
              <w:t>Percent</w:t>
            </w:r>
          </w:p>
        </w:tc>
        <w:tc>
          <w:tcPr>
            <w:tcW w:w="8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16,226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15,037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13,217</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7,398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9,249</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5,811</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828</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25,017</w:t>
            </w: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25,518</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19,856</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Operating expenses for Corporate Services decreased by 2% for 2009 and increased by 29% for 2008 compared to the respective prior year. The increase in salaries and benefits for 2009 compared to 2008 is primarily the result of greater incentive compensation recorded in 2009 than in 2008. The decrease in selling, general and administrative expenses is due primarily to 2008 professional fees and settlement costs of $3.0 million associated with our efforts to acquire MoneyGram, partly offset by increased cost for professional fees for legal and acquisition-related expenses during 2009. The increase in corporate depreciation and amortization is the result of increased amortization related to an enterprise-wide desk-top license.</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2008 compared to 2007 is primarily the result of severance costs related to certain senior level positions and increased share-based compensation related to awards made to new employees, including those in the Money Transfer Segment. The increase in selling, general and administrative expenses is due primarily to $3.0 million in professional fees and settlement costs associated with our efforts to acquire MoneyGram. The increase in corporate depreciation and amortization is the result of amortization associated with the third quarter 2007 purchase of an enterprise-wide desk-top license.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2009</w:t>
            </w:r>
          </w:p>
        </w:tc>
        <w:tc>
          <w:tcPr>
            <w:tcW w:w="7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Increase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2"/>
              </w:rPr>
              <w:t>(Decrease)</w:t>
            </w: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500" w:type="dxa"/>
            <w:vAlign w:val="bottom"/>
            <w:gridSpan w:val="3"/>
          </w:tcPr>
          <w:p>
            <w:pPr>
              <w:spacing w:after="0" w:line="142" w:lineRule="exact"/>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40" w:type="dxa"/>
            <w:vAlign w:val="bottom"/>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w w:val="89"/>
              </w:rPr>
              <w:t>Percent</w:t>
            </w: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16,250</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(25,716)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(36,351)</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(37,597)</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908</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w w:val="96"/>
              </w:rPr>
              <w:t>Gain on sale of (impairment loss on) investment securities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(18,760)</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n/m</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early retirement of debt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(427)</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n/m</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Foreign currency exchange gain (loss), net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3,943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15,497</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n/m</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(15,092)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(51,646)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(5,369)</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n/m</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0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decreases in interest income for 2009 from 2008 and for 2008 from 2007 are primarily due to a decline in short-term interest rates and a decrease in average cash balances on hand during the respective years. Interest income for 2008 included $1.6 million for interest related to a federal excise tax refund. Increasing average cash deposits held in our trust accounts related to the administration of customer collections and vendor remittance activities of the Prepaid Processing Segment have slowed the decline in interest income as the Segment’s operations have grown.</w:t>
      </w:r>
    </w:p>
    <w:p>
      <w:pPr>
        <w:spacing w:after="0" w:line="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Short-term interest rates continue to be at historically low levels at the beginning of 2010 and if rates continue to be near these levels, we expect interest income earned on our invested balances for 2010 will remain low as a result.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decreases in interest expense for 2009 from 2008 and for 2008 from 2007 are primarily due to the repurchases of convertible debentures in late 2008 and early 2009 along with lower interest rates paid on floating-rate debt. During 2008, we also repaid $32 million on our term loan and significantly reduced borrowings under the revolving credit facility.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Similar to the impact on interest income, due to the recent low levels of short-term interest rates, we expect that interest paid on our floating-rate borrowings for 2010 will remain low if short-term interest rates remain near their current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unconsolidated affiliates mainly represents the equity in income of our 40% equity investment in epay Malaysia and our 49% investment in Euronet Middle East, an EFT Processing Segment joint venture in Bahrain. The increases in income for 2009 from 2008 and for 2008 from 2007 are the result of increased profitability of both affiliates. Income for 2007 includes the $0.4 million gain recognized from the sale of our 8% interest in CashNet Telecommunications Egypt SAE (CashNet).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(impairment loss on) investment securities</w:t>
      </w:r>
    </w:p>
    <w:p>
      <w:pPr>
        <w:spacing w:after="0" w:line="11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During 2009, we sold our shares of MoneyGram stock, recognizing a $1.8 million gain. The gain resulted from the increase in the share price after the $18.8 million impairment loss recorded in 2008 due to the other-than-temporary decline in value of our investment in MoneyGram.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early retirement of debt</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2009 and 2008, we repurchased in privately negotiated transactions $25.8 million and $70.0 million, respectively, in principal amount of the 1.625% convertible debentures due 2024. Loss on early retirement of debt of $0.3 million for 2009 and the gain of $1.4 million for 2008 represent the difference in the amounts paid for the convertible debentures compared to their carrying amounts, along with the pro-rata write-off of deferred financing costs associated with the portions of the term loan that were prepaid during 2009 and 2008. We expect to continue to prepay amounts outstanding under the term loan through available cash flows. Accordingly, we would recognize losses on early retirement of debt for the pro-rata portion of unamortized deferred financing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recorded net foreign currency exchange gains of $3.9 million and $15.5 million during 2009 and 2007, respectively, and a loss of $9.8 million during 2008. Throughout 2007, the U.S. dollar weakened against most European-based currencies, primarily the euro and British pound, creating realized and unrealized foreign currency exchange gains. This compares to 2008, when in the latter part of the year the U.S. dollar strengthened against these currencies and we, therefore, recorded realized and unrealized foreign currency exchange losses. The strengthening of the U.S. dollar continued through the first half of 2009 before weakening in the second half, resulting in net realized and unrealized gains.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57,173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(200,667)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25,836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34,038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31,337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(193,330)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36,827</w:t>
            </w:r>
          </w:p>
        </w:tc>
        <w:tc>
          <w:tcPr>
            <w:tcW w:w="0" w:type="dxa"/>
            <w:vAlign w:val="bottom"/>
          </w:tcPr>
          <w:p>
            <w:pPr>
              <w:spacing w:after="0"/>
              <w:rPr>
                <w:sz w:val="1"/>
                <w:szCs w:val="1"/>
                <w:color w:val="auto"/>
              </w:rPr>
            </w:pPr>
          </w:p>
        </w:tc>
      </w:tr>
      <w:tr>
        <w:trPr>
          <w:trHeight w:val="20"/>
        </w:trPr>
        <w:tc>
          <w:tcPr>
            <w:tcW w:w="770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3"/>
          </w:tcPr>
          <w:p>
            <w:pPr>
              <w:spacing w:after="0"/>
              <w:rPr>
                <w:sz w:val="20"/>
                <w:szCs w:val="20"/>
                <w:color w:val="auto"/>
              </w:rPr>
            </w:pPr>
            <w:r>
              <w:rPr>
                <w:rFonts w:ascii="Arial" w:cs="Arial" w:eastAsia="Arial" w:hAnsi="Arial"/>
                <w:sz w:val="18"/>
                <w:szCs w:val="18"/>
                <w:color w:val="auto"/>
              </w:rPr>
              <w:t>Effective income tax rate</w:t>
            </w:r>
          </w:p>
        </w:tc>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57,173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(200,667)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Adjust: Foreign currency exchange gain (loss), net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3,943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(9,821)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(220,077)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Adjust: Gain (loss) related to investment securities</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(18,760)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61,363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47,991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55,368</w:t>
            </w:r>
          </w:p>
        </w:tc>
        <w:tc>
          <w:tcPr>
            <w:tcW w:w="0" w:type="dxa"/>
            <w:vAlign w:val="bottom"/>
          </w:tcPr>
          <w:p>
            <w:pPr>
              <w:spacing w:after="0"/>
              <w:rPr>
                <w:sz w:val="1"/>
                <w:szCs w:val="1"/>
                <w:color w:val="auto"/>
              </w:rPr>
            </w:pPr>
          </w:p>
        </w:tc>
      </w:tr>
      <w:tr>
        <w:trPr>
          <w:trHeight w:val="20"/>
        </w:trPr>
        <w:tc>
          <w:tcPr>
            <w:tcW w:w="770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25,836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(7,337)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 Income tax expense (benefit) attributable to foreign currency exchange gain (loss),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Adjust: Income tax benefit attributable to goodwill and acquired intangible assets impairment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(11,916)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25,807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17,475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23,514</w:t>
            </w:r>
          </w:p>
        </w:tc>
        <w:tc>
          <w:tcPr>
            <w:tcW w:w="0" w:type="dxa"/>
            <w:vAlign w:val="bottom"/>
          </w:tcPr>
          <w:p>
            <w:pPr>
              <w:spacing w:after="0"/>
              <w:rPr>
                <w:sz w:val="1"/>
                <w:szCs w:val="1"/>
                <w:color w:val="auto"/>
              </w:rPr>
            </w:pPr>
          </w:p>
        </w:tc>
      </w:tr>
      <w:tr>
        <w:trPr>
          <w:trHeight w:val="20"/>
        </w:trPr>
        <w:tc>
          <w:tcPr>
            <w:tcW w:w="770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3"/>
          </w:tcPr>
          <w:p>
            <w:pPr>
              <w:spacing w:after="0"/>
              <w:rPr>
                <w:sz w:val="20"/>
                <w:szCs w:val="20"/>
                <w:color w:val="auto"/>
              </w:rPr>
            </w:pPr>
            <w:r>
              <w:rPr>
                <w:rFonts w:ascii="Arial" w:cs="Arial" w:eastAsia="Arial" w:hAnsi="Arial"/>
                <w:sz w:val="18"/>
                <w:szCs w:val="18"/>
                <w:color w:val="auto"/>
              </w:rPr>
              <w:t>Effective income tax rate, as adjusted</w:t>
            </w:r>
          </w:p>
        </w:tc>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calculate our effective tax rate by dividing income tax expense by pre-tax book income. Our effective tax rates were 45.2%, 3.7% and 48.0% for the years ended December 31, 2009, 2008 and 2007, respectively. There are several factors that have caused our effective tax rate to fluctuate over the past three years. The most significant of these factors include the Company’s tax position in the U.S., the impact of foreign currency exchange translation results and, specific to the years ended December 31, 2008 and 2009, the impairments for goodwill and acquired intangible assets and the gains and losses related to investment securities. Excluding foreign currency exchange translation results and the impairments to goodwill and acquired intangible assets and the gains and losses related to investment securities from pre-tax income, as well as the related tax effects for these items, our effective tax rates were 42.1%, 36.4% and 42.5% for the years ended December 31, 2009, 2008 and 2007, respectively.</w:t>
      </w:r>
    </w:p>
    <w:p>
      <w:pPr>
        <w:spacing w:after="0" w:line="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higher adjusted effective tax rates for 2007 and 2009 compared to 2008 were primarily related to the Company’s tax position in the U.S. and Spain, respectively. In 2007, significant pre-tax income from U.S. operations including the federal excise tax refund of $12.2 million resulted in the recognition of deferred income tax expense from the utilization of tax net operating losses. Due to the goodwill impairment test performed in 2008, we reviewed the impact of the adverse macroeconomic business conditions and outlook, as well as business forecasts, on the realization of our net operating losses and other deferred tax assets. Based on this information, we concluded that a valuation allowance was necessary against the deferred tax assets, including tax net operating losses, of our U.S. and Spanish operations. In 2009, the increase in the adjusted effective tax rate was the result of an inability to recognize the deferred tax benefits of tax net operating losses in Spain and an increase in operating income in high tax rate countries.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ind w:right="20"/>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During the fourth quarter of 2009, we sold Essentis for $7.1 million. This resulted in an after-tax gain of $0.2 million which is included in discontinued operations, net in the Consolidated Statements of Operations. Additionally, Essentis’s results of operations are shown as discontinued operations for all periods presented.</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Net income attributable to noncontrolling interests was $1.5 million and $2.0 million for 2009 and 2007, respectively, and net loss attributable to noncontrolling interests was $0.9 million for 2008. Noncontrolling interests represents the elimination of net income or loss attributable to the minority shareholders’ portion of the following consolidated subsidiaries that are not wholly-owned: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5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4"/>
                <w:szCs w:val="14"/>
                <w:color w:val="auto"/>
              </w:rPr>
            </w:pPr>
          </w:p>
        </w:tc>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1"/>
        </w:trPr>
        <w:tc>
          <w:tcPr>
            <w:tcW w:w="1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560" w:type="dxa"/>
            <w:vAlign w:val="bottom"/>
          </w:tcPr>
          <w:p>
            <w:pPr>
              <w:spacing w:after="0"/>
              <w:rPr>
                <w:sz w:val="14"/>
                <w:szCs w:val="14"/>
                <w:color w:val="auto"/>
              </w:rPr>
            </w:pPr>
          </w:p>
        </w:tc>
        <w:tc>
          <w:tcPr>
            <w:tcW w:w="7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Movilcarga</w:t>
            </w:r>
          </w:p>
        </w:tc>
        <w:tc>
          <w:tcPr>
            <w:tcW w:w="5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560" w:type="dxa"/>
            <w:vAlign w:val="bottom"/>
            <w:shd w:val="clear" w:color="auto" w:fill="CCEEFF"/>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e-pay SRL</w:t>
            </w:r>
          </w:p>
        </w:tc>
        <w:tc>
          <w:tcPr>
            <w:tcW w:w="1160" w:type="dxa"/>
            <w:vAlign w:val="bottom"/>
            <w:gridSpan w:val="2"/>
          </w:tcPr>
          <w:p>
            <w:pPr>
              <w:jc w:val="center"/>
              <w:ind w:left="490"/>
              <w:spacing w:after="0"/>
              <w:rPr>
                <w:sz w:val="20"/>
                <w:szCs w:val="20"/>
                <w:color w:val="auto"/>
              </w:rPr>
            </w:pPr>
            <w:r>
              <w:rPr>
                <w:rFonts w:ascii="Arial" w:cs="Arial" w:eastAsia="Arial" w:hAnsi="Arial"/>
                <w:sz w:val="18"/>
                <w:szCs w:val="18"/>
                <w:color w:val="auto"/>
                <w:w w:val="94"/>
              </w:rPr>
              <w:t>51%</w:t>
            </w:r>
          </w:p>
        </w:tc>
        <w:tc>
          <w:tcPr>
            <w:tcW w:w="56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Prepaid -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11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4"/>
              </w:rPr>
              <w:t>51%</w:t>
            </w:r>
          </w:p>
        </w:tc>
        <w:tc>
          <w:tcPr>
            <w:tcW w:w="56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 various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Euronet China</w:t>
            </w:r>
          </w:p>
        </w:tc>
        <w:tc>
          <w:tcPr>
            <w:tcW w:w="1160" w:type="dxa"/>
            <w:vAlign w:val="bottom"/>
            <w:gridSpan w:val="2"/>
          </w:tcPr>
          <w:p>
            <w:pPr>
              <w:jc w:val="center"/>
              <w:ind w:left="490"/>
              <w:spacing w:after="0"/>
              <w:rPr>
                <w:sz w:val="20"/>
                <w:szCs w:val="20"/>
                <w:color w:val="auto"/>
              </w:rPr>
            </w:pPr>
            <w:r>
              <w:rPr>
                <w:rFonts w:ascii="Arial" w:cs="Arial" w:eastAsia="Arial" w:hAnsi="Arial"/>
                <w:sz w:val="18"/>
                <w:szCs w:val="18"/>
                <w:color w:val="auto"/>
                <w:w w:val="94"/>
              </w:rPr>
              <w:t>75%</w:t>
            </w:r>
          </w:p>
        </w:tc>
        <w:tc>
          <w:tcPr>
            <w:tcW w:w="56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Euronet Worldwide, Inc. was $30.3 million in 2009 compared to a net loss of $193.5 million for 2008 and net income of</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$35.8 million 2007. As more fully discussed above, the increase of $223.8 million in 2009 compared to 2008 was mainly the result of the $221.3 million increase in operating income driven by the $210.2 million greater non-cash goodwill and acquired intangible assets impairment charge in 2008 than in 2009. Additionally, 2008 results include $18.8 million in unrealized loss on investment securities compared to the $1.8 million gain in 2009 on sale of the same securities. Further, income tax increased $33.2 million and net income attributable to noncontrolling interests increased $2.4 million while foreign currency exchanges gain increased $13.8 million, net interest expense decreased $3.3 million, net income from discontinued operations increased $1.5 million and other items decreased net income by $1.1 million.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decrease of $229.2 million in 2008 compared to 2007 was also mainly the result of the $220.1 million impairment charge in 2008 and the $12.2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federal excise tax refund recorded in 2007 which drove the $225.3 million decrease in operating income. Additionally, 2008 results include an $18.8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loss on investment securities and a $25.3 million increase in foreign currency losses. Furthermore, net interest expense increased $4.4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income from discontinued operations decreased $2.0 million. Partly offsetting these losses were a $41.4 million decrease in income tax expense,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 million improvement in income from the net gain on early retirement of debt, a $3.0 million benefit from changes in results attributed to noncontrolling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interests and a $0.3 million increase in income from unconsolidated affiliates.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TRANSLATION ADJUSTMENT</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(loss).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recorded a gain (loss) on translation adjustment of $29.2 million, $(79.3) million and $41.8 million in 2009, 2008 and 2007, respectively. Throughout 2007, the U.S. dollar weakened against most European-based currencies, primarily the euro and British pound, creating translation gains. In the latter half of 2008, the U.S. dollar strengthened against most of those currencies, resulting in translation losses. This strengthening continued until the second half of 2009 when the U.S. dollar weakened against most of those currencies, resulting in net translation gains which were recorded in comprehensive income (loss).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As of December 31, 2009, we had working capital, which is the difference between total current assets and total current liabilities, of $167.0 million, compared to working capital of $96.5 million as of December 31, 2008. Our ratio of current assets to current liabilities was 1.34 at December 31, 2009, compared to 1.17 as of December 31, 2008. The increase in working capital is due primarily to the contributions from operating results, the reduction of current maturities of long-term debt and borrowings on revolving debt classified as long-term to fund working capital requirements of the Money Transfer segment.</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December 31, 2009, working capital in the Money Transfer Segment was $103.6 million. We expect that working capital needs will increase as we expand this business. The Prepaid Processing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flows provided by operating activities were $96.1 million for 2009, compared to $91.2 million for 2008. The increase was primarily the result of improved operating results as adjusted for non-cash charges. Improved cash flows from fluctuations in working capital were largely offset by amounts paid to secure an exclusive, long-term distribution agreement with a vendor in Australia.</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flows provided by operating activities were $91.2 million for 2008, compared to $78.3 million for 2007. The increase was primarily due to fluctuations in working capital, including the collection of $12.2 million for the federal excise tax refund that was recognized in net income during 2007. The increase in depreciation and amortization expense that is added to net income to arrive at operating cash flows is due largely to the inclusion of RIA for a full year, compared to nine months in 2007. Other fluctuations in working capital are mainly the result of changes in the timing of the settlement process with mobile operators in the Prepaid Processing Segment around year-end.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flows used in investing activities were $39.8 million for 2009, compared to $21.3 million for 2008. Our investing activities include $35.0 million and $43.0 million for the purchase of property and equipment, software development and other long-term assets in 2009 and 2008, respectively. Our acquisitions used $17.2 million and $5.4 million in 2009 and 2008, respectively. Our investing activities for 2009 included $7.1 million in proceeds from the sale of Essentis, $3.0 million from the sale of MoneyGram common stock and $2.3 million from the sale of property and equipment. Our investing activities for 2008 include the return of $26.0 million we placed in escrow in 2007 in connection with the agreement to acquire Envios de Valores La Nacional Corp. (“La Nacional”). On January 10, 2008, we entered into a settlement agreement with La Nacional and its stockholder evidencing the parties’ mutual agreement not to consummate the acquisition, in exchange for payment by Euronet of a portion of the legal fees incurred by La Nacional.</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used in investing activities were $21.3 million for 2008, compared to $439.9 million for 2007. As discussed above, our investing activities for 2008 include the return of $26.0 million we placed in escrow in 2007. Our investing activities also include $43.0 million and $42.3 million for the purchase of property and equipment, software development and other long-term assets in 2008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5" w:name="page56"/>
    <w:bookmarkEnd w:id="55"/>
    <w:p>
      <w:pPr>
        <w:ind w:right="200"/>
        <w:spacing w:after="0" w:line="277" w:lineRule="auto"/>
        <w:rPr>
          <w:sz w:val="20"/>
          <w:szCs w:val="20"/>
          <w:color w:val="auto"/>
        </w:rPr>
      </w:pPr>
      <w:r>
        <w:rPr>
          <w:rFonts w:ascii="Arial" w:cs="Arial" w:eastAsia="Arial" w:hAnsi="Arial"/>
          <w:sz w:val="18"/>
          <w:szCs w:val="18"/>
          <w:color w:val="auto"/>
        </w:rPr>
        <w:t>and 2007, respectively. While our acquisitions in 2008 were $5.4 million, we used $352.7 million in 2007, primarily for the acquisition of RIA, and another $20.0 million to purchase MoneyGram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Cash flows used in financing activities were $57.5 million during 2009, compared to $145.7 million during 2008. Our financing activities consisted primarily of net repayments of debt obligations of $56.2 million and $146.6 million for 2009 and 2008, respectively.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2009 and 2008, we had a total of $517.9 million and $270.0 million in borrowings, respectively, and $495.6 million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$315.1 million in repayments, respectively, under our revolving credit facility. During 2009 and 2008, we repurchased $68.8 million and $70.0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in principal amount of our 1.625% convertible debentures for $68.0 million and $63.4 million in cash, respectively. Additionally, we paid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$3.0 million in 2009 and $32.0 million in 2008 on our term loan. Finally, we paid $7.2 million and $6.8 million of capital lease obligations during 2009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2008, respectively.</w:t>
      </w:r>
    </w:p>
    <w:p>
      <w:pPr>
        <w:spacing w:after="0" w:line="10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Cash flows used in financing activities were $145.7 million during 2008, compared to $301.5 million of cash provided during 2007. Our financing activities for 2008 consisted primarily of net repayments of debt obligations of $146.6 million. Our financing activities for 2007 consisted primarily of $190.0 million in proceeds from borrowings under our term loan agreement that were used to finance a portion of the acquisition of RIA and proceeds from the equity private placement and stock option exercises totaling $167.7 million. Partially offsetting these increases were repayments and early retirements of debt obligations of $30.9 million, net repayments of borrowings under the revolving credit facility of $8.9 million and repayments of capital lease obligations of $10.4 million. We also paid dividends to holders of noncontrolling interests of $2.8 million and debt issuance costs associated with our credit facility of $3.8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In connection with completing the April 2007 acquisition of RIA, we entered into a $290 million secured credit facility consisting of a</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$1.9 million of the balance each year, with the remaining balance payable at the end of the seven-year term. We have prepaid amounts on this loan and we estimate that we will be able to repay the remaining $129 million term loan prior to its maturity date through cash flows available from operations, provided our operating cash flows are not required for future business developments. Up front financing costs of $4.8 million were deferred and are being amortized over the terms of the respective loans.</w:t>
      </w:r>
    </w:p>
    <w:p>
      <w:pPr>
        <w:spacing w:after="0" w:line="8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April 2008, we entered into an amendment to the Credit Facility to, among other things, (i) change the definition of one of the financial covenants in the original agreement to exclude the effect of certain one-time expenses and (ii) allow for the repurchase of up to $70 million aggregate principal amount of the $140 million in Convertible Senior Debentures Due 2024. During 2008, we repurchased in privately negotiated transactions $70 million in principal amount of the debentures. Additionally, we incurred costs of $0.6 million in connection with the amendment, which will be recognized as additional interest expense over the remaining term of the Credit Facility.</w:t>
      </w:r>
    </w:p>
    <w:p>
      <w:pPr>
        <w:spacing w:after="0" w:line="8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February 2009, we entered into Amendment No. 2 to the Credit Facility to, among other things, (i) (a) grant us the ability to repurchase the remaining $70 million of outstanding 1.625% Convertible Senior Debentures Due 2024 and (b) repurchase our 3.5%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or provisions related to Indebtedness, Liens, Permitted Disposition, Debt Transactions, Investments and other matters. We incurred costs of approximately $1.6 million in connection with the amendment, which will be recognized as additional interest expense over the remaining term of the Credit Facility.</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$100 million five-year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may be required to repay our obligations under the Credit Facility six months before the potential repurchase dates, the first being October 15, 2012, under our $175 million 3.5% Convertible Debentures Due 2025, unless we are able to demonstrate that either: (i) we could borrow unsubordinated funded debt equal to the principal amount of the applicable convertible debentures while remaining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spacing w:after="0" w:line="264" w:lineRule="auto"/>
        <w:rPr>
          <w:sz w:val="20"/>
          <w:szCs w:val="20"/>
          <w:color w:val="auto"/>
        </w:rPr>
      </w:pPr>
      <w:r>
        <w:rPr>
          <w:rFonts w:ascii="Arial" w:cs="Arial" w:eastAsia="Arial" w:hAnsi="Arial"/>
          <w:sz w:val="18"/>
          <w:szCs w:val="18"/>
          <w:color w:val="auto"/>
        </w:rPr>
        <w:t>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2009, we had borrowings of $129.0 million outstanding against the term loan. We had borrowings of $39.2 million and stand-by letters of credit and bank guarantees of $43.1 million outstanding against the revolving credit facility. The remaining $17.7 million under the revolving credit facility ($42.7 million if the facility were increased to $125 million) was available for borrowing. Borrowings under the revolving credit facility are being used to fund short-term working capital requirements in the U.S., Spain and India. As of December 31, 2009, our weighted average interest rate was 1.6% under the revolving credit facility and 2.3% under the term loan, excluding amortization of deferred financing costs.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December 31, 2009 were primarily the $1.2 million 1.625% Convertible Senior Debentures Due 2024, as we elected to redeem the outstanding debentures in January 2010, and the $1.9 million annual repayment requirement under the term loan. Certain of our subsidiaries also have available credit lines and overdraft facilities to supplement short-term working capital requirements, but there were no amounts outstanding against these facilities as of December 31, 2009.</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$175 million in principal amount of 3.5%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We will pay contingent interest for the six-month period from October 15, 2012 through April 14, 2013 and for each six-month period thereafter from April 15 to October 14 or October 15 to April 14 if the average trading price of the debentures for the applicable five trading-day period preceding such applicable six-month interest period equals or exceeds 120% of the principal amount of the debentures. Contingent interest will equal 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5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Should holders of the 3.5%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agreements governing these debentures and in Note 12, Debt Obligations, to the Consolidated Financial Statements.</w:t>
      </w:r>
    </w:p>
    <w:p>
      <w:pPr>
        <w:spacing w:after="0" w:line="4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2009, we also had $1.2 million in principal amount of 1.625% Convertible Senior Debentures Due 2024. We elected to redeem the outstanding debentures effective January 2010 at par.</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Proceeds from issuance of shares and other capital contributions</w:t>
      </w:r>
      <w:r>
        <w:rPr>
          <w:rFonts w:ascii="Arial" w:cs="Arial" w:eastAsia="Arial" w:hAnsi="Arial"/>
          <w:sz w:val="18"/>
          <w:szCs w:val="18"/>
          <w:color w:val="auto"/>
        </w:rPr>
        <w:t xml:space="preserve"> – We have established, and shareholders have approved, share compensation plans that allow the Company to make grants of shares of restricted Common Stock, or options to purchase shares of Common Stock, to certain current and prospective key employees, directors and consultants. During 2009, 193,554 stock options were exercised at an average exercise price of $11.25, resulting in proceeds to us of approximately $2.2 million.</w:t>
      </w:r>
    </w:p>
    <w:p>
      <w:pPr>
        <w:spacing w:after="0" w:line="7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We also sponsor a qualified Employee Stock Purchase Plan (“ESPP”) under which we reserved 500,000 shares of Common Stock for purchase under the plan by employees through payroll deductions according to specific eligibility and participation requirements. This plan qualifies as an “employee stock purchase plan” under Section 423 of the Internal Revenue Code of 1986. Offerings commence at the beginning of each quarter and expire at the end of the quarter.</w:t>
      </w:r>
    </w:p>
    <w:p>
      <w:pPr>
        <w:ind w:right="80"/>
        <w:spacing w:after="0" w:line="295" w:lineRule="auto"/>
        <w:rPr>
          <w:sz w:val="20"/>
          <w:szCs w:val="20"/>
          <w:color w:val="auto"/>
        </w:rPr>
      </w:pPr>
      <w:r>
        <w:rPr>
          <w:rFonts w:ascii="Arial" w:cs="Arial" w:eastAsia="Arial" w:hAnsi="Arial"/>
          <w:sz w:val="16"/>
          <w:szCs w:val="16"/>
          <w:color w:val="auto"/>
        </w:rPr>
        <w:t>Under the plan, participating employees are granted options, which immediately vest and are automatically exercised on the final date of the respective offering period. The exercise price of Common Stock options purchased is the lesser of 85% of the “fair market value” (as defined in the ESPP) of the shares on the first day of each offering or the last day of each offering. The options are funded by participating employees’ payroll deductions or cash payments. During 2009, we issued 49,337 shares at an average price of $15.04 per share, resulting in proceeds to us of approximately $0.7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discussed further in Note 18, Stock Plans, to the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u w:val="single" w:color="auto"/>
          <w:color w:val="auto"/>
        </w:rPr>
        <w:t>Payment obligations related to acquisitions</w:t>
      </w:r>
      <w:r>
        <w:rPr>
          <w:rFonts w:ascii="Arial" w:cs="Arial" w:eastAsia="Arial" w:hAnsi="Arial"/>
          <w:sz w:val="16"/>
          <w:szCs w:val="16"/>
          <w:color w:val="auto"/>
        </w:rPr>
        <w:t xml:space="preserve"> – 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the legal process in the dispute has remained dormant for over a year. Any additional payments, if ultimately determined to be owed the seller, will be recorded as additional goodwill and could be made in either cash or a combination of cash and Euronet Common Stock at our option.</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we would have to pay a total of $2.5 million in cash or 75,489 shares of Euronet Common Stock, at the option of the seller. However, Brodos Romania failed to achieve the performance criteria by January 2010 for the first $1.25 million and based on its current performance, it is unlikely to achieve the performance criteria during 2010 for the remaining amounts.</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that expire between 2010 and 2014. The leases bear interest between 5.2% and 13.7% per year. As of December 31, 2009, we owed $4.5 million under these capital lease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2009 were $34.5 million, of which $0.7 million were funded through capital leases. These capital expenditures were primarily for the purchase of ATMs to meet contractual requirements in Poland and India, the purchase and installation of ATMs in key under-penetrated markets, the purchase of POS terminals for the Prepaid Processing and Money Transfer Segments, and office and data center computer equipment and software. Included in capital expenditures for office and data center equipment and software for 2009 is approximately $1.6 million in capital expenditures for the purchase and development of the necessary processing systems and capabilities to enter the cross-border merchant processing and acquiring business. Total capital expenditures for 2010 are estimated to be approximately $40 million to $50 million.</w:t>
      </w:r>
    </w:p>
    <w:p>
      <w:pPr>
        <w:spacing w:after="0" w:line="5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 additional $1.3 million in software development cost was capitalized during 2009 for the development and enhancement of our EFT Processing Segment software products. See Note 21, Computer Software to be Sold, to the Consolidated Financial Statements for a further discussion.</w:t>
      </w:r>
    </w:p>
    <w:p>
      <w:pPr>
        <w:spacing w:after="0" w:line="3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Prepaid Processing Segment, approximately 116,000 of the approximately 498,000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EFT Processing Segment, we are required to maintain ATM hardware for Euronet-owned ATMs and software for all ATMs in our network and in our processing centers in accordance with certain regulations and mandates established by local country regulatory and administrative bodies as well as EMV (Europay, MasterCard and Visa) chip card support. Additionally, as regulations change or new regulations or mandates are issued, we may have additional capital expenditures over the next few years to maintain compliance with these regulations and/or mandates. While we do not currently have plans to increase capital expenditures to expand our network of owned ATMs, we expect that if strategic opportunities were available to us, we would consider increasing future capital expenditures to expand this network in new or existing markets.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second quarter 2009, the Antitrust Division of the United States Department of Justice (the “DOJ”) served Continental Exchange Solutions, Inc. d/b/a RIA Financial Service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We acquired all of the stock of RIA Envia, Inc., the parent of CES, in April 2007. The Company and CES are fully cooperating with the DOJ in its investigation.</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this time, we are unable to predict whether this investigation will result in the DOJ bringing charges against CES. Accordingly, we are unable to predict the outcome of this investigation, the possible loss or possible range of loss, if any, associated with the resolution of any charges that may be brought against CES, or any potential effect on our business, results of operations or financial condition.</w:t>
      </w:r>
    </w:p>
    <w:p>
      <w:pPr>
        <w:spacing w:after="0" w:line="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Additionally, 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$9.1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involves the assumption of credit risk, as the principal amount of transactions is settled to merchants before settlements are received from card associations. We incurred $2.5 million in operating losses related to this business in 2009 and expect to incur approximately $1.5 million to $2.0 million in operating losses during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Historically, the Compensation Committee of our Board of Directors has awarded nonvested shares or nonvested share units (“restricted stock”) and stock options as an element of long-term management incentive compensation. The amount of future compensation expense related to awards of restricted stock is based on the market price for Euronet Common Stock at the grant date. For grants of stock options, we used the Black-Scholes option pricing model or Monte Carlo simulation model for the determination of fair value for stock option grants and plan to use the Black Scholes option pricing model or Monte Carlo simulation model, as appropriate, for future stock option grants, if any. The grant date for stock options or restricted stock is the date at which all key terms and conditions of the grant have been determined and the Company becomes contingently obligated to transfer assets to the employee who renders the requisite service, generally the date at which grants are approved by our Board of Directors or Compensation Committee thereof. Share-based compensation expense for awards with only service conditions is generally recognized as expense on a “straight-line” basis over the requisite service period. 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Expense for stock options and restricted stock is generally recorded as a corporate expense.</w:t>
      </w:r>
    </w:p>
    <w:p>
      <w:pPr>
        <w:spacing w:after="0" w:line="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total unrecognized compensation cost related to unvested stock option and restricted stock awards of $28.2 million that will be recognized over a weighted average period of 3.8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Due to these factors, we do not believe that inflation will have a significant effect on our results of operations or financial position. We continually review inflation and the functional currency in each of the countries where we operate.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certain significant off balance sheet items described below and in the following section, “Contractual Obligations” (also see Note 24, Guarantees, to the Consolidated Financial Statements).</w:t>
      </w:r>
    </w:p>
    <w:p>
      <w:pPr>
        <w:spacing w:after="0" w:line="6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of December 31, 2009 we had $60.7 million of bank guarantees issued on our behalf, of which $10.7 million are collateralized by cash deposits held by the respective issuing banks and $43.1 million are supported by stand-by letters of credit issued against the revolving credit facility. These letters of credit reduce the amount available for borrowing under our revolving credit facility.</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occasion we grant guarantees in support of obligations of subsidiaries. As of December 31, 2009, we had granted guarantees for cash in various ATM networks amounting to $19.4 million over the terms of the cash supply agreements and performance guarantees amounting to approximately $31.3 million over the terms of the agreements with the customers.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enter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provisions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100" w:hanging="436"/>
        <w:spacing w:after="0" w:line="286" w:lineRule="auto"/>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In connection with contracts with financial institutions in the EFT Processing Segment, we are responsible for damages to ATMs and theft of ATM network cash that, generally, is not recorded on the Consolidated Balance Sheet. As of December 31, 2009, the balance of ATM network cash for which we were responsible was approximately $370 million. We maintain insurance policies to mitigate this exposure;</w:t>
      </w:r>
    </w:p>
    <w:p>
      <w:pPr>
        <w:spacing w:after="0" w:line="70" w:lineRule="exact"/>
        <w:rPr>
          <w:rFonts w:ascii="Arial" w:cs="Arial" w:eastAsia="Arial" w:hAnsi="Arial"/>
          <w:sz w:val="17"/>
          <w:szCs w:val="17"/>
          <w:b w:val="1"/>
          <w:bCs w:val="1"/>
          <w:color w:val="auto"/>
        </w:rPr>
      </w:pPr>
    </w:p>
    <w:p>
      <w:pPr>
        <w:ind w:left="660" w:right="40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have entered into purchase and service agreements with our vendors and into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00" w:hanging="436"/>
        <w:spacing w:after="0" w:line="273" w:lineRule="auto"/>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In connection with acquisitions and dispositions of subsidiaries, operating units and business assets, we have entered into agreements containing indemnification provisions, which are generally described as follows: (i) in connection with acquisitions made by Euronet, we have agreed to indemnify the seller against third party claims made against the seller relating to the subject subsidiary,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83" w:lineRule="exact"/>
        <w:rPr>
          <w:rFonts w:ascii="Arial" w:cs="Arial" w:eastAsia="Arial" w:hAnsi="Arial"/>
          <w:sz w:val="17"/>
          <w:szCs w:val="17"/>
          <w:b w:val="1"/>
          <w:bCs w:val="1"/>
          <w:color w:val="auto"/>
        </w:rPr>
      </w:pPr>
    </w:p>
    <w:p>
      <w:pPr>
        <w:ind w:left="660" w:right="30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have entered into agreements with certain third parties, including banks that provide fiduciary and other services to Euronet or to our benefit plans. Under such agreements, we have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connection with our entry into the money transfer business, we have issued surety bonds in compliance with licensing requirements of the applicable governmental authorities.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also required to meet minimum capitalization and cash requirements of various regulatory authorities in the jurisdictions in which we have money transfer operations. We are not aware of any significant claims made by the indemnified parties or third parties to guarantee agreements with us and, accordingly, no liabilities were recorded as of December 31, 2009.</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40" w:type="dxa"/>
            <w:vAlign w:val="bottom"/>
          </w:tcPr>
          <w:p>
            <w:pPr>
              <w:spacing w:after="0"/>
              <w:rPr>
                <w:sz w:val="10"/>
                <w:szCs w:val="10"/>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3-5 years</w:t>
            </w:r>
          </w:p>
        </w:tc>
        <w:tc>
          <w:tcPr>
            <w:tcW w:w="3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7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$ 377,034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20,436</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$ 229,604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$ 126,994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Estimated contingent acquisition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5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2,811</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2,021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Obligations under operating leases</w:t>
            </w:r>
          </w:p>
        </w:tc>
        <w:tc>
          <w:tcPr>
            <w:tcW w:w="700" w:type="dxa"/>
            <w:vAlign w:val="bottom"/>
          </w:tcPr>
          <w:p>
            <w:pPr>
              <w:jc w:val="right"/>
              <w:spacing w:after="0"/>
              <w:rPr>
                <w:sz w:val="20"/>
                <w:szCs w:val="20"/>
                <w:color w:val="auto"/>
              </w:rPr>
            </w:pPr>
            <w:r>
              <w:rPr>
                <w:rFonts w:ascii="Arial" w:cs="Arial" w:eastAsia="Arial" w:hAnsi="Arial"/>
                <w:sz w:val="18"/>
                <w:szCs w:val="18"/>
                <w:color w:val="auto"/>
              </w:rPr>
              <w:t>109,393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23,314</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39,139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26,344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$ 492,878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47,811</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$ 270,764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$ 153,707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For the purposes of the above table, our $175 million convertible debentures issued in October 2005 are considered due during 2012, representing the first year in which holders have the right to exercise their put option. Additionally, the above table only includes interest on these convertible debentures up to these dates. Although in certain circumstances we may be required to repay our obligations under the Credit Facility six months before any potential repurchase date under our $175 million convertible debentures, the table above assumes that these circumstances will not be met and the Credit Facility will be fully repaid at maturity. We have assumed $39.2 million, the December 31, 2009 balance, will be outstanding at all times under the revolving credit facility. The computation of interest for debt obligations with variable interest rates reflects interest rates in effect at December 31, 2009. For additional information on debt obligations, see Note 12, Debt Obligations, to the Consolidated Financial Statements.</w:t>
      </w:r>
    </w:p>
    <w:p>
      <w:pPr>
        <w:spacing w:after="0" w:line="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Estimated contingent acquisition obligations as of December 31, 2009 are additional consideration to be settled in cash or Euronet Common Stock that we may have to pay during 2010 in connection with the acquisition of Brodos, totaling up to $1.25 million. See Note 6, Acquisitions, to the Consolidated Financial Statements for a more complete description of these acquisitions.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capital and operating lease obligations, see Note 15, Leases, to the Consolidated Financial Statements.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total liability for uncertain tax positions under Accounting Standards Codification (“ASC”) 740-10-25 and 30 (formerly Financial Accounting Standards Board (“FASB”) Interpretation No. 48) was $9.1 million as of December 31, 2009. We are not able to reasonably estimate the amount by which the liability will increase or decrease over time; however, at this time, we do not expect a significant payment related to these obligations within the next year. See Note 16, Taxes, to the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estimating the useful lives and potential impairment of long-lived assets and goodwill, as well as allocating the purchase price to assets acquired in acquisitions, and revenue recognition.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statement of operations effect is generally derived from changes in deferred income taxes, net of valuation allowances, on the balance sheet as measured by differences in the book and tax bases of our assets and liabilities.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16, Taxes, to the Consolidated Financial Statements, gross deferred tax assets were $120.4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partially offset by a valuation allowance of $76.9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2009.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accordance with ASC 805 (formerly SFAS No. 141(R)), we allocate the acquisition purchase price to the tangible assets, liabilities and intangible assets acquired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engages an appraiser to assist in the valuation. Intangible assets with finite lives are amortized over their estimated useful lives. As of December 31, 2009, the Consolidated Balance Sheet includes goodwill of $504.7 million and acquired intangible assets, net of accumulated amortization, of $112.9 million.</w:t>
      </w:r>
    </w:p>
    <w:p>
      <w:pPr>
        <w:spacing w:after="0" w:line="5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accordance with ASC 350 (formerly SFAS No. 142), on an annual basis, and whenever events or circumstances dictate, we test for impairment.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Our annual impairment tests during the years 2009 and 2007 indicated that there were no impairments. As a result of our annual impairment test for the year ended December 31, 2008, we recorded non-cash goodwill impairment charges of $228.5 million. See Note 10, Goodwill and Acquired Intangible Assets, Net, to the Consolidated Financial Statements for additional information regarding this charge.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additional material non-cash impairment charges during the year in which these changes take place.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accordance with ASC 350 (formerly SFAS No. 144),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right="200"/>
        <w:spacing w:after="0" w:line="286" w:lineRule="auto"/>
        <w:rPr>
          <w:sz w:val="20"/>
          <w:szCs w:val="20"/>
          <w:color w:val="auto"/>
        </w:rPr>
      </w:pPr>
      <w:r>
        <w:rPr>
          <w:rFonts w:ascii="Arial" w:cs="Arial" w:eastAsia="Arial" w:hAnsi="Arial"/>
          <w:sz w:val="17"/>
          <w:szCs w:val="17"/>
          <w:color w:val="auto"/>
        </w:rPr>
        <w:t>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605-45 (formerly Emerging Issues Task Force (“EITF”) 99-19, “Reporting Revenue Gross as Principle versus Net as an Agent”), ASC 605-25 (formerly EITF 00-21, “Accounting for Revenue Arrangements with Multiple Deliverables”), and various other interpretations.</w:t>
      </w:r>
    </w:p>
    <w:p>
      <w:pPr>
        <w:spacing w:after="0" w:line="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the Company.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record certain revenues in the EFT Processing Segment related to the sale of EFT software solutions for electronic payment and transaction delivery systems, including professional fees for implementation and customization, ongoing software maintenance and associated computer hardware. When determining the proper revenue recognition for these items, in addition to SAB 101, SAB 104, and ASC 605-25, we also consider the guidance contained in ASC 985-605-15 (formerly Statement of Position (“SOP”) 97-2, “Software Revenue Recognition”), as amended by SOP 98-4 and SOP 98-9, and ASC 605-35 (formerly SOP 81-1, “Accounting for Performance of Construction-Type and Certain Production-Type Contracts”). Applying U.S. GAAP revenue recognition guidance to the software business requires detailed knowledge of the rules and is subject to complex judgment. For the year ended December 31, 2009, revenues from software and software-related products and services represented less than 2% of our total consolidated revenues.</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EMERGING ACCOUNTING PRONOUNCEMENTS NOT YET ADOPTED</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September 2009, the FASB issued Accounting Standards Update (“ASU”) 2009-13 (formerly Emerging Issues Task Force Consensus 08-01). ASU 2009-13 adds estimated selling price as acceptable evidence of fair value of undelivered products and services in revenue arrangements with multiple deliverables. Estimated selling price can be used if there is no vendor-specific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ASU 2009-13 is effective on a prospective basis for revenue arrangements entered into or modified for fiscal years beginning on or after June 15, 2010 with earlier application permitted. We are evaluating the impact that the adoption of ASU 2009-13 will have on our financial statements and whether we will elect early application; however, the impact is not expected to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as amended.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technological advances,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right="140"/>
        <w:spacing w:after="0" w:line="342" w:lineRule="auto"/>
        <w:rPr>
          <w:sz w:val="20"/>
          <w:szCs w:val="20"/>
          <w:color w:val="auto"/>
        </w:rPr>
      </w:pPr>
      <w:r>
        <w:rPr>
          <w:rFonts w:ascii="Arial" w:cs="Arial" w:eastAsia="Arial" w:hAnsi="Arial"/>
          <w:sz w:val="16"/>
          <w:szCs w:val="16"/>
          <w:color w:val="auto"/>
        </w:rPr>
        <w:t>Although we believe that the expectations reflected in such forward-looking statements are reasonable, we can give no assurance that such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including, but not limited to, those referred to above and as set forth in Item 1A —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completing the acquisition of RIA in April 2007, we entered into a $290 million secured syndicated credit facility consisting of a</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$190 million seven-year term loan, which was fully drawn at closing, and a $100 million five-year revolving credit facility, which accrue interest at variable rates. This credit facility replaced our $50 million revolving credit facility. The credit facility may be expanded by up to an additional $150 million in term loans and up to an additional $25 million for the revolving line of credit, subject to satisfaction of certain conditions including pro forma debt covenant compliance. This facility substantially increased our interest rate risk.</w:t>
      </w:r>
    </w:p>
    <w:p>
      <w:pPr>
        <w:spacing w:after="0" w:line="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2009, our total outstanding debt was $327.9 million. Of this amount, $155.2 million, or 47% of our total debt obligations, relates to contingent convertible debentures having fixed coupon rates. Our $175.0 million contingent convertible debentures, issued in October 2005, accrue interest at a rate of 3.5% per annum. The $1.2 million contingent convertible debentures, issued in December 2004 accrue interest at a rate of 1.625% per annum. Based on quoted market prices, as of December 31, 2009 the fair value of our fixed rate convertible debentures was $163.5 million, compared to a carrying value of $155.2 million.</w:t>
      </w:r>
    </w:p>
    <w:p>
      <w:pPr>
        <w:spacing w:after="0" w:line="8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Interest expense, including amortization of deferred debt issuance costs, for our total $155.2 million in fixed rate debt totals approximately $13.6 million per year, which equates to a weighted average interest rate of 8.8% annually. Additionally, approximately $4.5 million, or 2% of our total debt obligations, relate to capitalized leases with fixed payment and interest terms that expire between 2010 and 2014.</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remaining $168.2 million, or 51%,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annualized interest expense of approximately $2.1 million. This computation excludes the potential $150.0 million from an expanded term loan because of the limited circumstances under which the additional amounts would be available to us for borrowing. For more information regarding our debt obligations, see Note 12, Debt Obligations, to the Consolidated Financial Statements.</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years ended December 31, 2009 and 2008, 76% of our revenues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to the euro, British pound, Australian dollar and Polish zloty. As of December 31, 2009, we estimate that a 10% fluctuation in these foreign currency exchange rates would have the combined annualized effect on reported net income and working capital of approximately $30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$60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64" w:name="page65"/>
    <w:bookmarkEnd w:id="64"/>
    <w:p>
      <w:pPr>
        <w:ind w:right="160"/>
        <w:spacing w:after="0" w:line="277" w:lineRule="auto"/>
        <w:rPr>
          <w:sz w:val="20"/>
          <w:szCs w:val="20"/>
          <w:color w:val="auto"/>
        </w:rPr>
      </w:pPr>
      <w:r>
        <w:rPr>
          <w:rFonts w:ascii="Arial" w:cs="Arial" w:eastAsia="Arial" w:hAnsi="Arial"/>
          <w:sz w:val="18"/>
          <w:szCs w:val="18"/>
          <w:color w:val="auto"/>
        </w:rPr>
        <w:t>U.S. dollar. Additionally, our debt obligations are primarily in U.S. dollars, therefore, as foreign currency exchange rates fluctuate, the amount available for repayment of debt will also increase or decrease.</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December 31, 2009, we had foreign currency derivative instruments, primarily forward contracts, outstanding with a notional value of $68.2 million, primarily in euros that were not designated as hedges and mature in a weighted average of 5.3 days. The fair value of these forward contracts as of December 31, 2009 was an unrealized gain of less than $0.1 million, which was mostly offset by the unrealized loss on the related foreign currency receivables.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Euronet Worldwide, Inc. and subsidiaries (the Company) as of December 31, 2009 and 2008, and the related consolidated statements of operations, changes in equity and cash flows for each of the years in the three-year period ended December 31, 2009. We also have audited the Company’s internal control over financial reporting as of December 31, 2009, based on criteria established in </w:t>
      </w:r>
      <w:r>
        <w:rPr>
          <w:rFonts w:ascii="Arial" w:cs="Arial" w:eastAsia="Arial" w:hAnsi="Arial"/>
          <w:sz w:val="18"/>
          <w:szCs w:val="18"/>
          <w:i w:val="1"/>
          <w:iCs w:val="1"/>
          <w:color w:val="auto"/>
        </w:rPr>
        <w:t>Internal Control - - Integrated Framework</w:t>
      </w:r>
      <w:r>
        <w:rPr>
          <w:rFonts w:ascii="Arial" w:cs="Arial" w:eastAsia="Arial" w:hAnsi="Arial"/>
          <w:sz w:val="18"/>
          <w:szCs w:val="18"/>
          <w:color w:val="auto"/>
        </w:rPr>
        <w:t>, issued by the Committee of Sponsoring Organizations of the Treadway Commission (COSO).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2009 and 2008, and the results of its operations and its cash flows for each of the years in the three-year period ended December 31, 2009, in conformity with U.S. generally accepted accounting principles. Also in our opinion, the Company maintained, in all material respects, effective internal control over financial reporting as of December 31, 2009,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issued by the Committee of Sponsoring Organizations of the Treadway Commission (COSO).</w:t>
      </w:r>
    </w:p>
    <w:p>
      <w:pPr>
        <w:spacing w:after="0" w:line="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As discussed in Note 3 to the consolidated financial statements, the Company adopted, on a retrospective basis, the provisions of FASB ASC 470-20-30-22 (formerly, FASB Staff Position APB 14-1),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FASB ASC 810-10-45-16 (formerly, SFAS No. 160), </w:t>
      </w: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as of January 1, 2009.</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6" w:name="page67"/>
    <w:bookmarkEnd w:id="66"/>
    <w:p>
      <w:pPr>
        <w:ind w:left="3840"/>
        <w:spacing w:after="0"/>
        <w:rPr>
          <w:sz w:val="20"/>
          <w:szCs w:val="20"/>
          <w:color w:val="auto"/>
        </w:rPr>
      </w:pPr>
      <w:r>
        <w:rPr>
          <w:rFonts w:ascii="Arial" w:cs="Arial" w:eastAsia="Arial" w:hAnsi="Arial"/>
          <w:sz w:val="18"/>
          <w:szCs w:val="18"/>
          <w:b w:val="1"/>
          <w:bCs w:val="1"/>
          <w:color w:val="auto"/>
        </w:rPr>
        <w:t>CONSOLIDATED FINANCIAL STATEMENTS</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183,528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73,148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87,661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200"/>
              <w:spacing w:after="0" w:line="201" w:lineRule="exact"/>
              <w:rPr>
                <w:sz w:val="20"/>
                <w:szCs w:val="20"/>
                <w:color w:val="auto"/>
              </w:rPr>
            </w:pPr>
            <w:r>
              <w:rPr>
                <w:rFonts w:ascii="Arial" w:cs="Arial" w:eastAsia="Arial" w:hAnsi="Arial"/>
                <w:sz w:val="18"/>
                <w:szCs w:val="18"/>
                <w:color w:val="auto"/>
                <w:w w:val="97"/>
              </w:rPr>
              <w:t>Trade accounts receivable, net of allowances for doubtful accounts of $13,909 at December 31, 2009 and $9,445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at December 31, 2008</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282,905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658,586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676,484</w:t>
            </w:r>
          </w:p>
        </w:tc>
        <w:tc>
          <w:tcPr>
            <w:tcW w:w="0" w:type="dxa"/>
            <w:vAlign w:val="bottom"/>
          </w:tcPr>
          <w:p>
            <w:pPr>
              <w:spacing w:after="0"/>
              <w:rPr>
                <w:sz w:val="1"/>
                <w:szCs w:val="1"/>
                <w:color w:val="auto"/>
              </w:rPr>
            </w:pPr>
          </w:p>
        </w:tc>
      </w:tr>
      <w:tr>
        <w:trPr>
          <w:trHeight w:val="418"/>
        </w:trPr>
        <w:tc>
          <w:tcPr>
            <w:tcW w:w="898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of $153,255 at December 31, 2009 and $125,258 at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December 31, 2008</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96,592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504,650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$88,924 at December 31, 2009 and $62,920 at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December 31, 2008</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112,948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assets, net of accumulated amortization of $16,866 at December 31, 2009 and $15,785 at December 31, 2008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39,903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1,412,679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1,405,644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228,768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225,474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portion of long-term debt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18,379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491,578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579,985</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320,283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23,854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846,176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200"/>
              <w:spacing w:after="0" w:line="201" w:lineRule="exact"/>
              <w:rPr>
                <w:sz w:val="20"/>
                <w:szCs w:val="20"/>
                <w:color w:val="auto"/>
              </w:rPr>
            </w:pPr>
            <w:r>
              <w:rPr>
                <w:rFonts w:ascii="Arial" w:cs="Arial" w:eastAsia="Arial" w:hAnsi="Arial"/>
                <w:sz w:val="18"/>
                <w:szCs w:val="18"/>
                <w:color w:val="auto"/>
                <w:w w:val="99"/>
              </w:rPr>
              <w:t>Common Stock, $0.02 par value. 90,000,000 shares authorized; 51,101,833 issued at December 31, 2009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50,605,909 issued at December 31, 2008</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740,990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Treasury stock, at cost, 241,644 shares at December 31, 2009 and 225,072 shares at December 31, 2008</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(203,139)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Restricted reserve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Euronet Worldwide, Inc. stockholders’ equity</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558,969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566,503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1,412,679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1,405,644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197,740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205,257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602,075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609,106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232,879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231,302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1,032,694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1,045,665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902,666</w:t>
            </w:r>
          </w:p>
        </w:tc>
        <w:tc>
          <w:tcPr>
            <w:tcW w:w="0" w:type="dxa"/>
            <w:vAlign w:val="bottom"/>
          </w:tcPr>
          <w:p>
            <w:pPr>
              <w:spacing w:after="0"/>
              <w:rPr>
                <w:sz w:val="1"/>
                <w:szCs w:val="1"/>
                <w:color w:val="auto"/>
              </w:rPr>
            </w:pPr>
          </w:p>
        </w:tc>
      </w:tr>
      <w:tr>
        <w:trPr>
          <w:trHeight w:val="439"/>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678,370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703,842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129,447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129,098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85,418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9,884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220,077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excise tax refund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56,023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56,251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960,429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1,194,686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826,432</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72,265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(149,021)</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76,234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10,611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(36,351)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(impairment loss on) investment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(18,760)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Gain (loss) on early retirement of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(9,821)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58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(15,092)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(51,646)</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(200,667)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(25,836)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(34,038)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(193,330)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36,827</w:t>
            </w: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(194,401)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(193,466)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w w:val="95"/>
              </w:rPr>
              <w:t>Earnings (loss) per share attributable to Euronet Worldwide, Inc. stockholders — basic:</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50,486,705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49,180,908</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45,260,803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per share attributable to Euronet Worldwide, Inc. stockholders —</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51,482,723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8"/>
              </w:rPr>
              <w:t>49,180,908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46,850,598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No. of</w:t>
            </w:r>
          </w:p>
        </w:tc>
        <w:tc>
          <w:tcPr>
            <w:tcW w:w="300" w:type="dxa"/>
            <w:vAlign w:val="bottom"/>
          </w:tcPr>
          <w:p>
            <w:pPr>
              <w:spacing w:after="0"/>
              <w:rPr>
                <w:sz w:val="14"/>
                <w:szCs w:val="14"/>
                <w:color w:val="auto"/>
              </w:rPr>
            </w:pPr>
          </w:p>
        </w:tc>
        <w:tc>
          <w:tcPr>
            <w:tcW w:w="13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4"/>
                <w:szCs w:val="14"/>
                <w:color w:val="auto"/>
              </w:rPr>
            </w:pPr>
          </w:p>
        </w:tc>
        <w:tc>
          <w:tcPr>
            <w:tcW w:w="13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Treasury</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Subscription</w:t>
            </w:r>
          </w:p>
        </w:tc>
        <w:tc>
          <w:tcPr>
            <w:tcW w:w="12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 in</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620" w:type="dxa"/>
            <w:vAlign w:val="bottom"/>
          </w:tcPr>
          <w:p>
            <w:pPr>
              <w:spacing w:after="0"/>
              <w:rPr>
                <w:sz w:val="14"/>
                <w:szCs w:val="1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Receivable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37,440,027</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399,989</w:t>
            </w:r>
          </w:p>
        </w:tc>
        <w:tc>
          <w:tcPr>
            <w:tcW w:w="3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(75,744)</w:t>
            </w:r>
          </w:p>
        </w:tc>
        <w:tc>
          <w:tcPr>
            <w:tcW w:w="0" w:type="dxa"/>
            <w:vAlign w:val="bottom"/>
          </w:tcPr>
          <w:p>
            <w:pPr>
              <w:spacing w:after="0"/>
              <w:rPr>
                <w:sz w:val="1"/>
                <w:szCs w:val="1"/>
                <w:color w:val="auto"/>
              </w:rPr>
            </w:pP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200"/>
              <w:spacing w:after="0" w:line="201" w:lineRule="exact"/>
              <w:rPr>
                <w:sz w:val="20"/>
                <w:szCs w:val="20"/>
                <w:color w:val="auto"/>
              </w:rPr>
            </w:pPr>
            <w:r>
              <w:rPr>
                <w:rFonts w:ascii="Arial" w:cs="Arial" w:eastAsia="Arial" w:hAnsi="Arial"/>
                <w:sz w:val="18"/>
                <w:szCs w:val="18"/>
                <w:color w:val="auto"/>
              </w:rPr>
              <w:t>Unrealized gain on available-for-sale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809,313</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19</w:t>
            </w:r>
          </w:p>
        </w:tc>
        <w:tc>
          <w:tcPr>
            <w:tcW w:w="700" w:type="dxa"/>
            <w:vAlign w:val="bottom"/>
          </w:tcPr>
          <w:p>
            <w:pPr>
              <w:jc w:val="right"/>
              <w:spacing w:after="0"/>
              <w:rPr>
                <w:sz w:val="20"/>
                <w:szCs w:val="20"/>
                <w:color w:val="auto"/>
              </w:rPr>
            </w:pPr>
            <w:r>
              <w:rPr>
                <w:rFonts w:ascii="Arial" w:cs="Arial" w:eastAsia="Arial" w:hAnsi="Arial"/>
                <w:sz w:val="18"/>
                <w:szCs w:val="18"/>
                <w:color w:val="auto"/>
              </w:rPr>
              <w:t>8,177</w:t>
            </w:r>
          </w:p>
        </w:tc>
        <w:tc>
          <w:tcPr>
            <w:tcW w:w="34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3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4,329,035</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87</w:t>
            </w:r>
          </w:p>
        </w:tc>
        <w:tc>
          <w:tcPr>
            <w:tcW w:w="700" w:type="dxa"/>
            <w:vAlign w:val="bottom"/>
          </w:tcPr>
          <w:p>
            <w:pPr>
              <w:jc w:val="right"/>
              <w:spacing w:after="0"/>
              <w:rPr>
                <w:sz w:val="20"/>
                <w:szCs w:val="20"/>
                <w:color w:val="auto"/>
              </w:rPr>
            </w:pPr>
            <w:r>
              <w:rPr>
                <w:rFonts w:ascii="Arial" w:cs="Arial" w:eastAsia="Arial" w:hAnsi="Arial"/>
                <w:sz w:val="18"/>
                <w:szCs w:val="18"/>
                <w:color w:val="auto"/>
              </w:rPr>
              <w:t>149,594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of shares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6,374,528</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48,952,903</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719,820</w:t>
            </w:r>
          </w:p>
        </w:tc>
        <w:tc>
          <w:tcPr>
            <w:tcW w:w="3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(39,990)</w:t>
            </w:r>
          </w:p>
        </w:tc>
        <w:tc>
          <w:tcPr>
            <w:tcW w:w="0" w:type="dxa"/>
            <w:vAlign w:val="bottom"/>
          </w:tcPr>
          <w:p>
            <w:pPr>
              <w:spacing w:after="0"/>
              <w:rPr>
                <w:sz w:val="1"/>
                <w:szCs w:val="1"/>
                <w:color w:val="auto"/>
              </w:rPr>
            </w:pP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200"/>
              <w:spacing w:after="0" w:line="201" w:lineRule="exact"/>
              <w:rPr>
                <w:sz w:val="20"/>
                <w:szCs w:val="20"/>
                <w:color w:val="auto"/>
              </w:rPr>
            </w:pPr>
            <w:r>
              <w:rPr>
                <w:rFonts w:ascii="Arial" w:cs="Arial" w:eastAsia="Arial" w:hAnsi="Arial"/>
                <w:sz w:val="18"/>
                <w:szCs w:val="18"/>
                <w:color w:val="auto"/>
              </w:rPr>
              <w:t>Unrealized loss on available-for-sale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313,384</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7</w:t>
            </w:r>
          </w:p>
        </w:tc>
        <w:tc>
          <w:tcPr>
            <w:tcW w:w="700" w:type="dxa"/>
            <w:vAlign w:val="bottom"/>
          </w:tcPr>
          <w:p>
            <w:pPr>
              <w:jc w:val="right"/>
              <w:spacing w:after="0"/>
              <w:rPr>
                <w:sz w:val="20"/>
                <w:szCs w:val="20"/>
                <w:color w:val="auto"/>
              </w:rPr>
            </w:pPr>
            <w:r>
              <w:rPr>
                <w:rFonts w:ascii="Arial" w:cs="Arial" w:eastAsia="Arial" w:hAnsi="Arial"/>
                <w:sz w:val="18"/>
                <w:szCs w:val="18"/>
                <w:color w:val="auto"/>
              </w:rPr>
              <w:t>1,793</w:t>
            </w:r>
          </w:p>
        </w:tc>
        <w:tc>
          <w:tcPr>
            <w:tcW w:w="34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Settlement of contingent value rights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1,114,550</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15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4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50,380,837</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1,012</w:t>
            </w:r>
          </w:p>
        </w:tc>
        <w:tc>
          <w:tcPr>
            <w:tcW w:w="700" w:type="dxa"/>
            <w:vAlign w:val="bottom"/>
          </w:tcPr>
          <w:p>
            <w:pPr>
              <w:jc w:val="right"/>
              <w:spacing w:after="0"/>
              <w:rPr>
                <w:sz w:val="20"/>
                <w:szCs w:val="20"/>
                <w:color w:val="auto"/>
              </w:rPr>
            </w:pPr>
            <w:r>
              <w:rPr>
                <w:rFonts w:ascii="Arial" w:cs="Arial" w:eastAsia="Arial" w:hAnsi="Arial"/>
                <w:sz w:val="18"/>
                <w:szCs w:val="18"/>
                <w:color w:val="auto"/>
              </w:rPr>
              <w:t>729,907</w:t>
            </w:r>
          </w:p>
        </w:tc>
        <w:tc>
          <w:tcPr>
            <w:tcW w:w="340" w:type="dxa"/>
            <w:vAlign w:val="bottom"/>
          </w:tcPr>
          <w:p>
            <w:pPr>
              <w:spacing w:after="0"/>
              <w:rPr>
                <w:sz w:val="24"/>
                <w:szCs w:val="24"/>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(233,456)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on available-for-sale</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200"/>
              <w:spacing w:after="0" w:line="201" w:lineRule="exact"/>
              <w:rPr>
                <w:sz w:val="20"/>
                <w:szCs w:val="20"/>
                <w:color w:val="auto"/>
              </w:rPr>
            </w:pPr>
            <w:r>
              <w:rPr>
                <w:rFonts w:ascii="Arial" w:cs="Arial" w:eastAsia="Arial" w:hAnsi="Arial"/>
                <w:sz w:val="18"/>
                <w:szCs w:val="18"/>
                <w:color w:val="auto"/>
              </w:rPr>
              <w:t>Reclassification adjustment related to</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sale of investment securities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479,352</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3,148</w:t>
            </w:r>
          </w:p>
        </w:tc>
        <w:tc>
          <w:tcPr>
            <w:tcW w:w="34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50,860,189</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1,022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$ 740,990</w:t>
            </w:r>
          </w:p>
        </w:tc>
        <w:tc>
          <w:tcPr>
            <w:tcW w:w="3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(1,483)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(203,139)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6"/>
              </w:rPr>
              <w:t>Comprehensive Income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Restricted</w:t>
            </w: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8"/>
              </w:rPr>
              <w:t>Reserve</w:t>
            </w:r>
          </w:p>
        </w:tc>
        <w:tc>
          <w:tcPr>
            <w:tcW w:w="62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Adjustment</w:t>
            </w:r>
          </w:p>
        </w:tc>
        <w:tc>
          <w:tcPr>
            <w:tcW w:w="6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Interests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28,823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362,581</w:t>
            </w:r>
          </w:p>
        </w:tc>
        <w:tc>
          <w:tcPr>
            <w:tcW w:w="0" w:type="dxa"/>
            <w:vAlign w:val="bottom"/>
          </w:tcPr>
          <w:p>
            <w:pPr>
              <w:spacing w:after="0"/>
              <w:rPr>
                <w:sz w:val="1"/>
                <w:szCs w:val="1"/>
                <w:color w:val="auto"/>
              </w:rPr>
            </w:pP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41,798</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851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572</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2,891</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80,021</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149,681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of shares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(2,266)</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70,621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760,565</w:t>
            </w:r>
          </w:p>
        </w:tc>
        <w:tc>
          <w:tcPr>
            <w:tcW w:w="0" w:type="dxa"/>
            <w:vAlign w:val="bottom"/>
          </w:tcPr>
          <w:p>
            <w:pPr>
              <w:spacing w:after="0"/>
              <w:rPr>
                <w:sz w:val="1"/>
                <w:szCs w:val="1"/>
                <w:color w:val="auto"/>
              </w:rPr>
            </w:pP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(79,261)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(698)</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(1,633)</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(274,648)</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Settlement of contingent value rights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$ 495,910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1,495</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29,206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1,631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ind w:left="200"/>
              <w:spacing w:after="0" w:line="201" w:lineRule="exact"/>
              <w:rPr>
                <w:sz w:val="20"/>
                <w:szCs w:val="20"/>
                <w:color w:val="auto"/>
              </w:rPr>
            </w:pPr>
            <w:r>
              <w:rPr>
                <w:rFonts w:ascii="Arial" w:cs="Arial" w:eastAsia="Arial" w:hAnsi="Arial"/>
                <w:sz w:val="18"/>
                <w:szCs w:val="18"/>
                <w:color w:val="auto"/>
              </w:rPr>
              <w:t>Reclassification adjustment related to sale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400"/>
              <w:spacing w:after="0"/>
              <w:rPr>
                <w:sz w:val="20"/>
                <w:szCs w:val="20"/>
                <w:color w:val="auto"/>
              </w:rPr>
            </w:pPr>
            <w:r>
              <w:rPr>
                <w:rFonts w:ascii="Arial" w:cs="Arial" w:eastAsia="Arial" w:hAnsi="Arial"/>
                <w:sz w:val="18"/>
                <w:szCs w:val="18"/>
                <w:color w:val="auto"/>
              </w:rPr>
              <w:t>investment securities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61,706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(1,524)</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7,534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$ 566,503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(194,401)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37,794</w:t>
            </w:r>
          </w:p>
        </w:tc>
        <w:tc>
          <w:tcPr>
            <w:tcW w:w="0" w:type="dxa"/>
            <w:vAlign w:val="bottom"/>
          </w:tcPr>
          <w:p>
            <w:pPr>
              <w:spacing w:after="0"/>
              <w:rPr>
                <w:sz w:val="1"/>
                <w:szCs w:val="1"/>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7,932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8,547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9,884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220,077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impairment loss on investment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(Gain) loss on repurchase of bonds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78,283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(46,054)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(21,363)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(29,478)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(20,109)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(32,252)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93,052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96,051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91,248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(17,171)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(purchases) of investment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Proceeds from sale of net assets of subsidiary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escrow</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(439,937)</w:t>
            </w:r>
          </w:p>
        </w:tc>
        <w:tc>
          <w:tcPr>
            <w:tcW w:w="0" w:type="dxa"/>
            <w:vAlign w:val="bottom"/>
          </w:tcPr>
          <w:p>
            <w:pPr>
              <w:spacing w:after="0"/>
              <w:rPr>
                <w:sz w:val="1"/>
                <w:szCs w:val="1"/>
                <w:color w:val="auto"/>
              </w:rPr>
            </w:pPr>
          </w:p>
        </w:tc>
      </w:tr>
      <w:tr>
        <w:trPr>
          <w:trHeight w:val="439"/>
        </w:trPr>
        <w:tc>
          <w:tcPr>
            <w:tcW w:w="73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167,727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ind w:left="200"/>
              <w:spacing w:after="0" w:line="201" w:lineRule="exact"/>
              <w:rPr>
                <w:sz w:val="20"/>
                <w:szCs w:val="20"/>
                <w:color w:val="auto"/>
              </w:rPr>
            </w:pPr>
            <w:r>
              <w:rPr>
                <w:rFonts w:ascii="Arial" w:cs="Arial" w:eastAsia="Arial" w:hAnsi="Arial"/>
                <w:sz w:val="18"/>
                <w:szCs w:val="18"/>
                <w:color w:val="auto"/>
                <w:w w:val="96"/>
              </w:rPr>
              <w:t>Net borrowings (repayments) of short-term debt obligations and revolving credit agreements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classified as current liabilities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517,900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270,020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880,013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(495,618)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(315,061)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(888,950)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(71,029)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(95,375)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(145,730)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301,537</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2,840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(85,698)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spacing w:after="0" w:line="201" w:lineRule="exact"/>
              <w:rPr>
                <w:sz w:val="20"/>
                <w:szCs w:val="20"/>
                <w:color w:val="auto"/>
              </w:rPr>
            </w:pPr>
            <w:r>
              <w:rPr>
                <w:rFonts w:ascii="Arial" w:cs="Arial" w:eastAsia="Arial" w:hAnsi="Arial"/>
                <w:sz w:val="18"/>
                <w:szCs w:val="18"/>
                <w:color w:val="auto"/>
                <w:w w:val="96"/>
              </w:rPr>
              <w:t>Cash and cash equivalents at beginning of period (includes cash of discontinued operations of</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$552 in 2009, $722 in 2008 and $1,446 in 2007)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181,893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267,591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321,058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and cash equivalents at end of period (includes cash of discontinued operations of $552 in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 and $722 in 2007)</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183,528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181,893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267,591</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13,886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22,124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959" w:right="239" w:bottom="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NOTES TO THE CONSOLIDATED FINANCIAL STATEMENTS FOR THE YEARS ENDED DECEMBER 31, 2009,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Euronet Worldwide, Inc. was established as a Delaware corporation on December 13, 1997. Euronet Worldwide, Inc. succeeded Euronet Holding N.V. as the group holding company, which was founded and established in 1994.</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payments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prepaid products, and global consumer money transfer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The Company’s investments in companies that it does not control, but has the ability to exercise significant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that management make a number of estimates and assumptions relating to the reported amount of assets and liabilities, the disclosure of contingent assets and liabilities and the reported amounts of revenues and expenses. Significant items subject to such estimates and assumptions include computing income taxes, estimating the useful lives and potential impairment of long-lived assets and goodwill, as well as allocating the purchase price to assets acquired in acquisitions and revenue recognition. Actual results could differ from those estimates.</w:t>
      </w:r>
    </w:p>
    <w:p>
      <w:pPr>
        <w:spacing w:after="0" w:line="184"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(3) SUMMARY OF SIGNIFICANT ACCOUNTING POLICIES AND PRACTICES </w:t>
      </w:r>
      <w:r>
        <w:rPr>
          <w:rFonts w:ascii="Arial" w:cs="Arial" w:eastAsia="Arial" w:hAnsi="Arial"/>
          <w:sz w:val="18"/>
          <w:szCs w:val="18"/>
          <w:b w:val="1"/>
          <w:bCs w:val="1"/>
          <w:i w:val="1"/>
          <w:iCs w:val="1"/>
          <w:color w:val="auto"/>
        </w:rPr>
        <w:t>Accounting standards codification</w:t>
      </w:r>
    </w:p>
    <w:p>
      <w:pPr>
        <w:spacing w:after="0" w:line="269" w:lineRule="auto"/>
        <w:rPr>
          <w:sz w:val="20"/>
          <w:szCs w:val="20"/>
          <w:color w:val="auto"/>
        </w:rPr>
      </w:pPr>
      <w:r>
        <w:rPr>
          <w:rFonts w:ascii="Arial" w:cs="Arial" w:eastAsia="Arial" w:hAnsi="Arial"/>
          <w:sz w:val="17"/>
          <w:szCs w:val="17"/>
          <w:color w:val="auto"/>
        </w:rPr>
        <w:t xml:space="preserve">In June 2009, the Financial Accounting Standards Board (“FASB”) issued FASB Statement of Financial Accounting Standards (“SFAS”) No. 168, “The FASB Accounting Standards Codification™ and the Hierarchy of Generally Accepted Accounting Principles.” SFAS No. 168 authorized the </w:t>
      </w:r>
      <w:r>
        <w:rPr>
          <w:rFonts w:ascii="Arial" w:cs="Arial" w:eastAsia="Arial" w:hAnsi="Arial"/>
          <w:sz w:val="17"/>
          <w:szCs w:val="17"/>
          <w:i w:val="1"/>
          <w:iCs w:val="1"/>
          <w:color w:val="auto"/>
        </w:rPr>
        <w:t>FASB</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Standards Codification</w:t>
      </w:r>
      <w:r>
        <w:rPr>
          <w:rFonts w:ascii="Arial" w:cs="Arial" w:eastAsia="Arial" w:hAnsi="Arial"/>
          <w:sz w:val="17"/>
          <w:szCs w:val="17"/>
          <w:color w:val="auto"/>
        </w:rPr>
        <w:t>™ (“ASC”) to become the source of authoritative U.S. GAAP recognized by the FASB to be applied by nongovernmental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Rules and interpretive releases of the SEC under authority of federal securities laws remain sources of authoritative U.S. GAAP for SEC registrants. On the effective date of SFAS No. 168, the ASC superseded all then-existing non-SEC accounting and reporting standards. All other nongrandfathered non-SEC accounting literature not included in the ASC became nonauthoritative. All guidance contained in the ASC carries an equal level of authority. Certain accounting treatments that entities have followed, and continue to follow, which are not part of the ASC are grandfathered because they were adopted before a certain date or certain accounting standards have allowed for the continued application of superseded accounting standards. SFAS No. 168 is effective for financial statements issued for interim and annual periods ending after September 15, 2009. The Company’s adoption of SFAS No. 168 did not have a material impact on the Consolidated Financial Statements. However, all references to U.S. GAAP recognized by the FASB now use ASC citations except for those to grandfathered accounting literature.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w:t>
      </w:r>
    </w:p>
    <w:p>
      <w:pPr>
        <w:spacing w:after="0" w:line="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Inventory — PINs and other is valued at the lower of cost or fair market value and represents primarily prepaid personal identification number (“PIN”) inventory for prepaid mobile airtime related to the Prepaid Processing Segment. PIN inventory is generally managed on a specific identification basis that approximates first in, first out for the respective denomination of prepaid mobile airtime sold. Additionally, from time to time, Inventory — PINs and other may include POS terminals, mobile phone handsets and ATMs held by the Company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is calculated using the straight-line method over the estimated useful lives of the respective assets. Depreciation and amortization rates are generally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Automated teller machines (ATMs) or ATM upgrades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7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POS terminals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Vehicles and office equipment</w:t>
            </w:r>
          </w:p>
        </w:tc>
        <w:tc>
          <w:tcPr>
            <w:tcW w:w="57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ATM cassettes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80" w:type="dxa"/>
            <w:vAlign w:val="bottom"/>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accounts for goodwill and other intangible assets in accordance with ASC 350 (formerly SFAS No. 142). ASC 350 requires that the Company test for impairment on an annual basis and whenever events or circumstances dictate.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As a result of the Company’s annual impairment test for the year ended December 31, 2008, the Company recorded a non-cash goodwill impairment charge of $219.8 million. See Note 10, Goodwill and Acquired Intangible Assets, Net, for additional information regarding this charge. The Company’s annual impairment tests for the years ended December 31, 2009 and 2007 indicated that there were no impairments.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0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Developed software technology</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000" w:type="dxa"/>
            <w:vAlign w:val="bottom"/>
          </w:tcPr>
          <w:p>
            <w:pPr>
              <w:jc w:val="right"/>
              <w:spacing w:after="0"/>
              <w:rPr>
                <w:sz w:val="20"/>
                <w:szCs w:val="20"/>
                <w:color w:val="auto"/>
              </w:rPr>
            </w:pPr>
            <w:r>
              <w:rPr>
                <w:rFonts w:ascii="Arial" w:cs="Arial" w:eastAsia="Arial" w:hAnsi="Arial"/>
                <w:sz w:val="18"/>
                <w:szCs w:val="18"/>
                <w:color w:val="auto"/>
              </w:rPr>
              <w:t>3 – 9 years</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10, Goodwill and Acquired Intangible Assets, Net, for additional information regarding ASC 350 and the treatment of goodwill and other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assets include deferred financing costs, costs related to in-process acquisitions,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amortized over the life of the loan. Euronet capitalizes initial payments for new or renewed contracts to the extent recoverable through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ind w:right="300"/>
        <w:spacing w:after="0" w:line="264" w:lineRule="auto"/>
        <w:rPr>
          <w:sz w:val="20"/>
          <w:szCs w:val="20"/>
          <w:color w:val="auto"/>
        </w:rPr>
      </w:pPr>
      <w:r>
        <w:rPr>
          <w:rFonts w:ascii="Arial" w:cs="Arial" w:eastAsia="Arial" w:hAnsi="Arial"/>
          <w:sz w:val="18"/>
          <w:szCs w:val="18"/>
          <w:color w:val="auto"/>
        </w:rPr>
        <w:t>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7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accounts for investments in affiliates using the equity method of accounting when the Company has the ability to exercise significant influence over the affiliate. Equity losses in affiliates are generally recognized until the Company’s investment is zero. Euronet’s investments in affiliates, related to the Company’s 40% investment in epay Malaysia and 49% investment in Euronet Middle East, were $4.1 million and $2.5 million as of December 31, 2009 and 2008, respectively. Undistributed earnings in these affiliates as of December 31, 2009 and 2008 were $3.4 million and $2.8 million, respectively.</w:t>
      </w:r>
    </w:p>
    <w:p>
      <w:pPr>
        <w:spacing w:after="0" w:line="4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2009, the Company sold its investment in MoneyGram International, Inc. (“MoneyGram”) and recognized a gain of $1.8 million. During 2008, the value of the Company’s investment in MoneyGram declined and the Company determined the decline to be other than temporary. Accordingly, in 2008, the Company recognized impairment losses associated with the investment of $18.8 million. The investment was classified as available-for-sale and recorded in other assets on the Company’s Consolidated Balance Sheet as of December 31,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debentures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January 1, 2009, the Company adopted ASC provisions dealing with accounting for convertible debt instruments that may be settled in cash upon conversion. ASC 470-20-30-22 (formerly FASB Staff Position (“FSP”) APB 14-1) requires the proceeds from the issuance of such convertible debt instruments to be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This treatment impacts the accounting associated with the Company’s convertible debentures. The Company’s Consolidated Balance Sheets, Statements of Operations, Statements of Changes in Equity and Statements of Cash Flows have been adjusted to reflect the retrospective application of the provisions to prior periods. As of December 31, 2006, the adjustments increased additional paid in capital by $61.8 million and increased accumulated deficit by $16.3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January 1, 2009, the Company adopted ASC provisions regarding noncontrolling interests in consolidated financial statements. ASC 810-10-45-16 (formerly SFAS No. 160) requires noncontrolling interests (previously referred to as minority interests) to be reported as a component of equity, which changes the presentation of transactions with noncontrolling interest holders. The presentation of the Company’s Consolidated Balance Sheets, Statements of Operations, Statements of Changes in Equity and Statements of Cash Flows has been adjusted to reflect the retrospective application of the provisions to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January 1, 2009, the Company adopted ASC provisions regarding business combinations. ASC 805 (formerly SFAS No. 141(R)) applies to all business combinations and requires most identifiable assets, liabilities, noncontrolling interests and goodwill acquired in a business combination to be recorded at “full fair value” at the acquisition date. Additionally, ASC 805 requires transaction-related costs to be expensed in the period incurred, rather than capitalizing these costs as a component of the respective purchase price. The adoption of ASC 805 did not materially affect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2009, the Company netted certain deferred income tax assets with deferred income tax liabilities for balances within the same tax jurisdiction. As of December 31, 2008, an adjustment to the Consolidated Balance Sheet reduced current deferred income tax assets and liabilities by $3.2 million and reduced noncurrent income tax assets and liabilities by $39.1 million. This immaterial adjustment had no impact on equity or the Company’s Consolidated Statements of Operations, Changes in Equity or Cash Flows.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Effective January 1, 2007, the Company adopted the provisions of ASC 740-10-25 and 30 (formerly FASB Interpretation No. 48, “Accounting for Uncertainty in Income Taxes”). The Company’s policy is to record estimated interest and penalties related to the underpayment of income taxes as income tax expense in the Consolidated Statements of Operations. See Note 16, Taxes, for further discussion regarding these provisions.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January 1, 2008, the Company adopted ASC provisions regarding fair value measurements for financial assets and liabilities. ASC 820 (formerly SFAS No. 157) defines fair value, establishes a framework for measuring fair value and expands disclosures about fair value measurements. The provisions apply whenever other accounting pronouncements require or permit fair value measurements. Accordingly, the provisions do not require any new fair value measurements. Beginning January 1, 2009, the Company adopted the provisions for certain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 See Note 20, Financial Instruments and Fair Value Measurements, for the required fair value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accounts for derivative instruments and hedging activities in accordance with ASC 815 (formerly SFAS No. 133, “Accounting for Derivative Instruments and Hedging Activities,” as amended), which requires that all derivative instruments be recognized as either assets or liabilities on the balance sheet at fair value. During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equity as a component of other comprehensive income and then recognized as an adjustment to interest expense over the term of the hedging instrument.</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Money Transfer Segment, the Company enters into foreign currency derivative contracts, primarily forward contracts, to offset foreign currency exposure related to the notional value of money transfer settlement assets and liabilities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Operations. The impact of changes in value of these contracts, together with the impact of the change in value of the related foreign currency denominated settlement asset or liability, on the Company’s Consolidated Statements of Operations and Consolidated Balance Sheets is not significant.</w:t>
      </w:r>
    </w:p>
    <w:p>
      <w:pPr>
        <w:spacing w:after="0" w:line="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resulting from derivative instruments are classified as cash flows from operating activities in the Company’s Consolidated Statements of Cash Flows. The Company enters into derivative instruments with highly credit-worthy financial institutions and does not use derivative instruments for trading or speculative purposes.</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Additionally, effective January 1, 2009, the Company adopted certain provisions of ASC 815 (formerly SFAS No. 161), which requires an entity to provide enhanced disclosures about (a) how and why an entity uses derivative instruments, (b) how derivative instruments and related hedged items are accounted for under Topic 815, and (c) how derivative instruments and related hedged items affect an entity’s financial position, financial performance, and cash flows. See Note 13, Derivative Instruments and Hedging Activities, for further discussion of 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u w:val="single" w:color="auto"/>
          <w:color w:val="auto"/>
        </w:rPr>
        <w:t>EFT Processing</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Revenue in the EFT Processing Segment is derived from primarily two sources: i) transaction and management fees from owned and outsourced ATM, POS and card processing networks; and ii) from the sale of EFT software solutions for electronic payment and transaction delivery systems.</w:t>
      </w:r>
    </w:p>
    <w:p>
      <w:pPr>
        <w:spacing w:after="0" w:line="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160"/>
        <w:spacing w:after="0" w:line="277" w:lineRule="auto"/>
        <w:rPr>
          <w:sz w:val="20"/>
          <w:szCs w:val="20"/>
          <w:color w:val="auto"/>
        </w:rPr>
      </w:pPr>
      <w:r>
        <w:rPr>
          <w:rFonts w:ascii="Arial" w:cs="Arial" w:eastAsia="Arial" w:hAnsi="Arial"/>
          <w:sz w:val="18"/>
          <w:szCs w:val="18"/>
          <w:color w:val="auto"/>
        </w:rPr>
        <w:t>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6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5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 from the sale of EFT software solutions represents software license fees, professional service fees for installation and customization, ongoing software maintenance fees and revenue from the sale of hardware associated with the system.</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recognizes professional service fee revenue in accordance with the provisions of ASC 985-605-15 (formerly Statement of Position (“SOP”) 97-2, “Software Revenue Recognition”) and ASC 605-25 (formerly Emerging Issues Task Force (“EITF”) Issue No. 00-21, “Accounting for Revenue Arrangements with Multiple Deliverables”). ASC 985-605-15 generally requires revenue earned on software arrangements involving multiple elements to be allocated to each element based on the relative fair values of those elements. Revenue from multiple-element software arrangements is recognized using the residual method. Under the residual method, revenue is recognized in a multiple-element arrangement when vendor-specific objective evidence of fair value exists for all of the undelivered elements in the arrangement, but does not exist for one or more of the delivered elements in the arrangement. The Company allocates revenue to each element in a multiple-element arrangement based on the element’s respective fair value, with the fair value determined by the price charged when that element is sold separately.</w:t>
      </w:r>
    </w:p>
    <w:p>
      <w:pPr>
        <w:spacing w:after="0" w:line="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 of completion method, following the guidance in ASC 605-35 (Formerly SOP 81-1, “Accounting for Performance of Construction-Type and Certain Production-Type Contracts”), as prescribed by ASC 985-605-15. This method is based on the percentage of professional service fees that are provided compared with the total estimated professional services to be provided over the entire term of the contract. The effect of changes to total estimated contract costs is recognized in the period such changes are determined and provisions for estimated losses are made in the period in which the loss first becomes probable and estimable. Revenues from software licensing agreement contracts representing newly released products deemed to have a higher than normal risk of failure during installation are recognized on a completed contract basis whereby revenues and related costs are deferred until the contract is complete. Software maintenance revenue is recognized over the contractual period or as the maintenance-related service is performed. Revenue from the sale of hardware is generally recognized when title passes to the customer. Revenue in excess of billings on software licensing agreements was $0.9 million as of December 31, 2009 and 2008 and is recorded in prepaid expenses and other current assets. Billings in excess of revenue on software license agreements was $2.5 million and</w:t>
      </w:r>
    </w:p>
    <w:p>
      <w:pPr>
        <w:spacing w:after="0" w:line="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$3.7 million as of December 31, 2009 and 2008, respectively and is recorded as deferred revenue until such time the above revenue recognition criteria are met.</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Prepaid Processing</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Substantially all of the revenue generated in the Prepaid Processing Segment is derived from commissions or processing fees associated with distribution and/or processing of prepaid mobile airtime and other prepaid products. These fees and commissions are received from mobile and other telecommunication operators, top-up distributors or retailers. In accordance with ASC 605-45 (formerly EITF 99-19, “Reporting Revenue Gross as Principal versus Net as an Agent”), commissions received from mobile and other telecommunication operators are recognized as revenue during the period in which the Company provides the service. The portion of the commission that is paid to retailers is recorded as a direct operating cost. Transactions are processed through a network of POS terminals and direct connections to the electronic payment systems of retailers. Transaction processing fees are recognized at the time the transactions are processed.</w:t>
      </w:r>
    </w:p>
    <w:p>
      <w:pPr>
        <w:spacing w:after="0" w:line="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605-45, revenue for money transfer services represents a transaction fee in addition to the difference between purchasing currency at wholesale exchange rates and selling the currency to consumers at retail exchange rates. Revenue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u w:val="single" w:color="auto"/>
          <w:color w:val="auto"/>
        </w:rPr>
        <w:t>Computer software to be sold</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applies ASC 730 (formerly SFAS No. 2, “Accounting for Research and Development Costs,”) and ASC 985-20 (formerly SFAS No. 86, “Accounting for the Costs of Computer Software to be Sold, Leased or Otherwise Marketed”),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(see Note 21, Computer Software to be Sold).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costs are included in other assets and are amortized on a product-by-product basis, equal to the greater of the amount computed using</w:t>
      </w:r>
    </w:p>
    <w:p>
      <w:pPr>
        <w:spacing w:after="0" w:line="46" w:lineRule="exact"/>
        <w:rPr>
          <w:sz w:val="20"/>
          <w:szCs w:val="20"/>
          <w:color w:val="auto"/>
        </w:rPr>
      </w:pPr>
    </w:p>
    <w:p>
      <w:pPr>
        <w:jc w:val="both"/>
        <w:ind w:right="200" w:firstLine="8"/>
        <w:spacing w:after="0" w:line="255"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ratio that current gross revenues for a product bear to the total of current and anticipated future gross revenues for that product or (ii) the straight-line method over the remaining estimated economic life of the product, generally three years, including the period being reported on. Amortization commences when the product is available for general release to customers.</w:t>
      </w:r>
    </w:p>
    <w:p>
      <w:pPr>
        <w:spacing w:after="0" w:line="8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u w:val="single" w:color="auto"/>
          <w:color w:val="auto"/>
        </w:rPr>
        <w:t>Software for 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also develops software for internal use. These software development costs are capitalized based upon ASC 350-40 (formerly AICPA Statement of Position No. 98-1, “Accounting for the Costs of Computer Software Developed or Obtained for Internal Use”). Internal-use software development costs are capitalized after the preliminary project stage is completed and management with the relevant authority authorizes and commits to funding a computer software project and it is probable that the project will be completed and the software will be used to perform the function intended. Costs incurred prior to meeting the qualifications are expensed as incurred. Capitalization ceases when the computer software project is substantially complete and ready for its intended use. Internal-use software development costs are amortized using an estimated useful life of five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follows the provisions of ASC 718 (formerly SFAS No. 123R, “Share-Based Payment”). For equity classified awards, ASC 718 requires the determination of the fair value of the share-based compensation at the grant date and subsequent recognition of the related expense over the period in which the share-based compensation is earned (“requisite service period”).</w:t>
      </w:r>
    </w:p>
    <w:p>
      <w:pPr>
        <w:spacing w:after="0" w:line="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assets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annual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The Company has elected to use the “with and without method” when calculating the income tax benefit associated with its share-based payment arrangements. See Note 18, Stock Plans, for further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May 2009, the FASB issued financial accounting standards related to subsequent events. The standards incorporate into authoritative accounting literature certain guidance that already existed within generally accepted auditing standards, but the rules concerning recognition and disclosure of subsequent events remain essentially unchanged. ASC 855-10-25 and 50 (formerly SFAS No. 165) provide general standards of accounting for and disclosure of events that occur after the balance sheet date but before financial statements are issued or are available to be issued. The Company adopted these provisions for the quarter ended June 30, 2009. The adoption of these provisions did not have a material effect on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September 2009, the FASB issued Accounting Standards Update (“ASU”) 2009-13 (formerly Emerging Issues Task Force Consensus 08-01). ASU 2009-13 adds estimated selling price as acceptable 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ASU 2009-13 is effective on a prospective basis for revenue arrangements entered into or modified for fiscal years beginning on or after June 15, 2010 with earlier application permitted. The Company is evaluating the impact that the adoption of ASU 2009-13 will have on its financial statements and whether it will elect early application; however, the impact is not expected to be material.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(4) EARNINGS (LOSS)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The following table provides the computation of diluted weighted average number of common shares outstanding: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60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50,486,705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45,260,803</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996,018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1,111,646</w:t>
            </w: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Weighted average shares issuable in connection with acquisition obligations (See Note 6 - Acquisitions)</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478,149</w:t>
            </w:r>
          </w:p>
        </w:tc>
      </w:tr>
      <w:tr>
        <w:trPr>
          <w:trHeight w:val="223"/>
        </w:trPr>
        <w:tc>
          <w:tcPr>
            <w:tcW w:w="88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51,482,723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46,850,598</w:t>
            </w:r>
          </w:p>
        </w:tc>
      </w:tr>
      <w:tr>
        <w:trPr>
          <w:trHeight w:val="20"/>
        </w:trPr>
        <w:tc>
          <w:tcPr>
            <w:tcW w:w="8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For the year ended December 31, 2008, the Company incurred a net loss; therefore, diluted loss per share is the same as basic loss per share. The calculation of diluted earnings per share excludes stock options or shares of restricted stock that are anti-dilutive to the Company’s weighted average common shares outstanding for the years ended December 31, 2009, 2008 and 2007 of approximately 1,730,000, 5,046,000 and 458,000, respectively.</w:t>
      </w:r>
    </w:p>
    <w:p>
      <w:pPr>
        <w:spacing w:after="0" w:line="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issued 140 million of 1.625% convertible senior debentures due 2024 and $175 million of 3.5% convertible debentures due 2025 (see Note 12, Debt Obligations) that, if converted, would have a potentially dilutive effect on the Company’s stock. The $140 million 1.625% debentures were convertible into 4.2 million shares of Common Stock for the periods when the entire issuance was outstanding, with an initial conversion date of December 2009, and the $175 million 3.5% debentures are convertible into 4.3 million shares of Common Stock, initially in October 2012, or earlier upon the occurrence of certain conditions. See Note 12, Debt Obligations, for discussion of the Company’s repurchase of the 1.625% debentures. As required by ASC 260-10-45-44 (formerly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and 3.5% convertible debentures was anti-dilutive for the years ended December 31, 2009, 2008 and 2007. Accordingly, the impact has been excluded from the computation of dilutive weighted average shares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fourth quarter 2009, the Company sold Euronet Essentis Limited (“Essentis”), a U.K. software entity, for $6.5 million. The Company sold Essentis in order to focus its investments and resources on its transaction processing business. Accordingly, Essentis’s results of operations are shown as discontinued operations in the Consolidated Statements of Operations for all periods presented. Previously, Essentis’s results were reported in the EFT Processing Segment. The segment results in Note 19, Business Segment Information, also reflect the reclassification of Essentis’s results to discontinued operations. The sale resulted in a gain of $0.2 million, net of taxes of $0.4 million. The following amounts related to Essentis, including the gain on sale, have been segregated from continuing operations and reported as discontinued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2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620" w:type="dxa"/>
            <w:vAlign w:val="bottom"/>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84"/>
              </w:rPr>
              <w:t>6,323</w:t>
            </w:r>
          </w:p>
        </w:tc>
        <w:tc>
          <w:tcPr>
            <w:tcW w:w="5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$ 9,670</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83"/>
              </w:rPr>
              <w:t>14,908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1,222</w:t>
            </w:r>
          </w:p>
        </w:tc>
        <w:tc>
          <w:tcPr>
            <w:tcW w:w="1620" w:type="dxa"/>
            <w:vAlign w:val="bottom"/>
            <w:gridSpan w:val="2"/>
          </w:tcPr>
          <w:p>
            <w:pPr>
              <w:ind w:left="740"/>
              <w:spacing w:after="0"/>
              <w:rPr>
                <w:sz w:val="20"/>
                <w:szCs w:val="20"/>
                <w:color w:val="auto"/>
              </w:rPr>
            </w:pPr>
            <w:r>
              <w:rPr>
                <w:rFonts w:ascii="Arial" w:cs="Arial" w:eastAsia="Arial" w:hAnsi="Arial"/>
                <w:sz w:val="18"/>
                <w:szCs w:val="18"/>
                <w:color w:val="auto"/>
              </w:rPr>
              <w:t>$(1,686)</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475</w:t>
            </w:r>
          </w:p>
        </w:tc>
        <w:tc>
          <w:tcPr>
            <w:tcW w:w="16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$(1,071)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540" w:type="dxa"/>
            <w:vAlign w:val="bottom"/>
          </w:tcPr>
          <w:p>
            <w:pPr>
              <w:jc w:val="right"/>
              <w:ind w:right="710"/>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The Consolidated Balance Sheet as of December 31, 2008 includes Essentis’s net assets and the major classes of its assets and liabilities are presented below:</w:t>
      </w:r>
    </w:p>
    <w:p>
      <w:pPr>
        <w:sectPr>
          <w:pgSz w:w="11900" w:h="16838" w:orient="portrait"/>
          <w:cols w:equalWidth="0" w:num="1">
            <w:col w:w="11340"/>
          </w:cols>
          <w:pgMar w:left="240" w:top="936" w:right="319" w:bottom="1440" w:gutter="0" w:footer="0" w:header="0"/>
        </w:sect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Trade accounts receivable, net of allowance for doubtful accounts</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Property and equipment, net of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Acquired intangible assets, net of accumulated amortization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assets, net of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Accrued expenses and other current liabilities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current liabilities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long-term liabilities</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December 31,</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486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00" w:hanging="592"/>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552</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2,187</w:t>
      </w:r>
    </w:p>
    <w:p>
      <w:pPr>
        <w:spacing w:after="0" w:line="32"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990</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3,729</w:t>
      </w:r>
    </w:p>
    <w:p>
      <w:pPr>
        <w:spacing w:after="0" w:line="4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427</w:t>
      </w:r>
    </w:p>
    <w:p>
      <w:pPr>
        <w:spacing w:after="0" w:line="32"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991</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5486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5486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7,782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486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hanging="592"/>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250</w:t>
      </w:r>
    </w:p>
    <w:p>
      <w:pPr>
        <w:spacing w:after="0" w:line="4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760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86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3,359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624</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86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3,986</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3,796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5486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5486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5486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9720" w:space="720"/>
            <w:col w:w="900"/>
          </w:cols>
          <w:pgMar w:left="240" w:top="936" w:right="319" w:bottom="1440" w:gutter="0" w:footer="0" w:header="0"/>
          <w:type w:val="continuous"/>
        </w:sectPr>
      </w:pPr>
    </w:p>
    <w:p>
      <w:pPr>
        <w:ind w:right="140"/>
        <w:spacing w:after="0" w:line="259" w:lineRule="auto"/>
        <w:rPr>
          <w:sz w:val="20"/>
          <w:szCs w:val="20"/>
          <w:color w:val="auto"/>
        </w:rPr>
      </w:pPr>
      <w:r>
        <w:rPr>
          <w:rFonts w:ascii="Arial" w:cs="Arial" w:eastAsia="Arial" w:hAnsi="Arial"/>
          <w:sz w:val="18"/>
          <w:szCs w:val="18"/>
          <w:color w:val="auto"/>
        </w:rPr>
        <w:t>In July 2002, the Company sold substantially all of the non-current assets and related capital lease obligations of its ATM processing business in France to Atos S.A. During 2007, the Company received a binding French Supreme Court decision relating to a lawsuit in France that resulted in a cash recovery and gain to the Company of $0.3 million, net of legal costs. There were no assets or liabilities held for sale related to the operations in France at December 31, 2009 or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material acquisitions during 2009 or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RIA</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April 4, 2007, the Company completed the acquisition of the common stock of RIA Envia, Inc. (“RIA”), which expanded the Company’s money transfer operations in the U.S. and internationally. The purchase price of $505.5 million was comprised of $358.3 million in cash, 4,053,606 shares of Euronet Common Stock valued at $110.0 million, 3,685,098 contingent value rights (“CVRs”) and stock appreciation rights (“SARs”) valued at a total of</w:t>
      </w:r>
    </w:p>
    <w:p>
      <w:pPr>
        <w:jc w:val="both"/>
        <w:ind w:right="220"/>
        <w:spacing w:after="0" w:line="255" w:lineRule="auto"/>
        <w:rPr>
          <w:sz w:val="20"/>
          <w:szCs w:val="20"/>
          <w:color w:val="auto"/>
        </w:rPr>
      </w:pPr>
      <w:r>
        <w:rPr>
          <w:rFonts w:ascii="Arial" w:cs="Arial" w:eastAsia="Arial" w:hAnsi="Arial"/>
          <w:sz w:val="18"/>
          <w:szCs w:val="18"/>
          <w:color w:val="auto"/>
        </w:rPr>
        <w:t>$32.1 million and transaction costs of approximately $5.1 million. The Company financed the cash portion of the purchase price through a combination of cash on hand and $190 million in additional debt obligations. The following table summarizes the allocation of the purchase price to the fair values of the acquired tangible and intangible assets at the acquisition date.</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2"/>
              </w:rPr>
              <w:t>Estimated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4"/>
                <w:szCs w:val="14"/>
                <w:b w:val="1"/>
                <w:bCs w:val="1"/>
                <w:color w:val="auto"/>
                <w:w w:val="96"/>
              </w:rPr>
              <w:t>Life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various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9"/>
              </w:rPr>
              <w:t>3 - 8 years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Weighted average life</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6"/>
              </w:rPr>
              <w:t>7.0 years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6"/>
              </w:rPr>
              <w:t>20 years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Software</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8"/>
              </w:rPr>
              <w:t>5 years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8"/>
              </w:rPr>
              <w:t>3 years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70"/>
              <w:spacing w:after="0"/>
              <w:rPr>
                <w:sz w:val="20"/>
                <w:szCs w:val="20"/>
                <w:color w:val="auto"/>
              </w:rPr>
            </w:pPr>
            <w:r>
              <w:rPr>
                <w:rFonts w:ascii="Arial" w:cs="Arial" w:eastAsia="Arial" w:hAnsi="Arial"/>
                <w:sz w:val="18"/>
                <w:szCs w:val="18"/>
                <w:color w:val="auto"/>
                <w:w w:val="95"/>
              </w:rPr>
              <w:t>Indefinite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404,599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606,989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(85,062)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(14,852)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60" w:type="dxa"/>
            <w:vAlign w:val="bottom"/>
          </w:tcPr>
          <w:p>
            <w:pPr>
              <w:ind w:left="400"/>
              <w:spacing w:after="0"/>
              <w:rPr>
                <w:sz w:val="20"/>
                <w:szCs w:val="20"/>
                <w:color w:val="auto"/>
              </w:rPr>
            </w:pPr>
            <w:r>
              <w:rPr>
                <w:rFonts w:ascii="Arial" w:cs="Arial" w:eastAsia="Arial" w:hAnsi="Arial"/>
                <w:sz w:val="18"/>
                <w:szCs w:val="18"/>
                <w:color w:val="auto"/>
              </w:rPr>
              <w:t>Net assets acquired</w:t>
            </w:r>
          </w:p>
        </w:tc>
        <w:tc>
          <w:tcPr>
            <w:tcW w:w="1920" w:type="dxa"/>
            <w:vAlign w:val="bottom"/>
            <w:gridSpan w:val="3"/>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505,501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Pursuant to the terms of the Stock Purchase Agreement, $35.0 million in cash and 276,382 shares of Euronet Common Stock valued at $7.5 million were held in escrow to secure certain obligations of the sellers under the Stock Purchase Agreement. These amounts were reflected in the purchase price because the Company determined beyond a reasonable doubt that the obligations would be met. The 3,685,098 CVRs matured on October 1, 2008 and resulted in the issuance of $20 million of additional shares of Euronet Common Stock. The 3,685,098 SARs entitled the sellers to acquire additional shares of Euronet Common Stock at an exercise price of $27.14 at any time through October 1, 2008 and expired unexercised. The combination of the CVRs and SARs entitled the sellers to additional consideration of at least $20 million in Euronet Common Stock or cash. Management estimated the total fair value of the CVRs and SARs at approximately $32.1 million using a Black Scholes pricing model. These and other terms and conditions applicable to the CVRs and SARs are set forth in the agreements governing these instruments. Of the amount allocated to goodwill, approximately $225.5 million is deductible for income tax purposes.</w:t>
      </w:r>
    </w:p>
    <w:p>
      <w:pPr>
        <w:spacing w:after="0" w:line="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Additionally, in April 2007, the Company combined its previous money transfer business with RIA and incurred total exit costs of approximately $0.9 million during 2007. These costs were recorded as operating expenses and represent the accelerated depreciation and amortization of property and equipment, software and leasehold improvements that were disposed of during 2007; the write off of marketing materials and trademarks that have been discontinued or will not be used; the write off of accounts receivable from agents that did not meet RIA’s credit requirements; and severance and retention payments made to certain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During 2007, the Company completed three other acquisitions described below for an aggregate purchase price of $26.5 million, comprised of $18.1 million in cash, 275,429 shares of Euronet Common Stock valued at $7.6 million and notes payable of $0.8 million. In connection with one of these acquisitions, the Company agreed to certain contingent consideration arrangements based on the value of Euronet Common Stock and the achievement of certain performance criteria. Upon the achievement of certain performance criteria, during 2010, the Company may have to pay a total of $1.25 million in cash or 37,745 shares of Euronet Common Stock, at the option of the seller.</w:t>
      </w:r>
    </w:p>
    <w:p>
      <w:pPr>
        <w:spacing w:after="0" w:line="80" w:lineRule="exact"/>
        <w:rPr>
          <w:sz w:val="20"/>
          <w:szCs w:val="20"/>
          <w:color w:val="auto"/>
        </w:rPr>
      </w:pPr>
    </w:p>
    <w:p>
      <w:pPr>
        <w:ind w:left="660" w:right="140" w:hanging="436"/>
        <w:spacing w:after="0" w:line="286" w:lineRule="auto"/>
        <w:tabs>
          <w:tab w:leader="none" w:pos="66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During January 2007, EFT Services Holding BV and Euronet Adminisztracios Kft, both wholly-owned subsidiaries of Euronet, completed the acquisition of a total of 100% of the share capital of Brodos SRL in Romania (“Brodos Romania”). Brodos Romania is a leading electronic prepaid mobile airtime processor that expanded the Company’s Prepaid Processing Segment business to Romania.</w:t>
      </w:r>
    </w:p>
    <w:p>
      <w:pPr>
        <w:spacing w:after="0" w:line="70" w:lineRule="exact"/>
        <w:rPr>
          <w:rFonts w:ascii="Arial" w:cs="Arial" w:eastAsia="Arial" w:hAnsi="Arial"/>
          <w:sz w:val="17"/>
          <w:szCs w:val="17"/>
          <w:b w:val="1"/>
          <w:bCs w:val="1"/>
          <w:color w:val="auto"/>
        </w:rPr>
      </w:pPr>
    </w:p>
    <w:p>
      <w:pPr>
        <w:jc w:val="both"/>
        <w:ind w:left="660" w:right="520" w:hanging="436"/>
        <w:spacing w:after="0" w:line="264"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During February 2007, e-pay Holdings Limited, a wholly-owned subsidiary of Euronet, completed the acquisition of all of the share capital of Omega Logic, Ltd. (“Omega Logic”). Omega Logic is a prepaid top-up company based, and primarily operating, in the U.K. This acquisition enhanced our Prepaid Processing Segment business in the U.K.</w:t>
      </w:r>
    </w:p>
    <w:p>
      <w:pPr>
        <w:spacing w:after="0" w:line="86" w:lineRule="exact"/>
        <w:rPr>
          <w:rFonts w:ascii="Arial" w:cs="Arial" w:eastAsia="Arial" w:hAnsi="Arial"/>
          <w:sz w:val="18"/>
          <w:szCs w:val="18"/>
          <w:b w:val="1"/>
          <w:bCs w:val="1"/>
          <w:color w:val="auto"/>
        </w:rPr>
      </w:pPr>
    </w:p>
    <w:p>
      <w:pPr>
        <w:jc w:val="both"/>
        <w:ind w:left="660" w:right="80" w:hanging="436"/>
        <w:spacing w:after="0" w:line="264"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During April 2007, PaySpot, Inc. (a wholly-owned subsidiary of Euronet) acquired customer relationships from Synergy Telecom, Inc. (“Synergy”) and Synergy agreed not to compete with PaySpot in the prepaid mobile phone top-up business in the U.S. for a period of five years. This acquisition enhances the Company’s Prepaid Processing Segment business in the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(7) NON-CASH FINANCING AND INVESTING ACTIVITIES</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Capital lease obligations of $0.7 million, $1.5 million and $3.0 million during the years ended December 31, 2009, 2008 and 2007, respectively, were incurred when the Company entered into leases primarily for new ATMs, to upgrade ATMs or for data center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6, Acquisitions, for a description of non-cash financing and investing activities related to the Company’s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held in trust and/or cash held on behalf of others</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62,056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Collateral on bank credit arrangements</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10,746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ATM network cash</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73,148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$ 131,025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Cash held in trust and/or cash held on behalf of others is in connection with the administration of the customer collection and vendor remittance activities in the Prepaid Processing Segment. Amounts collected on behalf of mobile operators are deposited into a restricted cash account. The Company has deposits with commercial banks to cover guarantees. The bank credit arrangements primarily represent cash collateral for bank guarantees. ATM network cash represents balances held that are equivalent to the value of certain banks’ cash held in Euronet’s ATM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2009 and 2008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94,200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POS terminals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39,807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office equipment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78,905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249,847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(153,255)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(125,258)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96,592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2009, 2008 and 2007 was $30.4 million, $30.2 million and $25.2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(10) GOODWILL AND ACQUIRED INTANGIBLE ASSETS, NET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2009 and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3"/>
              </w:rPr>
              <w:t>December 31, 2009</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3"/>
              </w:rPr>
              <w:t>December 31, 2008</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40"/>
              <w:spacing w:after="0" w:line="123" w:lineRule="exact"/>
              <w:rPr>
                <w:sz w:val="20"/>
                <w:szCs w:val="20"/>
                <w:color w:val="auto"/>
              </w:rPr>
            </w:pPr>
            <w:r>
              <w:rPr>
                <w:rFonts w:ascii="Arial" w:cs="Arial" w:eastAsia="Arial" w:hAnsi="Arial"/>
                <w:sz w:val="14"/>
                <w:szCs w:val="14"/>
                <w:color w:val="auto"/>
                <w:w w:val="88"/>
              </w:rPr>
              <w:t>Accumulated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Amount</w:t>
            </w:r>
          </w:p>
        </w:tc>
        <w:tc>
          <w:tcPr>
            <w:tcW w:w="142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gridSpan w:val="4"/>
          </w:tcPr>
          <w:p>
            <w:pPr>
              <w:ind w:left="32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153,041</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76,794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139,671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42,268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7,012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40,793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Patent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1,701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gridSpan w:val="2"/>
          </w:tcPr>
          <w:p>
            <w:pPr>
              <w:spacing w:after="0"/>
              <w:rPr>
                <w:sz w:val="20"/>
                <w:szCs w:val="20"/>
                <w:color w:val="auto"/>
              </w:rPr>
            </w:pPr>
            <w:r>
              <w:rPr>
                <w:rFonts w:ascii="Arial" w:cs="Arial" w:eastAsia="Arial" w:hAnsi="Arial"/>
                <w:sz w:val="18"/>
                <w:szCs w:val="18"/>
                <w:color w:val="auto"/>
              </w:rPr>
              <w:t>Totals</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201,872</w:t>
            </w:r>
          </w:p>
        </w:tc>
        <w:tc>
          <w:tcPr>
            <w:tcW w:w="320" w:type="dxa"/>
            <w:vAlign w:val="bottom"/>
          </w:tcPr>
          <w:p>
            <w:pPr>
              <w:spacing w:after="0"/>
              <w:rPr>
                <w:sz w:val="24"/>
                <w:szCs w:val="24"/>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88,924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188,233</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62,920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2008 and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Intangible</w:t>
            </w:r>
          </w:p>
        </w:tc>
        <w:tc>
          <w:tcPr>
            <w:tcW w:w="30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Goodwill</w:t>
            </w:r>
          </w:p>
        </w:tc>
        <w:tc>
          <w:tcPr>
            <w:tcW w:w="3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7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Assets</w:t>
            </w: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2008</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155,137</w:t>
            </w:r>
          </w:p>
        </w:tc>
        <w:tc>
          <w:tcPr>
            <w:tcW w:w="3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$ 762,723</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Decreases: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(219,756)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(24,173)</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(5,330)</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(54,662)</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(59,992)</w:t>
            </w: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140" w:type="dxa"/>
            <w:vAlign w:val="bottom"/>
            <w:gridSpan w:val="2"/>
          </w:tcPr>
          <w:p>
            <w:pPr>
              <w:spacing w:after="0"/>
              <w:rPr>
                <w:sz w:val="20"/>
                <w:szCs w:val="20"/>
                <w:color w:val="auto"/>
              </w:rPr>
            </w:pPr>
            <w:r>
              <w:rPr>
                <w:rFonts w:ascii="Arial" w:cs="Arial" w:eastAsia="Arial" w:hAnsi="Arial"/>
                <w:sz w:val="18"/>
                <w:szCs w:val="18"/>
                <w:color w:val="auto"/>
              </w:rPr>
              <w:t>Balance as of December 31, 2008</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125,313</w:t>
            </w:r>
          </w:p>
        </w:tc>
        <w:tc>
          <w:tcPr>
            <w:tcW w:w="380" w:type="dxa"/>
            <w:vAlign w:val="bottom"/>
          </w:tcPr>
          <w:p>
            <w:pPr>
              <w:spacing w:after="0"/>
              <w:rPr>
                <w:sz w:val="24"/>
                <w:szCs w:val="24"/>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$ 488,305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$ 613,618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2009 acquisitions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8,683</w:t>
            </w:r>
          </w:p>
        </w:tc>
        <w:tc>
          <w:tcPr>
            <w:tcW w:w="38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7,034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(1,111)</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(8,773)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(23,349)</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18,084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21,496</w:t>
            </w: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40" w:type="dxa"/>
            <w:vAlign w:val="bottom"/>
            <w:gridSpan w:val="2"/>
          </w:tcPr>
          <w:p>
            <w:pPr>
              <w:spacing w:after="0"/>
              <w:rPr>
                <w:sz w:val="20"/>
                <w:szCs w:val="20"/>
                <w:color w:val="auto"/>
              </w:rPr>
            </w:pPr>
            <w:r>
              <w:rPr>
                <w:rFonts w:ascii="Arial" w:cs="Arial" w:eastAsia="Arial" w:hAnsi="Arial"/>
                <w:sz w:val="18"/>
                <w:szCs w:val="18"/>
                <w:color w:val="auto"/>
              </w:rPr>
              <w:t>Balance as of December 31, 2009</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112,948</w:t>
            </w:r>
          </w:p>
        </w:tc>
        <w:tc>
          <w:tcPr>
            <w:tcW w:w="380" w:type="dxa"/>
            <w:vAlign w:val="bottom"/>
          </w:tcPr>
          <w:p>
            <w:pPr>
              <w:spacing w:after="0"/>
              <w:rPr>
                <w:sz w:val="24"/>
                <w:szCs w:val="24"/>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$ 504,650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$ 617,598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result of the 2008 annual goodwill impairment test, the Company recorded an estimated non-cash goodwill impairment charge of $219.8 million. The Company performs its annual goodwill impairment test during the fourth quarter of each year, which in 2008 coincided with severe disruptions in the credit markets and a macroeconomic business climate that had adverse impacts on stock markets and contributed to a significant decline in the Company’s stock price. 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 An important key component of the 2008 goodwill impairment test was the reconciliation of the Company’s equity to market capitalization. During the fourth quarter 2008 and into 2009, the Company’s total market capitalization was less than the recorded value of the Company’s equity by an amount up to approximately 45% of recorded equity, creating a strong indicator of potential impairment of our goodwill balance.</w:t>
      </w:r>
    </w:p>
    <w:p>
      <w:pPr>
        <w:spacing w:after="0" w:line="5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Because of the macroeconomic conditions described above and their impacts on the Company, after incorporating assumptions that the Company or another purchaser would likely make into the Company’s business outlook and projections for certain of the Company’s acquired businesses, the Company determined that the resulting valuations were not sufficient to support the recorded value of the Company’s investments. Specifically, the Company had experienced reductions in volumes for money transfers between the U.S. and Mexico, among other corridors, that were initially expected to continue expanding. Additionally, growth in the Spanish prepaid mobile phone business in general had been slower than expected and commission pressure from mobile operators, as well as intense competition from other prepaid processors, had reduced profitability.</w:t>
      </w:r>
    </w:p>
    <w:p>
      <w:pPr>
        <w:spacing w:after="0" w:line="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Accordingly, during the fourth quarter 2008, the Company recorded a total impairment charge related to goodwill of $219.8 million, comprised of $169.1 million related to the RIA money transfer business acquired in April 2007 and $50.7 million related to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3" w:name="page84"/>
    <w:bookmarkEnd w:id="83"/>
    <w:p>
      <w:pPr>
        <w:jc w:val="both"/>
        <w:ind w:right="160"/>
        <w:spacing w:after="0" w:line="264" w:lineRule="auto"/>
        <w:rPr>
          <w:sz w:val="20"/>
          <w:szCs w:val="20"/>
          <w:color w:val="auto"/>
        </w:rPr>
      </w:pPr>
      <w:r>
        <w:rPr>
          <w:rFonts w:ascii="Arial" w:cs="Arial" w:eastAsia="Arial" w:hAnsi="Arial"/>
          <w:sz w:val="18"/>
          <w:szCs w:val="18"/>
          <w:color w:val="auto"/>
        </w:rPr>
        <w:t>Spanish prepaid businesses acquired in separate transactions during November 2004 and March 2005. The $219.8 million goodwill impairment charge was the Company’s best estimate of the goodwill charge as of December 31, 2008. During the first quarter of 2009, the Company completed the measurement of the impairment loss and recorded an additional $8.8 million non-cash charge.</w:t>
      </w:r>
    </w:p>
    <w:p>
      <w:pPr>
        <w:spacing w:after="0" w:line="7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a related assessment in accordance with ASC 360-10-35, it was determined that certain trade names and customer relationships of the RIA money transfer business were impaired and the Company recorded a non-cash impairment charge of $0.3 million in 2008 related to those assets. In the first quarter of 2009, the Company recorded a $1.1 million non-cash impairment charge related to a money transfer intangible asset.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annual goodwill impairment test completed in the fourth quarter of 2009 resulted in no impairment charges.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the total goodwill balance of $504.7 million as of December 31, 2009, $248.9 million relates to the Money Transfer Segment, $228.5 million relates to the Prepaid Processing Segment and the remaining $27.3 million relates to the EFT Processing Segment. Amortization expense for intangible assets with finite lives was $23.3 million, $24.2 million and $20.4 million for the years ended December 31, 2009, 2008 and 2007, respectively. Estimated amortization expense on intangible assets with finite lives as of December 31, 2009 is expected to be $23.9 million for 2010, $19.8 million for 2011, $17.5 million for 2012, $12.9 million for 2013 and $10.0 million for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Accrued amounts due to mobile operators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161,444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 settlement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225,474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226,191</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(12) DEBT OBLIGATIONS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40" w:type="dxa"/>
            <w:vAlign w:val="bottom"/>
            <w:gridSpan w:val="3"/>
          </w:tcPr>
          <w:p>
            <w:pPr>
              <w:spacing w:after="0"/>
              <w:rPr>
                <w:sz w:val="20"/>
                <w:szCs w:val="20"/>
                <w:color w:val="auto"/>
              </w:rPr>
            </w:pPr>
            <w:r>
              <w:rPr>
                <w:rFonts w:ascii="Arial" w:cs="Arial" w:eastAsia="Arial" w:hAnsi="Arial"/>
                <w:sz w:val="18"/>
                <w:szCs w:val="18"/>
                <w:i w:val="1"/>
                <w:iCs w:val="1"/>
                <w:color w:val="auto"/>
              </w:rPr>
              <w:t>Short-term debt obligations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were no short-term debt obligations outstanding as of December 31, 2009 and there were $0.2 million as of December 31, 2008 with a weighted average interest rate of 6.8%.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 consist of the following as of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3.50% convertible debentures, unsecured, due 2025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153,927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147,446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2014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129,000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Revolving credit agreements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39,164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323,410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362,803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 of long-term debt obligations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(68,448)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gridSpan w:val="2"/>
          </w:tcPr>
          <w:p>
            <w:pPr>
              <w:ind w:left="200"/>
              <w:spacing w:after="0"/>
              <w:rPr>
                <w:sz w:val="20"/>
                <w:szCs w:val="20"/>
                <w:color w:val="auto"/>
              </w:rPr>
            </w:pPr>
            <w:r>
              <w:rPr>
                <w:rFonts w:ascii="Arial" w:cs="Arial" w:eastAsia="Arial" w:hAnsi="Arial"/>
                <w:sz w:val="18"/>
                <w:szCs w:val="18"/>
                <w:color w:val="auto"/>
              </w:rPr>
              <w:t>Long-term debt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320,283</w:t>
            </w: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294,355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15, 2004, the Company completed the sale of $140 million of 1.625% Contingent Convertible Senior Debentures Due 2024 (“Convertible Senior Debentures”). The Company received net proceeds from the sale of $135.4 million, after fees totaling $4.6 million. During the year ended December 31, 2008, the Company repurchased in privately negotiated transactions $70.0 million in principal amount of the Convertible Senior Debentures. This resulted in a $1.9 million pre-tax gain on early retirement of debt, net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ind w:right="20"/>
        <w:spacing w:after="0" w:line="297" w:lineRule="auto"/>
        <w:rPr>
          <w:sz w:val="20"/>
          <w:szCs w:val="20"/>
          <w:color w:val="auto"/>
        </w:rPr>
      </w:pPr>
      <w:r>
        <w:rPr>
          <w:rFonts w:ascii="Arial" w:cs="Arial" w:eastAsia="Arial" w:hAnsi="Arial"/>
          <w:sz w:val="16"/>
          <w:szCs w:val="16"/>
          <w:color w:val="auto"/>
        </w:rPr>
        <w:t>the write-off of unamortized debt issuance costs. During the year ended December 31, 2009, the Company repurchased in privately negotiated transactions $25.8 million in principal amount of the Convertible Senior Debentures which resulted in $0.2 million in pre-tax losses on early retirement of debt, net of the write-off of unamortized debt issuance costs. Effective December 15, 2009, most of the holders of the Convertible Senior Debentures exercised their option to require the Company to purchase their debentures at par and $43.0 million in principal amount were purchased. The Company elected to redeem the remaining $1.2 million of outstanding debentures at par in January 2010, along with accrued interest at the rate of 1.625% per annum.</w:t>
      </w:r>
    </w:p>
    <w:p>
      <w:pPr>
        <w:spacing w:after="0" w:line="5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discussed in Note 3, Summary of Significant Accounting Policies and Practices, the Company adopted the provisions of ASC 470-20-30-22 (formerly FSP APB 14-1), which resulted in the adjustment of amounts previously reported for the Company’s convertible debentures. The 1.625% convertible debentures had principal amounts outstanding of $1.2 million and $70.0 million as of December 31, 2009 and 2008, respectively, and unamortized discounts outstanding of $3.5 million as of December 31, 2008. The discounts were fully amortized as of December 15, 2009. Contractual interest expense was $0.8 million,</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 million and $2.3 million and discount accretion was $2.6 million, $6.2 million and $6.5 million for the years ended December 31, 2009, 2008 and 2007, respectively. The effective interest rate was 7.1% for the years ended December 31, 2009, 2008 and 2007. The carrying amount of the equity portion was $32.3 million as of December 31, 2009 and 2008.</w:t>
      </w:r>
    </w:p>
    <w:p>
      <w:pPr>
        <w:spacing w:after="0" w:line="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October 4, 2005, the Company completed the sale of $175 million of 3.5% Contingent Convertible Debentures Due 2025 (“Convertible Debentures”). The Company received net proceeds from the sale of $169.9 million, after fees totaling $5.1 million. The Convertible Debentures have an interest rate of 3.5% per annum payable semi-annually in April and October, and are convertible into a total of 4.3 million shares of Euronet Common Stock at a conversion price of $40.48 per share if certain conditions are met (relating to the closing prices of Euronet common stock exceeding certain thresholds for specified periods). The Company will pay contingent interest, during any six-month period commencing with the period from October 15, 2012 through April 14, 2013, and for each six-month period thereafter for which the average trading price of the debentures for the applicable five trading-day period preceding such applicable interest period equals or exceeds 120% of the principal amount of the debentures. Contingent interest will equal 0.35% per annum of the average trading price of a debenture for such five trading-day periods. The Convertible Debentures may not be redeemed by the Company until October 20, 2012 but are redeemable at any time thereafter at par. Holders of the Convertible Debentures have the option to require the Company to purchase their debentures at par on October 15, 2012, 2015 and 2020, or upon a change in control of the Company. These terms and other material terms and conditions applicable to the Convertible Debentures are set forth in the indenture governing the debentures. In connection with the Convertible Debentures, the Company recorded $5.1 million in debt issuance costs, which is being amortized over seven years, the term of the initial put option by the holders of the Convertible Debentures. The Convertible Debentures are general unsecured obligations, and are subordinated in right of payment to all obligations under “Senior Debt,” which is defined to include secured credit facilities (including secured replacements, renewals or refinancings thereof, including with different lenders and in higher amounts) and will rank equally in right of payment with all other existing and future unsecured obligations and senior in right of payment to all future subordinated indebtedness. The Convertible Debentures will be effectively subordinated to any existing and future secured indebtedness, with respect to any collateral securing such indebtedness and all liabilities of Euronet’s subsidiaries. The Convertible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Senior Debt or other additional indebtedness.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$21.1 million and</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$27.6 million as of December 31, 2009 and 2008, respectively. The discount will be amortized through October 15, 2012. Contractual interest expense was $6.1 million for each of the years December 31, 2009, 2008 and 2007. Discount accretion was $6.5 million, $5.9 million and $5.4 million for the years ended December 31, 2009, 2008 and 2007, respectively. The effective interest rate was 8.4% for the years ended December 31, 2009, 2008 and 2007. The carrying amount of the equity portion was $45.1 million as of December 31, 2009 and 2008.</w:t>
      </w:r>
    </w:p>
    <w:p>
      <w:pPr>
        <w:spacing w:after="0" w:line="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completion of the acquisition of RIA during April 2007, the Company entered into a $290 million secured syndicated credit facility consisting of a $190 million seven-year term loan, which was fully-drawn at closing, and a $100 million five-year revolving credit facility (the “Credit Facility”) that replaced the previous $50 million revolving credit facility. The $190 million seven-year term loan bears interest at LIBOR plus 200 basis points or prime plus 100 basis points and contains a 1% per annum original principal amortization requirement, payable quarterly, with the remaining balance outstanding due in April 2014. The $100 million revolving line of credit bears interest at LIBOR or prime plus a margin that adjusts each quarter based upon the Company’s consolidated total leverage ratio, and expires in April 2012. The term loan may be expanded by up to an additional $150 million and the revolving credit facility may be expanded by up to an additional $25 million, subject to satisfaction of certain conditions, including pro-forma debt covenant compliance. The Credit Facility contains certain mandatory prepayments, customary events of default and financial covenants, including leverage ratios. Financing costs of $4.8 million have been deferred and are being amortized over the terms of the respective loans. Euronet and certain subsidiaries have guaranteed the repayment of obligations under the Credit Facility and have granted security interests in the shares (or other equity interests) of certain subsidiaries along with a security interest in certain other personal property collateral of Euronet and certain subsidiaries. The weighted average interest rate of the Company’s borrowings under the term loan was 2.3% and 5.5% as of December 31, 2009 and 2008,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right="80"/>
        <w:spacing w:after="0" w:line="287" w:lineRule="auto"/>
        <w:rPr>
          <w:sz w:val="20"/>
          <w:szCs w:val="20"/>
          <w:color w:val="auto"/>
        </w:rPr>
      </w:pPr>
      <w:r>
        <w:rPr>
          <w:rFonts w:ascii="Arial" w:cs="Arial" w:eastAsia="Arial" w:hAnsi="Arial"/>
          <w:sz w:val="16"/>
          <w:szCs w:val="16"/>
          <w:color w:val="auto"/>
        </w:rPr>
        <w:t>During April 2008, the Company entered into Amendment No. 1 to the Credit Facility to, among other items, (i) change the definition of one of the financial covenants in the original agreement to exclude the effect of certain one-time expenses and (ii) allow for the repurchase of up to $70 million aggregate principal amount of the $140 million in Convertible Senior Debentures Due 2024. The Company incurred costs of $0.6 million in connection with the amendment, which will be recognized as additional interest expense over the remaining term of the Credit Facility. During February 2009, the Company entered into Amendment No. 2 to the Credit Facility to, among other items, (i) (a) grant the Company the ability to repurchase the remaining $70 million of outstanding 1.625% Convertible Senior Debentures Due 2024 and (b) repurchase its 3.5%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of provisions related to Indebtedness, Liens, Permitted Disposition, Debt Transactions, Investments and other matters. The Company incurred costs of approximately $1.6 million in connection with the amendment, which is being recognized as additional interest expense over the remaining term of the Credit Facility.</w:t>
      </w:r>
    </w:p>
    <w:p>
      <w:pPr>
        <w:spacing w:after="0" w:line="6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As of December 31, 2009, the Company had $39.2 million in borrowing and $43.1 million in stand-by letters of credit/bank guarantees outstanding against the revolving credit facility. As of December 31, 2008, the Company had $16.7 million in borrowings and $30.9 million in stand-by letters of credit/bank guarantees outstanding against the revolving credit facility. Stand-by letters of credit/bank guarantees are generally used to secure trade credit and performance obligations. The Company pays an interest rate for stand-by letters of credit/bank guarantees at a rate that adjusts each quarter based upon the Company’s consolidated total leverage ratio. At December 31, 2009, the stand-by letter of credit interest charges were 0.25% per annum. Because the revolving credit agreements expire beyond one year, the borrowings were classified as long-term debt obligations in the December 31, 2009 and 2008 Consolidated Balance Sheets. The weighted average interest rate of the Company’s borrowings under the revolving credit facility was 1.6% and 5.3% as of December 31, 2009 and 2008, respectively.</w:t>
      </w:r>
    </w:p>
    <w:p>
      <w:pPr>
        <w:spacing w:after="0" w:line="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year ended December 31, 2009, the Company repaid $3.0 million of the term loan, of which $1.9 million was pursuant to mandatory repayments, while $1.1 million represented prepayment of amounts not yet due and resulted in the Company recognizing a $0.1 million loss on early retirement of debt. During the year ended December 31, 2008, the Company repaid $32.0 million of the term loan, of which $1.9 million was pursuant to mandatory repayments, while $30.1 million represented prepayment of amounts not yet due and resulted in the Company recognizing a $0.5 million loss on early retirement of debt.</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2009, aggregate annual maturities of long-term debt are $3.1 million in 2010, $1.9 million in 2011, $216.2 million in 2012, $1.9 million in 2013 and $121.4 million in 2014. This maturity schedule reflects amounts borrowed under the revolving credit agreement maturing in 2012 and the term loan maturing in 2014, consistent with the contractual maturities of the agreements. For Convertible Debentures, the maturity schedule reflects the date that coincides with the terms of the initial put option by the holders of the 3.5% Convertible Debentures and the date the Company exercised its call option for the 1.625% Convertible Debentures.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 AND HEDGING ACTIVITIES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2009 and 2008, the Company had foreign currency forward contracts outstanding with a notional value of $68.2 million and $56.5 million, respectively, primarily in euros, which were not designated as hedges and had a weighted average maturity of 5.3 days and 4.6 days, respectively. Although the Company enters into foreign currency forward contracts to offset foreign currency exposure related to the notional value of money transfer transactions collected in currencies other than the U.S. dollar, they are not designated as hedges. This is mainly due to the relatively short duration of the contracts, typically 1 to 14 days, and the frequency with which the Company enters into them.</w:t>
      </w:r>
    </w:p>
    <w:p>
      <w:pPr>
        <w:spacing w:after="0" w:line="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has an office lease in a foreign country that requires payment in a currency that is not the functional currency of either party to the lease or the Company’s reporting currency. Therefore, the lease contains an embedded derivative and its fair value is recorded in the Consolidated Balance Sheet.</w:t>
      </w:r>
    </w:p>
    <w:p>
      <w:pPr>
        <w:spacing w:after="0" w:line="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During the second quarter 2007, the Company entered into interest rate swap agreements for a total notional amount of $50 million to manage interest rate exposure related to a portion of the term loan. The interest rate swap agreements were determined to be cash flow hedges and effectively converted</w:t>
      </w:r>
    </w:p>
    <w:p>
      <w:pPr>
        <w:ind w:right="220"/>
        <w:spacing w:after="0" w:line="261" w:lineRule="auto"/>
        <w:rPr>
          <w:sz w:val="20"/>
          <w:szCs w:val="20"/>
          <w:color w:val="auto"/>
        </w:rPr>
      </w:pPr>
      <w:r>
        <w:rPr>
          <w:rFonts w:ascii="Arial" w:cs="Arial" w:eastAsia="Arial" w:hAnsi="Arial"/>
          <w:sz w:val="18"/>
          <w:szCs w:val="18"/>
          <w:color w:val="auto"/>
        </w:rPr>
        <w:t>$50 million of the term loan to a fixed interest rate of 7.3% through the May 2009 maturity date of the swap agreements. The swap agreements required no payment by either party at their maturities.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tabular disclosures required for derivative instruments: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6" w:name="page87"/>
    <w:bookmarkEnd w:id="86"/>
    <w:p>
      <w:pPr>
        <w:jc w:val="center"/>
        <w:ind w:left="8860"/>
        <w:spacing w:after="0"/>
        <w:rPr>
          <w:sz w:val="20"/>
          <w:szCs w:val="20"/>
          <w:color w:val="auto"/>
        </w:rPr>
      </w:pPr>
      <w:r>
        <w:rPr>
          <w:rFonts w:ascii="Arial" w:cs="Arial" w:eastAsia="Arial" w:hAnsi="Arial"/>
          <w:sz w:val="14"/>
          <w:szCs w:val="14"/>
          <w:b w:val="1"/>
          <w:bCs w:val="1"/>
          <w:color w:val="auto"/>
        </w:rPr>
        <w:t>Fair Values of Derivative</w:t>
      </w:r>
    </w:p>
    <w:p>
      <w:pPr>
        <w:jc w:val="center"/>
        <w:ind w:left="8900"/>
        <w:spacing w:after="0" w:line="236" w:lineRule="auto"/>
        <w:rPr>
          <w:sz w:val="20"/>
          <w:szCs w:val="20"/>
          <w:color w:val="auto"/>
        </w:rPr>
      </w:pPr>
      <w:r>
        <w:rPr>
          <w:rFonts w:ascii="Arial" w:cs="Arial" w:eastAsia="Arial" w:hAnsi="Arial"/>
          <w:sz w:val="14"/>
          <w:szCs w:val="14"/>
          <w:b w:val="1"/>
          <w:bCs w:val="1"/>
          <w:color w:val="auto"/>
        </w:rPr>
        <w:t>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Consolidated Balance</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2480" w:type="dxa"/>
            <w:vAlign w:val="bottom"/>
            <w:gridSpan w:val="2"/>
          </w:tcPr>
          <w:p>
            <w:pPr>
              <w:jc w:val="center"/>
              <w:ind w:right="760"/>
              <w:spacing w:after="0" w:line="142" w:lineRule="exact"/>
              <w:rPr>
                <w:sz w:val="20"/>
                <w:szCs w:val="20"/>
                <w:color w:val="auto"/>
              </w:rPr>
            </w:pPr>
            <w:r>
              <w:rPr>
                <w:rFonts w:ascii="Arial" w:cs="Arial" w:eastAsia="Arial" w:hAnsi="Arial"/>
                <w:sz w:val="14"/>
                <w:szCs w:val="14"/>
                <w:b w:val="1"/>
                <w:bCs w:val="1"/>
                <w:color w:val="auto"/>
                <w:w w:val="91"/>
              </w:rPr>
              <w:t>Sheet Location</w:t>
            </w:r>
          </w:p>
        </w:tc>
        <w:tc>
          <w:tcPr>
            <w:tcW w:w="200" w:type="dxa"/>
            <w:vAlign w:val="bottom"/>
          </w:tcPr>
          <w:p>
            <w:pPr>
              <w:spacing w:after="0"/>
              <w:rPr>
                <w:sz w:val="12"/>
                <w:szCs w:val="12"/>
                <w:color w:val="auto"/>
              </w:rPr>
            </w:pPr>
          </w:p>
        </w:tc>
        <w:tc>
          <w:tcPr>
            <w:tcW w:w="1680" w:type="dxa"/>
            <w:vAlign w:val="bottom"/>
            <w:gridSpan w:val="3"/>
          </w:tcPr>
          <w:p>
            <w:pPr>
              <w:jc w:val="center"/>
              <w:ind w:left="137"/>
              <w:spacing w:after="0" w:line="142" w:lineRule="exact"/>
              <w:rPr>
                <w:sz w:val="20"/>
                <w:szCs w:val="20"/>
                <w:color w:val="auto"/>
              </w:rPr>
            </w:pPr>
            <w:r>
              <w:rPr>
                <w:rFonts w:ascii="Arial" w:cs="Arial" w:eastAsia="Arial" w:hAnsi="Arial"/>
                <w:sz w:val="14"/>
                <w:szCs w:val="14"/>
                <w:b w:val="1"/>
                <w:bCs w:val="1"/>
                <w:color w:val="auto"/>
                <w:w w:val="95"/>
              </w:rPr>
              <w:t>Liability Derivatives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Derivatives designated as hedging instruments under ASC 815</w:t>
            </w:r>
          </w:p>
        </w:tc>
        <w:tc>
          <w:tcPr>
            <w:tcW w:w="480" w:type="dxa"/>
            <w:vAlign w:val="bottom"/>
          </w:tcPr>
          <w:p>
            <w:pPr>
              <w:spacing w:after="0"/>
              <w:rPr>
                <w:sz w:val="19"/>
                <w:szCs w:val="19"/>
                <w:color w:val="auto"/>
              </w:rPr>
            </w:pPr>
          </w:p>
        </w:tc>
        <w:tc>
          <w:tcPr>
            <w:tcW w:w="248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88"/>
              </w:rPr>
              <w:t>Accrued expenses and other</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vMerge w:val="restart"/>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480" w:type="dxa"/>
            <w:vAlign w:val="bottom"/>
          </w:tcPr>
          <w:p>
            <w:pPr>
              <w:spacing w:after="0"/>
              <w:rPr>
                <w:sz w:val="20"/>
                <w:szCs w:val="20"/>
                <w:color w:val="auto"/>
              </w:rPr>
            </w:pPr>
          </w:p>
        </w:tc>
        <w:tc>
          <w:tcPr>
            <w:tcW w:w="248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current liabilities</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0"/>
              </w:rPr>
              <w:t>Asset Derivatives</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w:t>
            </w:r>
          </w:p>
        </w:tc>
        <w:tc>
          <w:tcPr>
            <w:tcW w:w="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Foreign currency derivative contracts — gross gains</w:t>
            </w:r>
          </w:p>
        </w:tc>
        <w:tc>
          <w:tcPr>
            <w:tcW w:w="480" w:type="dxa"/>
            <w:vAlign w:val="bottom"/>
          </w:tcPr>
          <w:p>
            <w:pPr>
              <w:spacing w:after="0"/>
              <w:rPr>
                <w:sz w:val="18"/>
                <w:szCs w:val="18"/>
                <w:color w:val="auto"/>
              </w:rPr>
            </w:pPr>
          </w:p>
        </w:tc>
        <w:tc>
          <w:tcPr>
            <w:tcW w:w="248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derivative contracts — gross losses</w:t>
            </w:r>
          </w:p>
        </w:tc>
        <w:tc>
          <w:tcPr>
            <w:tcW w:w="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Cash and cash equivalents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4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20" w:type="dxa"/>
            <w:vAlign w:val="bottom"/>
            <w:vMerge w:val="restart"/>
          </w:tcPr>
          <w:p>
            <w:pPr>
              <w:ind w:left="200"/>
              <w:spacing w:after="0"/>
              <w:rPr>
                <w:sz w:val="20"/>
                <w:szCs w:val="20"/>
                <w:color w:val="auto"/>
              </w:rPr>
            </w:pPr>
            <w:r>
              <w:rPr>
                <w:rFonts w:ascii="Arial" w:cs="Arial" w:eastAsia="Arial" w:hAnsi="Arial"/>
                <w:sz w:val="18"/>
                <w:szCs w:val="18"/>
                <w:color w:val="auto"/>
              </w:rPr>
              <w:t>Embedded derivative in foreign lease</w:t>
            </w:r>
          </w:p>
        </w:tc>
        <w:tc>
          <w:tcPr>
            <w:tcW w:w="480" w:type="dxa"/>
            <w:vAlign w:val="bottom"/>
          </w:tcPr>
          <w:p>
            <w:pPr>
              <w:spacing w:after="0"/>
              <w:rPr>
                <w:sz w:val="24"/>
                <w:szCs w:val="24"/>
                <w:color w:val="auto"/>
              </w:rPr>
            </w:pPr>
          </w:p>
        </w:tc>
        <w:tc>
          <w:tcPr>
            <w:tcW w:w="248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94"/>
              </w:rPr>
              <w:t>Other long-term liabilities</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5"/>
              </w:rPr>
              <w:t>Liability Derivatives</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Amount of Gain Recognized in OCI on Derivative</w:t>
      </w:r>
    </w:p>
    <w:p>
      <w:pPr>
        <w:jc w:val="center"/>
        <w:ind w:left="7780"/>
        <w:spacing w:after="0" w:line="236" w:lineRule="auto"/>
        <w:rPr>
          <w:sz w:val="20"/>
          <w:szCs w:val="20"/>
          <w:color w:val="auto"/>
        </w:rPr>
      </w:pPr>
      <w:r>
        <w:rPr>
          <w:rFonts w:ascii="Arial" w:cs="Arial" w:eastAsia="Arial" w:hAnsi="Arial"/>
          <w:sz w:val="14"/>
          <w:szCs w:val="14"/>
          <w:b w:val="1"/>
          <w:bCs w:val="1"/>
          <w:color w:val="auto"/>
        </w:rPr>
        <w:t>(Effective Portion)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Derivatives in ASC 815 Cash Flow Hedging Relationships</w:t>
            </w:r>
          </w:p>
        </w:tc>
        <w:tc>
          <w:tcPr>
            <w:tcW w:w="4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Location of Gain (Loss)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12"/>
          </w:tcPr>
          <w:p>
            <w:pPr>
              <w:jc w:val="center"/>
              <w:ind w:right="120"/>
              <w:spacing w:after="0"/>
              <w:rPr>
                <w:sz w:val="20"/>
                <w:szCs w:val="20"/>
                <w:color w:val="auto"/>
              </w:rPr>
            </w:pPr>
            <w:r>
              <w:rPr>
                <w:rFonts w:ascii="Arial" w:cs="Arial" w:eastAsia="Arial" w:hAnsi="Arial"/>
                <w:sz w:val="14"/>
                <w:szCs w:val="14"/>
                <w:b w:val="1"/>
                <w:bCs w:val="1"/>
                <w:color w:val="auto"/>
                <w:w w:val="92"/>
              </w:rPr>
              <w:t>Amount of Gain Recognized in Income on Derivative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Recognized in Income on</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220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Derivatives not designated as hedging instruments under ASC</w:t>
            </w:r>
          </w:p>
        </w:tc>
        <w:tc>
          <w:tcPr>
            <w:tcW w:w="4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815</w:t>
            </w: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Foreign currency derivative contracts</w:t>
            </w:r>
          </w:p>
        </w:tc>
        <w:tc>
          <w:tcPr>
            <w:tcW w:w="460" w:type="dxa"/>
            <w:vAlign w:val="bottom"/>
          </w:tcPr>
          <w:p>
            <w:pPr>
              <w:spacing w:after="0"/>
              <w:rPr>
                <w:sz w:val="17"/>
                <w:szCs w:val="17"/>
                <w:color w:val="auto"/>
              </w:rPr>
            </w:pPr>
          </w:p>
        </w:tc>
        <w:tc>
          <w:tcPr>
            <w:tcW w:w="220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89"/>
              </w:rPr>
              <w:t>Foreign currency exchange</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gain (loss), net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Embedded derivative in foreign lease</w:t>
            </w:r>
          </w:p>
        </w:tc>
        <w:tc>
          <w:tcPr>
            <w:tcW w:w="46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Foreign currency exchange</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9"/>
              </w:rPr>
              <w:t>gain (loss), net</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80" w:type="dxa"/>
            <w:vAlign w:val="bottom"/>
            <w:gridSpan w:val="2"/>
            <w:vMerge w:val="restart"/>
          </w:tcPr>
          <w:p>
            <w:pPr>
              <w:jc w:val="right"/>
              <w:ind w:right="298"/>
              <w:spacing w:after="0"/>
              <w:rPr>
                <w:sz w:val="20"/>
                <w:szCs w:val="20"/>
                <w:color w:val="auto"/>
              </w:rPr>
            </w:pPr>
            <w:r>
              <w:rPr>
                <w:rFonts w:ascii="Arial" w:cs="Arial" w:eastAsia="Arial" w:hAnsi="Arial"/>
                <w:sz w:val="18"/>
                <w:szCs w:val="18"/>
                <w:color w:val="auto"/>
              </w:rPr>
              <w:t>85</w:t>
            </w: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(14) EQUITY PRIVATE PLACEMENT</w:t>
      </w:r>
    </w:p>
    <w:p>
      <w:pPr>
        <w:spacing w:after="0" w:line="20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During March 2007, the Company entered into a securities purchase agreement with certain accredited investors to issue and sell 6,374,528 shares of Common Stock in a private placement. The offering price for the shares was $25.00 per share and the gross proceeds of the offering were approximately $159.4 million. The net proceeds from the sale, after deducting commissions and expenses, were approximately $154.3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leases</w:t>
      </w:r>
    </w:p>
    <w:p>
      <w:pPr>
        <w:spacing w:after="0" w:line="1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leases certain of its ATMs and computer equipment under capital lease agreements that expire between 2010 and 2014 and bear interest at rates between 5.2% and 13.7%.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0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gross amount of the ATMs and computer equipment and related accumulated amortization recorded under capital leases as of December 31, 2009 and 2008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ATMs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30,509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38,599</w:t>
            </w:r>
          </w:p>
        </w:tc>
        <w:tc>
          <w:tcPr>
            <w:tcW w:w="0" w:type="dxa"/>
            <w:vAlign w:val="bottom"/>
          </w:tcPr>
          <w:p>
            <w:pPr>
              <w:spacing w:after="0"/>
              <w:rPr>
                <w:sz w:val="1"/>
                <w:szCs w:val="1"/>
                <w:color w:val="auto"/>
              </w:rPr>
            </w:pP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(21,773)</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8,736</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Operating leases</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non-cancelable operating leases, which expire over the next eleven years. Rent expense for the years ended December 31, 2009, 2008 and 2007 amounted to $25.6 million, $24.6 million and $20.5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Future minimum lease payments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the capital leases and the noncancelable operating leases (with initial or remaining lease terms in excess of one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49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3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2010</w:t>
            </w:r>
          </w:p>
        </w:tc>
        <w:tc>
          <w:tcPr>
            <w:tcW w:w="4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2,811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2012</w:t>
            </w: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2014</w:t>
            </w: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20" w:type="dxa"/>
            <w:vAlign w:val="bottom"/>
          </w:tcPr>
          <w:p>
            <w:pPr>
              <w:ind w:left="400"/>
              <w:spacing w:after="0"/>
              <w:rPr>
                <w:sz w:val="20"/>
                <w:szCs w:val="20"/>
                <w:color w:val="auto"/>
              </w:rPr>
            </w:pPr>
            <w:r>
              <w:rPr>
                <w:rFonts w:ascii="Arial" w:cs="Arial" w:eastAsia="Arial" w:hAnsi="Arial"/>
                <w:sz w:val="18"/>
                <w:szCs w:val="18"/>
                <w:color w:val="auto"/>
              </w:rPr>
              <w:t>Total minimum lease payments</w:t>
            </w:r>
          </w:p>
        </w:tc>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5,201</w:t>
            </w:r>
          </w:p>
        </w:tc>
        <w:tc>
          <w:tcPr>
            <w:tcW w:w="3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20" w:type="dxa"/>
            <w:vAlign w:val="bottom"/>
          </w:tcPr>
          <w:p>
            <w:pPr>
              <w:ind w:left="400"/>
              <w:spacing w:after="0"/>
              <w:rPr>
                <w:sz w:val="20"/>
                <w:szCs w:val="20"/>
                <w:color w:val="auto"/>
              </w:rPr>
            </w:pPr>
            <w:r>
              <w:rPr>
                <w:rFonts w:ascii="Arial" w:cs="Arial" w:eastAsia="Arial" w:hAnsi="Arial"/>
                <w:sz w:val="18"/>
                <w:szCs w:val="18"/>
                <w:color w:val="auto"/>
              </w:rPr>
              <w:t>Present value of net minimum capital lease payments</w:t>
            </w:r>
          </w:p>
        </w:tc>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20" w:type="dxa"/>
            <w:vAlign w:val="bottom"/>
          </w:tcPr>
          <w:p>
            <w:pPr>
              <w:ind w:left="400"/>
              <w:spacing w:after="0"/>
              <w:rPr>
                <w:sz w:val="20"/>
                <w:szCs w:val="20"/>
                <w:color w:val="auto"/>
              </w:rPr>
            </w:pPr>
            <w:r>
              <w:rPr>
                <w:rFonts w:ascii="Arial" w:cs="Arial" w:eastAsia="Arial" w:hAnsi="Arial"/>
                <w:sz w:val="18"/>
                <w:szCs w:val="18"/>
                <w:color w:val="auto"/>
              </w:rPr>
              <w:t>Obligations under capital leases, less current portion</w:t>
            </w:r>
          </w:p>
        </w:tc>
        <w:tc>
          <w:tcPr>
            <w:tcW w:w="4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300" w:type="dxa"/>
            <w:vAlign w:val="bottom"/>
            <w:vMerge w:val="restart"/>
          </w:tcPr>
          <w:p>
            <w:pPr>
              <w:jc w:val="right"/>
              <w:ind w:right="2350"/>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(16) TAXES</w:t>
      </w:r>
    </w:p>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tax assets and liabilities are determined based on the temporary differences between the financial statement and tax bases of assets and liabilities as measured by the enacted tax rates which will be in effect when these differences reverse. Deferred tax benefit (expense) is generally the result of changes in the assets and liabilities for deferred taxes.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(loss) before income taxes for the years ended December 31, 2009, 2008 and 2007 are presented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3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(5,580)</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 (185,531)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36,589</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(27,973)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Asia Pacific</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26,164</w:t>
            </w: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12,837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from continuing operations before income taxes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57,173</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(200,667)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70,865</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60" w:type="dxa"/>
            <w:vAlign w:val="bottom"/>
            <w:gridSpan w:val="2"/>
          </w:tcPr>
          <w:p>
            <w:pPr>
              <w:spacing w:after="0"/>
              <w:rPr>
                <w:sz w:val="20"/>
                <w:szCs w:val="20"/>
                <w:color w:val="auto"/>
              </w:rPr>
            </w:pPr>
            <w:r>
              <w:rPr>
                <w:rFonts w:ascii="Arial" w:cs="Arial" w:eastAsia="Arial" w:hAnsi="Arial"/>
                <w:sz w:val="18"/>
                <w:szCs w:val="18"/>
                <w:color w:val="auto"/>
              </w:rPr>
              <w:t>Discontinued operations — Europe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1,222</w:t>
            </w:r>
          </w:p>
        </w:tc>
        <w:tc>
          <w:tcPr>
            <w:tcW w:w="1860" w:type="dxa"/>
            <w:vAlign w:val="bottom"/>
            <w:gridSpan w:val="3"/>
          </w:tcPr>
          <w:p>
            <w:pPr>
              <w:jc w:val="right"/>
              <w:ind w:right="50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(loss) before income taxes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58,395</w:t>
            </w:r>
          </w:p>
        </w:tc>
        <w:tc>
          <w:tcPr>
            <w:tcW w:w="18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(202,353)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income tax expense (benefit) for the years ended December 31, 2009, 2008 and 2007 attributable to continuing operations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28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U.S.</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1,163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536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28,396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24,242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Total current</w:t>
            </w: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29,559</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24,778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2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U.S.</w:t>
            </w:r>
          </w:p>
        </w:tc>
        <w:tc>
          <w:tcPr>
            <w:tcW w:w="3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(25,215)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Total deferred</w:t>
            </w: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(3,723)</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(32,115)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tax expense (benefit)</w:t>
            </w:r>
          </w:p>
        </w:tc>
        <w:tc>
          <w:tcPr>
            <w:tcW w:w="3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25,836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(7,337)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80" w:type="dxa"/>
            <w:vAlign w:val="bottom"/>
            <w:vMerge w:val="restart"/>
          </w:tcPr>
          <w:p>
            <w:pPr>
              <w:jc w:val="right"/>
              <w:ind w:right="970"/>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9" w:name="page90"/>
    <w:bookmarkEnd w:id="89"/>
    <w:p>
      <w:pPr>
        <w:ind w:right="160"/>
        <w:spacing w:after="0" w:line="277" w:lineRule="auto"/>
        <w:rPr>
          <w:sz w:val="20"/>
          <w:szCs w:val="20"/>
          <w:color w:val="auto"/>
        </w:rPr>
      </w:pPr>
      <w:r>
        <w:rPr>
          <w:rFonts w:ascii="Arial" w:cs="Arial" w:eastAsia="Arial" w:hAnsi="Arial"/>
          <w:sz w:val="18"/>
          <w:szCs w:val="18"/>
          <w:color w:val="auto"/>
        </w:rPr>
        <w:t>The differences that caused Euronet’s effective income tax rates related to continuing operations to vary from the federal statutory rate applicable to our U.S tax profile, which was 35% for 2009 and 2008 and 2007,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5"/>
              </w:rPr>
              <w:t>U.S. federal income tax expense (benefit) at applicable statutory rate</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(70,233)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Tax effect of:</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 expense (benefit) at statutory rates</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(9,233)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Non-deductible expenses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3,705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2,501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permanent differences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2,923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(7,820)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Difference between U.S. federal and foreign tax rates</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(5,154)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Impairment of goodwill</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20,340</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in excess of foreign statutory rates</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2,802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63,378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Total income tax expense (benefit)</w:t>
            </w:r>
          </w:p>
        </w:tc>
        <w:tc>
          <w:tcPr>
            <w:tcW w:w="166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25,836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(7,337)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Tax loss carryforwards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40,100</w:t>
            </w:r>
          </w:p>
        </w:tc>
        <w:tc>
          <w:tcPr>
            <w:tcW w:w="8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2,542</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Billings in excess of earnings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Goodwill and intangible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48,163</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Intercompany notes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6,838</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400"/>
              <w:spacing w:after="0"/>
              <w:rPr>
                <w:sz w:val="20"/>
                <w:szCs w:val="20"/>
                <w:color w:val="auto"/>
              </w:rPr>
            </w:pPr>
            <w:r>
              <w:rPr>
                <w:rFonts w:ascii="Arial" w:cs="Arial" w:eastAsia="Arial" w:hAnsi="Arial"/>
                <w:sz w:val="18"/>
                <w:szCs w:val="18"/>
                <w:color w:val="auto"/>
              </w:rPr>
              <w:t>Gross deferred tax assets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120,374</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123,202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(76,936)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400"/>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43,438</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50,307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Intangibles related to purchase accounting</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(14,885)</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amortizable goodwill</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notes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(26,276)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Earnings in excess of billings</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Capitalized research and development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(1,980)</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affiliates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(4,904)</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(62,178)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400"/>
              <w:spacing w:after="0"/>
              <w:rPr>
                <w:sz w:val="20"/>
                <w:szCs w:val="20"/>
                <w:color w:val="auto"/>
              </w:rPr>
            </w:pPr>
            <w:r>
              <w:rPr>
                <w:rFonts w:ascii="Arial" w:cs="Arial" w:eastAsia="Arial" w:hAnsi="Arial"/>
                <w:sz w:val="18"/>
                <w:szCs w:val="18"/>
                <w:color w:val="auto"/>
              </w:rPr>
              <w:t>Net deferred tax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(18,740)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2009 will be allocated to income taxes in the Consolidated Statements of Operations with the following exceptions. The tax benefit of net operating losses generated from share based compensation have been excluded from the amounts disclosed for Tax Loss Carry Forwards and Valuation Allowance to the extent the benefit will be recognized in equity if realized. The excluded tax benefit of $20.4 million will be allocated to additional paid in capital when utilized to offset taxable income.</w:t>
      </w:r>
    </w:p>
    <w:p>
      <w:pPr>
        <w:spacing w:after="0" w:line="114"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As of December 31, 2009, 2008 and 2007, the Company’s U.S. federal and foreign tax loss carryforwards were $174.1 million, $167.8 million and $150.3 million, respectively, and U.S. state tax loss carryforwards were $51.6 million, $56.4 million and $60.4 million, respectively.</w:t>
      </w:r>
    </w:p>
    <w:p>
      <w:pPr>
        <w:spacing w:after="0" w:line="8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At December 31, 2009, the Company had U.S. federal and foreign tax net operating loss carryforwards of $174.1 million, which will expire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tcPr>
          <w:p>
            <w:pPr>
              <w:spacing w:after="0"/>
              <w:rPr>
                <w:sz w:val="20"/>
                <w:szCs w:val="20"/>
                <w:color w:val="auto"/>
              </w:rPr>
            </w:pPr>
            <w:r>
              <w:rPr>
                <w:rFonts w:ascii="Arial" w:cs="Arial" w:eastAsia="Arial" w:hAnsi="Arial"/>
                <w:sz w:val="14"/>
                <w:szCs w:val="14"/>
                <w:color w:val="auto"/>
              </w:rPr>
              <w:t>Year ending December 31, (in thousands)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Tax Effected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2013</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138,604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174,080</w:t>
            </w:r>
          </w:p>
        </w:tc>
        <w:tc>
          <w:tcPr>
            <w:tcW w:w="6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losses of $51.6 million will expire periodically from 2010 through 2029.</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 provision has been made in the accounts as of December 31, 2009 for U.S. federal income taxes which would be payable if the undistributed earnings of the foreign subsidiaries were distributed to the Company since management has determined that the earnings are permanently reinvested in this foreign operation. Determination of the amount of unrecognized deferred U.S. income tax liabilities and foreign tax credits, if any, is not practicable to calculate at this time.</w:t>
      </w:r>
    </w:p>
    <w:p>
      <w:pPr>
        <w:spacing w:after="0" w:line="14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 is subject to corporate income tax audits in each of its various taxing jurisdictions. Although, the Company believes that its tax positions comply with applicable tax law, a taxing authority could take a position contrary to that reported by the Company and assess additional taxes due. The Company believes it has made adequate provisions for identified exposures.</w:t>
      </w:r>
    </w:p>
    <w:p>
      <w:pPr>
        <w:spacing w:after="0" w:line="15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15, 2004, the Company completed the sale of $140 million of 1.625% stated interest convertible senior debentures in a private offering. Additionally, on October 4, 2005, the Company completed the sale of $175 million of 3.5% stated interest convertible debentures in a private offering. Pursuant to the rules applicable to contingent payment debt instruments, the holders are generally required to include amounts in their taxable income, and the issuer is able to deduct such amounts from its taxable income, based on the rate at which Euronet would issue a non-contingent, non-convertible, fixed-rate debt instrument with terms and conditions otherwise similar to those of the convertible debentures. Euronet has determined that amount to be 9.05% and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8.50% for the 1.625% convertible senior debentures and 3.5% convertible debentures, respectively, which is substantially in excess of the stated interest rate. In the event the convertible debentures are repurchased, redeemed, or converted at an amount less than the adjusted issue price for tax purposes, ordinary income is recognized by the Company to the extent of the prior excess tax deductions. During the tax years ended December 31, 2009 and 2008, the Company repurchased in privately negotiated transactions $68.8 million and $70.0 million, respectively, in principal amounts of the $140.0 million of 1.625% Contingent Convertible Senior Debentures. The convertible debentures were repurchased for less than the adjusted issue price for tax purposes, resulting in the recognition of taxable income in excess of the gain recognized for book purposes on the transactions of approximately $28.8 million in 2009 and $23.2 million in 2008.</w:t>
      </w:r>
    </w:p>
    <w:p>
      <w:pPr>
        <w:spacing w:after="0" w:line="15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 issuer of convertible debt may not deduct any premium paid upon its repurchase of such debt if the premium exceeds a normal call premium. This denial of an interest deduction, however, does not apply to accruals of interest based on the comparable yield of a convertible debt instrument. Nonetheless, the anti-abuse regulation, set forth in Section 1.1275(g) of the Internal Revenue Code (“Code”), grants the Commissioner of the Internal Revenue Service authority to depart from the regulation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the debentures described above and ultimately sustained, our deductions for these debentures could be limited to the stated interest. The scope of the application of the anti-abuse regulations is unclear. The Company believes that the application of the Contingent Debt Regulations to the debentures is a reasonable result such that the anti-abuse regulation should not apply. If a contrary position were asserted and ultimately sustained, our tax deductions would be severely diminished; however, such a contrary position would not have any adverse impact on our reported tax expense, because there has been minimal tax benefit recognized for the difference between the stated interest and the comparable yield of the debentures.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2009 and 2008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1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(466)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8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5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9,089</w:t>
            </w:r>
          </w:p>
        </w:tc>
        <w:tc>
          <w:tcPr>
            <w:tcW w:w="5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8,238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2009 and 2008, approximately $3.2 million and $2.2 million, respectively, of the unrecognized tax benefits would impact the Company’s provision for income taxes and effective tax rate, if recognized. Total estimated accrued interest and penalties related to the underpayment of income taxes was $1.4 million and $1.1 million as of December 31, 2009 and 2008, respectively. The following tax years remain open in the Company’s major jurisdictions as of December 31, 2009:</w:t>
      </w:r>
    </w:p>
    <w:p>
      <w:pPr>
        <w:sectPr>
          <w:pgSz w:w="11900" w:h="16838" w:orient="portrait"/>
          <w:cols w:equalWidth="0" w:num="1">
            <w:col w:w="11420"/>
          </w:cols>
          <w:pgMar w:left="240" w:top="935" w:right="239" w:bottom="1440" w:gutter="0" w:footer="0" w:header="0"/>
        </w:sectPr>
      </w:pP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(Federal)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2004 through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 through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through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through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through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through 2009</w:t>
      </w:r>
    </w:p>
    <w:p>
      <w:pPr>
        <w:spacing w:after="0" w:line="192" w:lineRule="exact"/>
        <w:rPr>
          <w:sz w:val="20"/>
          <w:szCs w:val="20"/>
          <w:color w:val="auto"/>
        </w:rPr>
      </w:pPr>
    </w:p>
    <w:p>
      <w:pPr>
        <w:sectPr>
          <w:pgSz w:w="11900" w:h="16838" w:orient="portrait"/>
          <w:cols w:equalWidth="0" w:num="2">
            <w:col w:w="1360" w:space="220"/>
            <w:col w:w="9840"/>
          </w:cols>
          <w:pgMar w:left="240" w:top="935" w:right="239" w:bottom="1440" w:gutter="0" w:footer="0" w:header="0"/>
          <w:type w:val="continuous"/>
        </w:sectPr>
      </w:pPr>
    </w:p>
    <w:p>
      <w:pPr>
        <w:ind w:right="20"/>
        <w:spacing w:after="0" w:line="259" w:lineRule="auto"/>
        <w:rPr>
          <w:sz w:val="20"/>
          <w:szCs w:val="20"/>
          <w:color w:val="auto"/>
        </w:rPr>
      </w:pPr>
      <w:r>
        <w:rPr>
          <w:rFonts w:ascii="Arial" w:cs="Arial" w:eastAsia="Arial" w:hAnsi="Arial"/>
          <w:sz w:val="18"/>
          <w:szCs w:val="18"/>
          <w:color w:val="auto"/>
        </w:rPr>
        <w:t>The application of ASC 740-10-25 and 30 requires significant judgment in assessing the outcome of future tax examinations and their potential impact on the Company’s estimated effective tax rate and 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VALUATION AND QUALIFYING ACCOUNTS</w:t>
      </w:r>
    </w:p>
    <w:p>
      <w:pPr>
        <w:spacing w:after="0" w:line="202"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2009, 2008 and 2007: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9"/>
              </w:rPr>
              <w:t>Year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balance-allowance for doubtful accounts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Additions-charged to expense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6,487</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Impact of acquisition of RIA (See Note 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(primarily changes in foreign currency exchange rates)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20" w:type="dxa"/>
            <w:vAlign w:val="bottom"/>
            <w:gridSpan w:val="2"/>
          </w:tcPr>
          <w:p>
            <w:pPr>
              <w:spacing w:after="0"/>
              <w:rPr>
                <w:sz w:val="20"/>
                <w:szCs w:val="20"/>
                <w:color w:val="auto"/>
              </w:rPr>
            </w:pPr>
            <w:r>
              <w:rPr>
                <w:rFonts w:ascii="Arial" w:cs="Arial" w:eastAsia="Arial" w:hAnsi="Arial"/>
                <w:sz w:val="18"/>
                <w:szCs w:val="18"/>
                <w:color w:val="auto"/>
              </w:rPr>
              <w:t>Ending balance-allowance for doubtful accounts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13,909</w:t>
            </w:r>
          </w:p>
        </w:tc>
        <w:tc>
          <w:tcPr>
            <w:tcW w:w="2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9,445</w:t>
            </w:r>
          </w:p>
        </w:tc>
        <w:tc>
          <w:tcPr>
            <w:tcW w:w="8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6,194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 PLANS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has established, and shareholders have approved, share compensation plans (“SCPs”) that allow the Company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arrangement with the Company. Certain stock option grants vest over a five year period, subject to the achievement of a pre-determined share price target for Euronet common stock within three years from the grant date. With the exception of certain awards made to the Company’s employees in Germany, awards under the SCP plans are settled through the issuance of new shares under the provisions of the SCPs. For Company employees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93" w:name="page94"/>
    <w:bookmarkEnd w:id="93"/>
    <w:p>
      <w:pPr>
        <w:ind w:right="200"/>
        <w:spacing w:after="0" w:line="342" w:lineRule="auto"/>
        <w:rPr>
          <w:sz w:val="20"/>
          <w:szCs w:val="20"/>
          <w:color w:val="auto"/>
        </w:rPr>
      </w:pPr>
      <w:r>
        <w:rPr>
          <w:rFonts w:ascii="Arial" w:cs="Arial" w:eastAsia="Arial" w:hAnsi="Arial"/>
          <w:sz w:val="16"/>
          <w:szCs w:val="16"/>
          <w:color w:val="auto"/>
        </w:rPr>
        <w:t>Germany, certain awards are settled through the issuance of treasury shares, which also reduces the number of shares available for future issuance under the SCPs. As of December 31, 2009, the Company has approximately 4.1 million in total shares remaining available for issuance under the SCPs.</w:t>
      </w:r>
    </w:p>
    <w:p>
      <w:pPr>
        <w:spacing w:after="0" w:line="9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Consolidated Statements of Operations includes share-based compensation expense of $7.9 million, $8.5 million and $7.7 million for the years ended December 31, 2009, 2008 and 2007, respectively. The amounts are recorded as salaries and benefits expense in the accompanying Consolidated Statements of Operations. The Company recorded a tax benefit of $0.9 million, $0.7 million and $0.4 million during the years ended December 31, 2009, 2008 and 2007, respectively, for the portion of this expense that relates to foreign tax jurisdictions in which an income tax benefit is expected to be derived.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5"/>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 (1,392,439 shares exercisable)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3,383,194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11.71</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815,939</w:t>
            </w:r>
          </w:p>
        </w:tc>
        <w:tc>
          <w:tcPr>
            <w:tcW w:w="3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21.54</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(193,554)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11.25</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(59,820)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10.75</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(11,210)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20.04</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3,934,549</w:t>
            </w:r>
          </w:p>
        </w:tc>
        <w:tc>
          <w:tcPr>
            <w:tcW w:w="3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13.76</w:t>
            </w: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1,303,647</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gridSpan w:val="2"/>
          </w:tcPr>
          <w:p>
            <w:pPr>
              <w:spacing w:after="0"/>
              <w:rPr>
                <w:sz w:val="20"/>
                <w:szCs w:val="20"/>
                <w:color w:val="auto"/>
              </w:rPr>
            </w:pPr>
            <w:r>
              <w:rPr>
                <w:rFonts w:ascii="Arial" w:cs="Arial" w:eastAsia="Arial" w:hAnsi="Arial"/>
                <w:sz w:val="18"/>
                <w:szCs w:val="18"/>
                <w:color w:val="auto"/>
              </w:rPr>
              <w:t>Vested and expected to vest at December 31, 2009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3,302,080</w:t>
            </w:r>
          </w:p>
        </w:tc>
        <w:tc>
          <w:tcPr>
            <w:tcW w:w="3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13.74</w:t>
            </w: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that are expected to vest are net of estimated future option forfeitures. The Company received cash of $2.2 million, $0.8 million and</w:t>
      </w:r>
    </w:p>
    <w:p>
      <w:pPr>
        <w:spacing w:after="0" w:line="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$7.0 million in connection with stock options exercised during the years ended December 31, 2009, 2008 and 2007, respectively. The intrinsic value of these options exercised was $1.4 million, $0.6 million and $7.6 million during the years ended December 31, 2009, 2008 and 2007, respectively. As of December 31, 2009, unrecognized compensation expense related to nonvested stock options that are expected to vest totaled $10.7 million and will be recognized over the next 5 years, with an overall weighted average period of 4.5 years. The following table provides the fair value of options granted under the SCP during 2009 and 2008, together with a description of the assumptions used to calculate the fair value using the Black-Scholes or Monte Carlo simulation models: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4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Risk-free interest rate — weighted average</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 range</w:t>
            </w:r>
          </w:p>
        </w:tc>
        <w:tc>
          <w:tcPr>
            <w:tcW w:w="4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2.7% to 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 to 2.3%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Dividend yield</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Assumed forfeitures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lives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6.9 years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7.1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446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r>
      <w:tr>
        <w:trPr>
          <w:trHeight w:val="405"/>
        </w:trPr>
        <w:tc>
          <w:tcPr>
            <w:tcW w:w="4360" w:type="dxa"/>
            <w:vAlign w:val="bottom"/>
          </w:tcPr>
          <w:p>
            <w:pPr>
              <w:spacing w:after="0"/>
              <w:rPr>
                <w:sz w:val="24"/>
                <w:szCs w:val="24"/>
                <w:color w:val="auto"/>
              </w:rPr>
            </w:pPr>
          </w:p>
        </w:tc>
        <w:tc>
          <w:tcPr>
            <w:tcW w:w="4340" w:type="dxa"/>
            <w:vAlign w:val="bottom"/>
          </w:tcPr>
          <w:p>
            <w:pPr>
              <w:jc w:val="right"/>
              <w:ind w:right="28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Nonvested at December 31, 2008</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1,662,527</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207,546</w:t>
            </w: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(264,583)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(197,389)</w:t>
            </w: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1,408,101</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fair value of shares vested during the years ended December 31, 2009, 2008 and 2007 was $5.2 million, $3.4 million and $2.9 million, respectively. As of December 31, 2009, there was $8.6 million of total unrecognized compensation cost related to unvested time-based restricted stock, which is expected to be recognized over a weighted average period of 3.1 years. As of December 31, 2009, there was $8.9 million of total unrecognized compensation costs related to unvested performance-based restricted stock, which is expected to be recognized based on Company performance over a weighted average period of</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3.7 years. The weighted average grant date fair value of restricted stock granted during the years ended December 31, 2009, 2008 and 2007 was $20.81, $15.05 and $29.62 per share,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stock purchase plans</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years ended December 31, 2009, 2008 and 2007, the Company issued 49,337, 59,983 and 49,500 rights, respectively, to purchase shares of Common Stock at a weighted average price per share of $15.04, $18.38 and $24.19, respectively. The grant date fair value of the option to purchase shares at the lower of the closing price at the beginning or end of the quarterly period, plus the actual total discount provided, are recorded as compensation expense. Total compensation expense recorded was $0.2 million for the year ended December 31, 2009 and $0.3 million for each of the years ended December 31, 2008 and 2007. The following table provides the weighted average fair value of the ESPP stock purchase rights during the years ended December 31, 2009, 2008 and 2007 and the assumptions used to calculate the fair value using the Black-Scholes option pricing model: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Volatility — weighted average</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Volatility — range</w:t>
            </w:r>
          </w:p>
        </w:tc>
        <w:tc>
          <w:tcPr>
            <w:tcW w:w="24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22.8% to 79.6%</w:t>
            </w:r>
          </w:p>
        </w:tc>
        <w:tc>
          <w:tcPr>
            <w:tcW w:w="400" w:type="dxa"/>
            <w:vAlign w:val="bottom"/>
          </w:tcPr>
          <w:p>
            <w:pPr>
              <w:spacing w:after="0"/>
              <w:rPr>
                <w:sz w:val="18"/>
                <w:szCs w:val="18"/>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35.8% to 99.8%</w:t>
            </w:r>
          </w:p>
        </w:tc>
        <w:tc>
          <w:tcPr>
            <w:tcW w:w="2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1"/>
              </w:rPr>
              <w:t>27.1% to 52.3%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 weighted average</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Risk-free interest rate — range</w:t>
            </w:r>
          </w:p>
        </w:tc>
        <w:tc>
          <w:tcPr>
            <w:tcW w:w="24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0.08% to 0.22%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0.9% to 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3.1% to 5.0%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lives</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3 months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3 months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 months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26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r>
      <w:tr>
        <w:trPr>
          <w:trHeight w:val="405"/>
        </w:trPr>
        <w:tc>
          <w:tcPr>
            <w:tcW w:w="4360" w:type="dxa"/>
            <w:vAlign w:val="bottom"/>
          </w:tcPr>
          <w:p>
            <w:pPr>
              <w:spacing w:after="0"/>
              <w:rPr>
                <w:sz w:val="24"/>
                <w:szCs w:val="24"/>
                <w:color w:val="auto"/>
              </w:rPr>
            </w:pPr>
          </w:p>
        </w:tc>
        <w:tc>
          <w:tcPr>
            <w:tcW w:w="2460" w:type="dxa"/>
            <w:vAlign w:val="bottom"/>
          </w:tcPr>
          <w:p>
            <w:pPr>
              <w:jc w:val="right"/>
              <w:ind w:right="93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ASC 280-10 (formerly SFAS No. 131). The Company currently operates in the following three reportable operating segments.</w:t>
      </w:r>
    </w:p>
    <w:p>
      <w:pPr>
        <w:spacing w:after="0" w:line="62" w:lineRule="exact"/>
        <w:rPr>
          <w:sz w:val="20"/>
          <w:szCs w:val="20"/>
          <w:color w:val="auto"/>
        </w:rPr>
      </w:pPr>
    </w:p>
    <w:p>
      <w:pPr>
        <w:ind w:left="660" w:right="280" w:hanging="436"/>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93"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electronic distribution of prepaid mobile airtime and other prepaid products and collection services in Europe, the Middle East, Asia Pacific and North America.</w:t>
      </w:r>
    </w:p>
    <w:p>
      <w:pPr>
        <w:spacing w:after="0" w:line="75"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and bill payment services through a sending network of agents and Company-owned stores primarily in North America and Europe, disbursing money transfers through a worldwide payer network.</w:t>
      </w:r>
    </w:p>
    <w:p>
      <w:pPr>
        <w:spacing w:after="0" w:line="3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share-based compensation expense, certain intersegment eliminations and the costs of providing corporate and other administrative services to the three segments.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years ended December 31, 2009,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center"/>
              <w:ind w:left="452"/>
              <w:spacing w:after="0"/>
              <w:rPr>
                <w:sz w:val="20"/>
                <w:szCs w:val="20"/>
                <w:color w:val="auto"/>
              </w:rPr>
            </w:pPr>
            <w:r>
              <w:rPr>
                <w:rFonts w:ascii="Arial" w:cs="Arial" w:eastAsia="Arial" w:hAnsi="Arial"/>
                <w:sz w:val="14"/>
                <w:szCs w:val="14"/>
                <w:b w:val="1"/>
                <w:bCs w:val="1"/>
                <w:color w:val="auto"/>
                <w:w w:val="93"/>
              </w:rPr>
              <w:t>For the year ended December 31, 2009</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EFT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Prepaid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Processing</w:t>
            </w:r>
          </w:p>
        </w:tc>
        <w:tc>
          <w:tcPr>
            <w:tcW w:w="56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Processing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Transfer</w:t>
            </w:r>
          </w:p>
        </w:tc>
        <w:tc>
          <w:tcPr>
            <w:tcW w:w="32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197,740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602,075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232,879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1,032,694</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485,305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109,867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30,302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28,753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54,166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17,437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9,884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149,550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552,629</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233,233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25,017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960,429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48,190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72,265</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(2,249)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(22,531)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Gain on sale of investment securities</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early retirement of debt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Foreign exchange gain (loss), net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(16,265)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80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46,283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52,507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(41,282)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35,641</w:t>
            </w: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35,853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1,609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(41,766)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 as of December 31,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224,737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686,988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436,111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64,843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1,412,679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61,817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14,965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19,139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center"/>
              <w:ind w:left="452"/>
              <w:spacing w:after="0"/>
              <w:rPr>
                <w:sz w:val="20"/>
                <w:szCs w:val="20"/>
                <w:color w:val="auto"/>
              </w:rPr>
            </w:pPr>
            <w:r>
              <w:rPr>
                <w:rFonts w:ascii="Arial" w:cs="Arial" w:eastAsia="Arial" w:hAnsi="Arial"/>
                <w:sz w:val="14"/>
                <w:szCs w:val="14"/>
                <w:b w:val="1"/>
                <w:bCs w:val="1"/>
                <w:color w:val="auto"/>
                <w:w w:val="93"/>
              </w:rPr>
              <w:t>For the year ended December 31, 2008</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EFT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Prepaid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Processing</w:t>
            </w:r>
          </w:p>
        </w:tc>
        <w:tc>
          <w:tcPr>
            <w:tcW w:w="56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Processing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Transfer</w:t>
            </w:r>
          </w:p>
        </w:tc>
        <w:tc>
          <w:tcPr>
            <w:tcW w:w="32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205,257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609,106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231,302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1,045,665</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495,971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114,457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34,944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28,574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50,543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15,037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50,681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169,396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166,951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613,765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388,452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25,518</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1,194,686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(157,150)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(149,021)</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(3,693)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(31,487)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early retirement of debt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Foreign exchange gain (loss), net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(55,828)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(51,646)</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80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35,092</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(156,998)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(81,346)</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26,294</w:t>
            </w: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(13,978)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(125,794)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(79,852)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(193,330)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 as of December 31,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207,643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681,610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394,869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121,522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1,405,644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57,346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13,404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17,184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10"/>
          </w:tcPr>
          <w:p>
            <w:pPr>
              <w:jc w:val="right"/>
              <w:ind w:right="1080"/>
              <w:spacing w:after="0"/>
              <w:rPr>
                <w:sz w:val="20"/>
                <w:szCs w:val="20"/>
                <w:color w:val="auto"/>
              </w:rPr>
            </w:pPr>
            <w:r>
              <w:rPr>
                <w:rFonts w:ascii="Arial" w:cs="Arial" w:eastAsia="Arial" w:hAnsi="Arial"/>
                <w:sz w:val="14"/>
                <w:szCs w:val="14"/>
                <w:b w:val="1"/>
                <w:bCs w:val="1"/>
                <w:color w:val="auto"/>
              </w:rPr>
              <w:t>For the year ended December 31, 2007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EFT</w:t>
            </w:r>
          </w:p>
        </w:tc>
        <w:tc>
          <w:tcPr>
            <w:tcW w:w="160" w:type="dxa"/>
            <w:vAlign w:val="bottom"/>
          </w:tcPr>
          <w:p>
            <w:pPr>
              <w:spacing w:after="0"/>
              <w:rPr>
                <w:sz w:val="12"/>
                <w:szCs w:val="12"/>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Prepaid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Money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Services,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Processing</w:t>
            </w: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Processing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Transfer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569,858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902,666</w:t>
            </w:r>
          </w:p>
        </w:tc>
        <w:tc>
          <w:tcPr>
            <w:tcW w:w="0" w:type="dxa"/>
            <w:vAlign w:val="bottom"/>
          </w:tcPr>
          <w:p>
            <w:pPr>
              <w:spacing w:after="0"/>
              <w:rPr>
                <w:sz w:val="1"/>
                <w:szCs w:val="1"/>
                <w:color w:val="auto"/>
              </w:rPr>
            </w:pPr>
          </w:p>
        </w:tc>
      </w:tr>
      <w:tr>
        <w:trPr>
          <w:trHeight w:val="439"/>
        </w:trPr>
        <w:tc>
          <w:tcPr>
            <w:tcW w:w="43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74,879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31,874</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27,493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32,705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Federal excise tax refund</w:t>
            </w:r>
          </w:p>
        </w:tc>
        <w:tc>
          <w:tcPr>
            <w:tcW w:w="1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137,902</w:t>
            </w:r>
          </w:p>
        </w:tc>
        <w:tc>
          <w:tcPr>
            <w:tcW w:w="46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517,045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151,629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36,147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76,234</w:t>
            </w:r>
          </w:p>
        </w:tc>
        <w:tc>
          <w:tcPr>
            <w:tcW w:w="0" w:type="dxa"/>
            <w:vAlign w:val="bottom"/>
          </w:tcPr>
          <w:p>
            <w:pPr>
              <w:spacing w:after="0"/>
              <w:rPr>
                <w:sz w:val="1"/>
                <w:szCs w:val="1"/>
                <w:color w:val="auto"/>
              </w:rPr>
            </w:pPr>
          </w:p>
        </w:tc>
      </w:tr>
      <w:tr>
        <w:trPr>
          <w:trHeight w:val="439"/>
        </w:trPr>
        <w:tc>
          <w:tcPr>
            <w:tcW w:w="436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(4,416)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(27,073)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Loss on early retirement of debt</w:t>
            </w:r>
          </w:p>
        </w:tc>
        <w:tc>
          <w:tcPr>
            <w:tcW w:w="1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(4,193)</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before income taxes</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31,954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53,848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(22,376)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(3,798)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(15,597)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5,787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2009, 2008 and 2007, and property and equipment and total assets as of December 31, 2009 and 2008, summarized by geographic location,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Property &amp; Equipment,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6"/>
              </w:rPr>
              <w:t>Total Assets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as of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28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244,578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252,535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$ 219,299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12,537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13,204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261,110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199,805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169,663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120,909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177,901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203,449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236,137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222,897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105,384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78,337</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58,720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8,766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8,615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190,823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Poland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98,075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27,791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77,852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Spain</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75,556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77,755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65,661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3,610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128,090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33,787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83,882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38,689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37,182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31,459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24,305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94,882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26,924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245,819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209,440</w:t>
            </w:r>
          </w:p>
        </w:tc>
        <w:tc>
          <w:tcPr>
            <w:tcW w:w="0" w:type="dxa"/>
            <w:vAlign w:val="bottom"/>
          </w:tcPr>
          <w:p>
            <w:pPr>
              <w:spacing w:after="0"/>
              <w:rPr>
                <w:sz w:val="1"/>
                <w:szCs w:val="1"/>
                <w:color w:val="auto"/>
              </w:rPr>
            </w:pPr>
          </w:p>
        </w:tc>
      </w:tr>
      <w:tr>
        <w:trPr>
          <w:trHeight w:val="20"/>
        </w:trPr>
        <w:tc>
          <w:tcPr>
            <w:tcW w:w="28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1,032,694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1,045,665</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$ 902,666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96,592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89,532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1,412,679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1,405,644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our software subsidiary, which are attributed to the 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8" w:name="page99"/>
    <w:bookmarkEnd w:id="98"/>
    <w:p>
      <w:pPr>
        <w:ind w:right="5540"/>
        <w:spacing w:after="0" w:line="407" w:lineRule="auto"/>
        <w:rPr>
          <w:sz w:val="20"/>
          <w:szCs w:val="20"/>
          <w:color w:val="auto"/>
        </w:rPr>
      </w:pPr>
      <w:r>
        <w:rPr>
          <w:rFonts w:ascii="Arial" w:cs="Arial" w:eastAsia="Arial" w:hAnsi="Arial"/>
          <w:sz w:val="18"/>
          <w:szCs w:val="18"/>
          <w:b w:val="1"/>
          <w:bCs w:val="1"/>
          <w:color w:val="auto"/>
        </w:rPr>
        <w:t xml:space="preserve">(20) FINANCIAL INSTRUMENTS AND FAIR VALUE MEASUREMENTS </w:t>
      </w:r>
      <w:r>
        <w:rPr>
          <w:rFonts w:ascii="Arial" w:cs="Arial" w:eastAsia="Arial" w:hAnsi="Arial"/>
          <w:sz w:val="18"/>
          <w:szCs w:val="18"/>
          <w:b w:val="1"/>
          <w:bCs w:val="1"/>
          <w:i w:val="1"/>
          <w:iCs w:val="1"/>
          <w:color w:val="auto"/>
        </w:rPr>
        <w:t>(a) Concentrations of credit risk</w:t>
      </w:r>
    </w:p>
    <w:p>
      <w:pPr>
        <w:spacing w:after="0" w:line="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Euronet’s credit risk primarily relates to trade accounts receivable and cash and cash equivalents. Euronet’s EFT Processing Segment’s customer base includes the most significant international card organizations and certain banks in the Company’s markets. The Prepaid Processing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Euronet performs ongoing evaluations of its customers’ financial condition and limits the amount of credit extended, or purchases credit enhancement protection, when deemed necessary, but generally requires no collateral. See Note 17, Valuation and Qualifying Accounts, for further disclosure.</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Fair value of financial instruments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carrying amount of cash and cash equivalents, trade accounts receivable, trade accounts payable and short-term debt obligations approximates fair value, due to their short maturities. The carrying value of the Company’s term loan due 2014 and revolving credit agreements approximate fair value because interest is based on LIBOR that resets at various intervals less than one year. The following table provides the estimated fair values of the Company’s other financial instruments, based on quoted market prices or significant other observable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11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11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0"/>
                <w:szCs w:val="10"/>
                <w:color w:val="auto"/>
              </w:rPr>
            </w:pPr>
          </w:p>
        </w:tc>
        <w:tc>
          <w:tcPr>
            <w:tcW w:w="1160" w:type="dxa"/>
            <w:vAlign w:val="bottom"/>
          </w:tcPr>
          <w:p>
            <w:pPr>
              <w:jc w:val="right"/>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11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  1,227</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  1,224</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rPr>
              <w:t>$ 66,548</w:t>
            </w: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$ 63,522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3.50% convertible debentures, unsecured, due 2025</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153,927</w:t>
            </w:r>
          </w:p>
        </w:tc>
        <w:tc>
          <w:tcPr>
            <w:tcW w:w="46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162,313</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147,446</w:t>
            </w:r>
          </w:p>
        </w:tc>
        <w:tc>
          <w:tcPr>
            <w:tcW w:w="1640" w:type="dxa"/>
            <w:vAlign w:val="bottom"/>
            <w:gridSpan w:val="2"/>
          </w:tcPr>
          <w:p>
            <w:pPr>
              <w:jc w:val="right"/>
              <w:ind w:right="196"/>
              <w:spacing w:after="0"/>
              <w:rPr>
                <w:sz w:val="20"/>
                <w:szCs w:val="20"/>
                <w:color w:val="auto"/>
              </w:rPr>
            </w:pPr>
            <w:r>
              <w:rPr>
                <w:rFonts w:ascii="Arial" w:cs="Arial" w:eastAsia="Arial" w:hAnsi="Arial"/>
                <w:sz w:val="18"/>
                <w:szCs w:val="18"/>
                <w:color w:val="auto"/>
              </w:rPr>
              <w:t>112,131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36</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64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Embedded derivative in foreign lease</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18"/>
                <w:szCs w:val="18"/>
                <w:color w:val="auto"/>
              </w:rPr>
            </w:pPr>
          </w:p>
        </w:tc>
        <w:tc>
          <w:tcPr>
            <w:tcW w:w="116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1,351</w:t>
            </w:r>
          </w:p>
        </w:tc>
        <w:tc>
          <w:tcPr>
            <w:tcW w:w="164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(830)</w:t>
            </w:r>
          </w:p>
        </w:tc>
        <w:tc>
          <w:tcPr>
            <w:tcW w:w="1640" w:type="dxa"/>
            <w:vAlign w:val="bottom"/>
            <w:gridSpan w:val="2"/>
          </w:tcPr>
          <w:p>
            <w:pPr>
              <w:jc w:val="right"/>
              <w:ind w:right="136"/>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recorded at fair value on a recurring basis are set forth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Fair Value Measurements as of</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4"/>
              </w:rPr>
              <w:t>Fair Value Measurements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2009 Using</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December 31, 2008 Using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w w:val="99"/>
              </w:rPr>
              <w:t>Quoted Prices</w:t>
            </w:r>
          </w:p>
        </w:tc>
        <w:tc>
          <w:tcPr>
            <w:tcW w:w="38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in Active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in Active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Assets (liabilities) </w:t>
            </w: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9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3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71"/>
        </w:trPr>
        <w:tc>
          <w:tcPr>
            <w:tcW w:w="5900" w:type="dxa"/>
            <w:vAlign w:val="bottom"/>
            <w:gridSpan w:val="3"/>
            <w:vMerge w:val="continue"/>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Identical Assets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Inputs</w:t>
            </w:r>
          </w:p>
        </w:tc>
        <w:tc>
          <w:tcPr>
            <w:tcW w:w="5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1,351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12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values available-for-sale investment securities using quoted prices from the securities’ primary exchange. Interest rate swaps are valued using present value measurements based on the LIBOR swap rate, credit spreads and other relevant market conditions. Foreign currency derivative contracts are valued using foreign currency quotes for similar assets and liabilities. The embedded derivative in foreign lease is valued using present value techniques and foreign currency exchange quotations.</w:t>
      </w:r>
    </w:p>
    <w:p>
      <w:pPr>
        <w:spacing w:after="0" w:line="14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assets are measured at fair value on a non-recurring basis. During the first quarter of 2009, the Company finalized the assessment of the fair value of the goodwill related to its RIA money transfer business and its Spanish prepaid business and recorded an impairment charge of $8.8 million as discussed in Note 10, Goodwill and Acquired Intangible Assets, Net. The fair values were determined using significant unobservable inputs. The $258.8 million fair value of goodwill was determined by calculating its implied fair value as the excess of the fair value of the respective entity over the fair value of its net assets. Additionally, during the first quarter of 2009, management determined that an acquired intangible asset associated with a previous acquisition in the Money Transfer Segment had no value and, accordingly, the Company wrote off the remaining net book value of the intangible asset of $1.1 million. No other assets were measured at fair value on a non-recurring basis during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(21) COMPUTER SOFTWARE TO BE SOLD</w:t>
      </w:r>
    </w:p>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Euronet engages in software development activities to continually improve the Company’s core software products. The following table provides the detailed activity related to capitalized software development costs of continuing operations for the years ended December 31, 2009, 2008 and 2007.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balance-capitalized development cost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88"/>
              </w:rPr>
              <w:t>2,826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center"/>
              <w:ind w:left="54"/>
              <w:spacing w:after="0"/>
              <w:rPr>
                <w:sz w:val="20"/>
                <w:szCs w:val="20"/>
                <w:color w:val="auto"/>
              </w:rPr>
            </w:pPr>
            <w:r>
              <w:rPr>
                <w:rFonts w:ascii="Arial" w:cs="Arial" w:eastAsia="Arial" w:hAnsi="Arial"/>
                <w:sz w:val="18"/>
                <w:szCs w:val="18"/>
                <w:color w:val="auto"/>
                <w:w w:val="88"/>
              </w:rPr>
              <w:t>1,295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48"/>
              <w:spacing w:after="0"/>
              <w:rPr>
                <w:sz w:val="20"/>
                <w:szCs w:val="20"/>
                <w:color w:val="auto"/>
              </w:rPr>
            </w:pPr>
            <w:r>
              <w:rPr>
                <w:rFonts w:ascii="Arial" w:cs="Arial" w:eastAsia="Arial" w:hAnsi="Arial"/>
                <w:sz w:val="18"/>
                <w:szCs w:val="18"/>
                <w:color w:val="auto"/>
                <w:w w:val="91"/>
              </w:rPr>
              <w:t>(1,520)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Net capitalized development cost</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ind w:left="54"/>
              <w:spacing w:after="0"/>
              <w:rPr>
                <w:sz w:val="20"/>
                <w:szCs w:val="20"/>
                <w:color w:val="auto"/>
              </w:rPr>
            </w:pPr>
            <w:r>
              <w:rPr>
                <w:rFonts w:ascii="Arial" w:cs="Arial" w:eastAsia="Arial" w:hAnsi="Arial"/>
                <w:sz w:val="18"/>
                <w:szCs w:val="18"/>
                <w:color w:val="auto"/>
                <w:w w:val="88"/>
              </w:rPr>
              <w:t>2,601</w:t>
            </w:r>
          </w:p>
        </w:tc>
        <w:tc>
          <w:tcPr>
            <w:tcW w:w="2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2,826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Research and development costs expensed for the years ending December 31, 2009, 2008 and 2007 were $2.0 million, $1.4 million and $1.6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second quarter 2009, the Antitrust Division of the United States Department of Justice (the “DOJ”) served Continental Exchange Solutions, Inc. d/b/a RIA Financial Service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The Company acquired all of the stock of RIA Envia, Inc., the parent of CES, in April 2007. The Company and CES are fully cooperating with the DOJ in its investigation.</w:t>
      </w:r>
    </w:p>
    <w:p>
      <w:pPr>
        <w:spacing w:after="0" w:line="16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At this time, the Company is unable to predict whether this investigation will result in the DOJ bringing charges against CES. Accordingly, the Company is unable to predict the outcome of this investigation, the possible loss or possible range of loss, if any, associated with the resolution of any charges that may be brought against CES, or any potential effect on the Company’s business, results of operations or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The Company expenses legal costs in connection with loss contingencies when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FEDERAL EXCISE TAX REFUND</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2006, the Internal Revenue Service (“IRS”) announced that Internal Revenue Code Section 4251 (relating to communications excise tax) will no longer apply to, among other services, prepaid mobile airtime services such as those offered by the Company’s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During the fourth quarter 2007, the IRS completed an initial field examination confirming the amount of the claim and, therefore, the Company recorded $12.2 million for the amount of the refund claimed as a reduction to operating expenses of the Prepaid Processing Segment. Additionally, the Company received approximately $1.6 million in interest on the amount claimed, which was recorded as interest income in 2008.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(24) GUARANTEES</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2009 and 2008, the Company had $60.7 million and $44.8 million, respectively, of stand-by letters of credit/bank guarantees issued on its behalf. Of this amount $10.7 million and $8.4 million, respectively, are collateralized by cash deposits held by the respective issuing banks.</w:t>
      </w:r>
    </w:p>
    <w:p>
      <w:pPr>
        <w:spacing w:after="0" w:line="10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December 31, 2009, the Company granted off balance sheet guarantees for cash in various ATM networks amounting to $19.4 million over the terms of the cash supply agreements and performance guarantees amounting to approximately $31.3 million over the terms of the agreements with the customers.</w:t>
      </w:r>
    </w:p>
    <w:p>
      <w:pPr>
        <w:spacing w:after="0" w:line="1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40" w:hanging="436"/>
        <w:spacing w:after="0" w:line="259"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December 31, 2009, the balance of ATM network cash for which the Company was responsible was approximately $370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The Company has issued surety bonds in compliance with money transfer licensing requirements of the applicable governmental authorities.</w:t>
      </w:r>
    </w:p>
    <w:p>
      <w:pPr>
        <w:spacing w:after="0" w:line="21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December 31, 2009 or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 PARTY TRANSACTIONS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6, Acquisitions, for a description of notes payable, deferred payment and additional equity issued and contingently issuable to the former business owners (now Euronet shareholders) in connection with various acquisitions.</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leases an airplane from a company owned by Mr. Michael J. Brown, Euronet’s Chief Executive Officer and Chairman of the Board of Directors, and Mr. Daniel R. Henry, who was a member of Euronet’s Board of Directors until February 6, 2008. The airplane is leased for business use on a per flight hour basis with no minimum usage requirement. Euronet incurred $0.1 million, $0.3 million and $0.2 million during 2009, 2008 and 2007, respectively, in expenses for the use of this airplane.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(26) SELECTED QUARTERLY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Second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233,697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w w:val="89"/>
              </w:rPr>
              <w:t>248,614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264,820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285,563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9,698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18,024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22,085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w w:val="92"/>
              </w:rPr>
              <w:t>(11,954)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16,021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19,020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2"/>
              </w:rPr>
              <w:t>(12,298)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15,544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18,865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Earnings (loss) per common share: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40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(0.24)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244,793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w w:val="89"/>
              </w:rPr>
              <w:t>264,450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280,703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255,719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13,231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17,298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18,768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0"/>
              </w:rPr>
              <w:t>(198,318)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(8,086)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6,605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2,541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w w:val="90"/>
              </w:rPr>
              <w:t>(195,461)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5,932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0"/>
              </w:rPr>
              <w:t>(192,616)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Earnings (loss) per common share: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40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2009.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our fiscal year ended December 31, 2009 that has materially affected, or is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(“Exchange Act”)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2009.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r>
        <w:rPr>
          <w:rFonts w:ascii="Arial" w:cs="Arial" w:eastAsia="Arial" w:hAnsi="Arial"/>
          <w:sz w:val="18"/>
          <w:szCs w:val="18"/>
          <w:color w:val="auto"/>
        </w:rPr>
        <w:t>. Based on these criteria and our assessment, we have determined that, as of December 31, 2009,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1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2009, has been audited by KPMG LLP, an independent registered public accounting firm, as stated in their audit report.</w:t>
      </w:r>
    </w:p>
    <w:p>
      <w:pPr>
        <w:spacing w:after="0" w:line="170"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second quarter 2009, the Antitrust Division of the United States Department of Justice (the “DOJ”) served Continental Exchange Solutions, Inc. d/b/a RIA Financial Service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We acquired all of the stock of RIA Envia, Inc., the parent of CES, in April 2007. The Company and CES are fully cooperating with the DOJ in its investigation.</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this time, we are unable to predict whether this investigation will result in the DOJ bringing charges against CES. Accordingly, we are unable to predict the outcome of this investigation, the possible loss or possible range of loss, if any, associated with the resolution of any charges that may be brought against CES, or any potential effect on our business, results of operations or financial condition.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2010 Annual Meeting of Stockholders, which will be filed with the Securities and Exchange Commission no later than 120 days after December 31, 2009, is incorporated herein by reference. Information concerning our Code of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Ethics and any waiver from a provision of our Code of Ethics by disclosing such information on a Form 8-K or on our Web site at www.euronetworldwide.com under Investor Relations/Corporate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2010 Annual Meeting of Stockholders, which will be filed with the Securities and Exchange Commission no later than 120 days after December 31, 2009, is incorporated herein by reference.</w:t>
      </w:r>
    </w:p>
    <w:p>
      <w:pPr>
        <w:spacing w:after="0" w:line="162" w:lineRule="exact"/>
        <w:rPr>
          <w:sz w:val="20"/>
          <w:szCs w:val="20"/>
          <w:color w:val="auto"/>
        </w:rPr>
      </w:pPr>
    </w:p>
    <w:p>
      <w:pPr>
        <w:ind w:left="880" w:right="640" w:hanging="86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2010 Annual Meeting of Stockholders, which will be filed with the Securities and Exchange Commission no later than 120 days after December 31, 2009, is incorporated herein by reference. See Part II, Item 5 – Equity Compensation Plan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2010 Annual Meeting of Stockholders, which will be filed with the Securities and Exchange Commission no later than 120 days after December 31, 2009,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in the Proxy Statement for the 2010 Annual Meeting of Stockholders, which will be filed with the Securities and Exchange Commission no later than 120 days after December 31, 2009, is incorporated herein by reference.</w:t>
      </w:r>
    </w:p>
    <w:p>
      <w:pPr>
        <w:spacing w:after="0" w:line="15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240" w:right="30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Schedules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Date: February 26, 2010</w:t>
      </w:r>
      <w:r>
        <w:rPr>
          <w:sz w:val="20"/>
          <w:szCs w:val="20"/>
          <w:color w:val="auto"/>
        </w:rPr>
        <w:tab/>
      </w:r>
      <w:r>
        <w:rPr>
          <w:rFonts w:ascii="Arial" w:cs="Arial" w:eastAsia="Arial" w:hAnsi="Arial"/>
          <w:sz w:val="17"/>
          <w:szCs w:val="17"/>
          <w:color w:val="auto"/>
        </w:rPr>
        <w:t>/s/ 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9789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2"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Officer and Director (principal executive officer)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958" w:right="239" w:bottom="1440" w:gutter="0" w:footer="0" w:header="0"/>
        </w:sectPr>
      </w:pPr>
    </w:p>
    <w:p>
      <w:pPr>
        <w:spacing w:after="0" w:line="162"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70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670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4"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auto"/>
        </w:rPr>
        <w:t>Michael J. Brown</w:t>
      </w:r>
    </w:p>
    <w:p>
      <w:pPr>
        <w:spacing w:after="0" w:line="39"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February 26, 2010</w:t>
      </w:r>
    </w:p>
    <w:p>
      <w:pPr>
        <w:spacing w:after="0" w:line="2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February 26, 2010</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 P</w:t>
      </w:r>
      <w:r>
        <w:rPr>
          <w:rFonts w:ascii="Arial" w:cs="Arial" w:eastAsia="Arial" w:hAnsi="Arial"/>
          <w:sz w:val="11"/>
          <w:szCs w:val="11"/>
          <w:color w:val="auto"/>
        </w:rPr>
        <w:t>AUL</w:t>
      </w:r>
      <w:r>
        <w:rPr>
          <w:rFonts w:ascii="Arial" w:cs="Arial" w:eastAsia="Arial" w:hAnsi="Arial"/>
          <w:sz w:val="17"/>
          <w:szCs w:val="17"/>
          <w:color w:val="auto"/>
        </w:rPr>
        <w:t xml:space="preserve"> S. A</w:t>
      </w:r>
      <w:r>
        <w:rPr>
          <w:rFonts w:ascii="Arial" w:cs="Arial" w:eastAsia="Arial" w:hAnsi="Arial"/>
          <w:sz w:val="11"/>
          <w:szCs w:val="11"/>
          <w:color w:val="auto"/>
        </w:rPr>
        <w:t>LTHASEN</w:t>
      </w:r>
    </w:p>
    <w:p>
      <w:pPr>
        <w:spacing w:after="0" w:line="35"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Paul S. Althasen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2670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4"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February 26, 2010</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Chairman of the Board of Directors, Chief Executive Officer and Director (principal executive officer)</w:t>
      </w:r>
    </w:p>
    <w:p>
      <w:pPr>
        <w:spacing w:after="0" w:line="200" w:lineRule="exact"/>
        <w:rPr>
          <w:sz w:val="20"/>
          <w:szCs w:val="20"/>
          <w:color w:val="auto"/>
        </w:rPr>
      </w:pP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Chief Financial Officer and Chief Accounting Officer (principal financial officer and principal accounting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48" w:lineRule="exact"/>
        <w:rPr>
          <w:sz w:val="20"/>
          <w:szCs w:val="20"/>
          <w:color w:val="auto"/>
        </w:rPr>
      </w:pPr>
    </w:p>
    <w:p>
      <w:pPr>
        <w:sectPr>
          <w:pgSz w:w="11900" w:h="16838" w:orient="portrait"/>
          <w:cols w:equalWidth="0" w:num="2">
            <w:col w:w="5560" w:space="720"/>
            <w:col w:w="5140"/>
          </w:cols>
          <w:pgMar w:left="240" w:top="958" w:right="23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w:t>
            </w:r>
            <w:r>
              <w:rPr>
                <w:rFonts w:ascii="Arial" w:cs="Arial" w:eastAsia="Arial" w:hAnsi="Arial"/>
                <w:sz w:val="12"/>
                <w:szCs w:val="12"/>
                <w:color w:val="auto"/>
                <w:w w:val="96"/>
              </w:rPr>
              <w:t>NDRZEJ</w:t>
            </w:r>
            <w:r>
              <w:rPr>
                <w:rFonts w:ascii="Arial" w:cs="Arial" w:eastAsia="Arial" w:hAnsi="Arial"/>
                <w:sz w:val="18"/>
                <w:szCs w:val="18"/>
                <w:color w:val="auto"/>
                <w:w w:val="96"/>
              </w:rPr>
              <w:t xml:space="preserve"> O</w:t>
            </w:r>
            <w:r>
              <w:rPr>
                <w:rFonts w:ascii="Arial" w:cs="Arial" w:eastAsia="Arial" w:hAnsi="Arial"/>
                <w:sz w:val="12"/>
                <w:szCs w:val="12"/>
                <w:color w:val="auto"/>
                <w:w w:val="96"/>
              </w:rPr>
              <w:t>LECHOWSKI</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Andrzej Olechowski</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26, 2010</w:t>
            </w:r>
          </w:p>
        </w:tc>
        <w:tc>
          <w:tcPr>
            <w:tcW w:w="626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w:t>
            </w:r>
            <w:r>
              <w:rPr>
                <w:rFonts w:ascii="Arial" w:cs="Arial" w:eastAsia="Arial" w:hAnsi="Arial"/>
                <w:sz w:val="12"/>
                <w:szCs w:val="12"/>
                <w:color w:val="auto"/>
                <w:w w:val="94"/>
              </w:rPr>
              <w:t>RIBERTO</w:t>
            </w:r>
            <w:r>
              <w:rPr>
                <w:rFonts w:ascii="Arial" w:cs="Arial" w:eastAsia="Arial" w:hAnsi="Arial"/>
                <w:sz w:val="18"/>
                <w:szCs w:val="18"/>
                <w:color w:val="auto"/>
                <w:w w:val="94"/>
              </w:rPr>
              <w:t xml:space="preserve"> R. S</w:t>
            </w:r>
            <w:r>
              <w:rPr>
                <w:rFonts w:ascii="Arial" w:cs="Arial" w:eastAsia="Arial" w:hAnsi="Arial"/>
                <w:sz w:val="12"/>
                <w:szCs w:val="12"/>
                <w:color w:val="auto"/>
                <w:w w:val="94"/>
              </w:rPr>
              <w:t>COCIMARA</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ind w:left="10"/>
              <w:spacing w:after="0" w:line="195" w:lineRule="exact"/>
              <w:rPr>
                <w:sz w:val="20"/>
                <w:szCs w:val="20"/>
                <w:color w:val="auto"/>
              </w:rPr>
            </w:pPr>
            <w:r>
              <w:rPr>
                <w:rFonts w:ascii="Arial" w:cs="Arial" w:eastAsia="Arial" w:hAnsi="Arial"/>
                <w:sz w:val="18"/>
                <w:szCs w:val="18"/>
                <w:b w:val="1"/>
                <w:bCs w:val="1"/>
                <w:color w:val="auto"/>
                <w:w w:val="92"/>
              </w:rPr>
              <w:t>Eriberto R. Scocimara</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26, 2010</w:t>
            </w:r>
          </w:p>
        </w:tc>
        <w:tc>
          <w:tcPr>
            <w:tcW w:w="626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T</w:t>
            </w:r>
            <w:r>
              <w:rPr>
                <w:rFonts w:ascii="Arial" w:cs="Arial" w:eastAsia="Arial" w:hAnsi="Arial"/>
                <w:sz w:val="12"/>
                <w:szCs w:val="12"/>
                <w:color w:val="auto"/>
                <w:w w:val="98"/>
              </w:rPr>
              <w:t>HOMAS</w:t>
            </w:r>
            <w:r>
              <w:rPr>
                <w:rFonts w:ascii="Arial" w:cs="Arial" w:eastAsia="Arial" w:hAnsi="Arial"/>
                <w:sz w:val="18"/>
                <w:szCs w:val="18"/>
                <w:color w:val="auto"/>
                <w:w w:val="98"/>
              </w:rPr>
              <w:t xml:space="preserve"> A. M</w:t>
            </w:r>
            <w:r>
              <w:rPr>
                <w:rFonts w:ascii="Arial" w:cs="Arial" w:eastAsia="Arial" w:hAnsi="Arial"/>
                <w:sz w:val="12"/>
                <w:szCs w:val="12"/>
                <w:color w:val="auto"/>
                <w:w w:val="98"/>
              </w:rPr>
              <w:t>CDONNELL</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ind w:left="10"/>
              <w:spacing w:after="0" w:line="195" w:lineRule="exact"/>
              <w:rPr>
                <w:sz w:val="20"/>
                <w:szCs w:val="20"/>
                <w:color w:val="auto"/>
              </w:rPr>
            </w:pPr>
            <w:r>
              <w:rPr>
                <w:rFonts w:ascii="Arial" w:cs="Arial" w:eastAsia="Arial" w:hAnsi="Arial"/>
                <w:sz w:val="18"/>
                <w:szCs w:val="18"/>
                <w:b w:val="1"/>
                <w:bCs w:val="1"/>
                <w:color w:val="auto"/>
                <w:w w:val="92"/>
              </w:rPr>
              <w:t>Thomas A. McDonnell</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26, 2010</w:t>
            </w:r>
          </w:p>
        </w:tc>
        <w:tc>
          <w:tcPr>
            <w:tcW w:w="626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w:t>
            </w:r>
            <w:r>
              <w:rPr>
                <w:rFonts w:ascii="Arial" w:cs="Arial" w:eastAsia="Arial" w:hAnsi="Arial"/>
                <w:sz w:val="12"/>
                <w:szCs w:val="12"/>
                <w:color w:val="auto"/>
                <w:w w:val="96"/>
              </w:rPr>
              <w:t>NDREW</w:t>
            </w:r>
            <w:r>
              <w:rPr>
                <w:rFonts w:ascii="Arial" w:cs="Arial" w:eastAsia="Arial" w:hAnsi="Arial"/>
                <w:sz w:val="18"/>
                <w:szCs w:val="18"/>
                <w:color w:val="auto"/>
                <w:w w:val="96"/>
              </w:rPr>
              <w:t xml:space="preserve"> B. S</w:t>
            </w:r>
            <w:r>
              <w:rPr>
                <w:rFonts w:ascii="Arial" w:cs="Arial" w:eastAsia="Arial" w:hAnsi="Arial"/>
                <w:sz w:val="12"/>
                <w:szCs w:val="12"/>
                <w:color w:val="auto"/>
                <w:w w:val="96"/>
              </w:rPr>
              <w:t>CHMITT</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ind w:left="10"/>
              <w:spacing w:after="0" w:line="195" w:lineRule="exact"/>
              <w:rPr>
                <w:sz w:val="20"/>
                <w:szCs w:val="20"/>
                <w:color w:val="auto"/>
              </w:rPr>
            </w:pPr>
            <w:r>
              <w:rPr>
                <w:rFonts w:ascii="Arial" w:cs="Arial" w:eastAsia="Arial" w:hAnsi="Arial"/>
                <w:sz w:val="18"/>
                <w:szCs w:val="18"/>
                <w:b w:val="1"/>
                <w:bCs w:val="1"/>
                <w:color w:val="auto"/>
                <w:w w:val="91"/>
              </w:rPr>
              <w:t>Andrew B. Schmitt</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26, 2010</w:t>
            </w:r>
          </w:p>
        </w:tc>
        <w:tc>
          <w:tcPr>
            <w:tcW w:w="626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 J</w:t>
            </w:r>
            <w:r>
              <w:rPr>
                <w:rFonts w:ascii="Arial" w:cs="Arial" w:eastAsia="Arial" w:hAnsi="Arial"/>
                <w:sz w:val="12"/>
                <w:szCs w:val="12"/>
                <w:color w:val="auto"/>
                <w:w w:val="96"/>
              </w:rPr>
              <w:t>EANNINE</w:t>
            </w:r>
            <w:r>
              <w:rPr>
                <w:rFonts w:ascii="Arial" w:cs="Arial" w:eastAsia="Arial" w:hAnsi="Arial"/>
                <w:sz w:val="18"/>
                <w:szCs w:val="18"/>
                <w:color w:val="auto"/>
                <w:w w:val="96"/>
              </w:rPr>
              <w:t xml:space="preserve"> S</w:t>
            </w:r>
            <w:r>
              <w:rPr>
                <w:rFonts w:ascii="Arial" w:cs="Arial" w:eastAsia="Arial" w:hAnsi="Arial"/>
                <w:sz w:val="12"/>
                <w:szCs w:val="12"/>
                <w:color w:val="auto"/>
                <w:w w:val="96"/>
              </w:rPr>
              <w:t>TRANDJORD</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ind w:left="10"/>
              <w:spacing w:after="0" w:line="195" w:lineRule="exact"/>
              <w:rPr>
                <w:sz w:val="20"/>
                <w:szCs w:val="20"/>
                <w:color w:val="auto"/>
              </w:rPr>
            </w:pPr>
            <w:r>
              <w:rPr>
                <w:rFonts w:ascii="Arial" w:cs="Arial" w:eastAsia="Arial" w:hAnsi="Arial"/>
                <w:sz w:val="18"/>
                <w:szCs w:val="18"/>
                <w:b w:val="1"/>
                <w:bCs w:val="1"/>
                <w:color w:val="auto"/>
                <w:w w:val="93"/>
              </w:rPr>
              <w:t>M. Jeannine Strandjord</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26, 2010</w:t>
            </w:r>
          </w:p>
        </w:tc>
        <w:tc>
          <w:tcPr>
            <w:tcW w:w="6260" w:type="dxa"/>
            <w:vAlign w:val="bottom"/>
          </w:tcPr>
          <w:p>
            <w:pPr>
              <w:spacing w:after="0"/>
              <w:rPr>
                <w:sz w:val="20"/>
                <w:szCs w:val="20"/>
                <w:color w:val="auto"/>
              </w:rPr>
            </w:pPr>
          </w:p>
        </w:tc>
      </w:tr>
      <w:tr>
        <w:trPr>
          <w:trHeight w:val="392"/>
        </w:trPr>
        <w:tc>
          <w:tcPr>
            <w:tcW w:w="516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103</w:t>
            </w:r>
          </w:p>
        </w:tc>
      </w:tr>
      <w:tr>
        <w:trPr>
          <w:trHeight w:val="226"/>
        </w:trPr>
        <w:tc>
          <w:tcPr>
            <w:tcW w:w="51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Stock Purchase Agreement dated November 21, 2006 by and among Euronet Payments &amp; Remittance, Inc., Euronet Worldwide, Inc.;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Fred Kunik Family Trust and the Irving Barr Living Trust (filed as Exhibit 2.1 to the Company’s Current Report on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November 28, 2006,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First Amendment to Stock Purchase Agreement, dated April 2, 2007, by and among Euronet Payments &amp; Remittance, Inc., Euronet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Worldwide, Inc., the Fred Kunik Family Trust and the Irving Barr Living Trust (filed as Exhibit 2.1 to the Company’s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Second Amendment to Stock Purchase Agreement, dated April 4, 2007, by and among Euronet Payments &amp; Remittance, Inc., Euronet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Worldwide, Inc., the Fred Kunik Family Trust and the Irving Barr Living Trust (filed as Exhibit 2.2 to the Company’s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Certificate of Incorporation of Euronet Worldwide, Inc., as amended (filed as Exhibit 3.2 to the Company’s Current Report on Form 8-K</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May 22, 2009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Amended and Restated Bylaws of Euronet Worldwide, Inc. (filed as Exhibit 3.2 to the Company’s Current Report on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22, 2008,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Certificate of Amendment to Certificate of Incorporation of Euronet Worldwide, Inc. (filed as Exhibit 3.1 to the Company’s Current Report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Form 8-K filed on May 22, 2009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Rights Agreement, dated as of March 21, 2003, between Euronet Worldwide, Inc. and EquiServe Trust Company, N.A. (filed as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Exhibit 4.1 to the Company’s Current Report on Form 8-K filed on March 24, 2003 (File No. 001-31648), and incorporated by reference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First Amendment to Rights Agreement, dated as of November 28, 2003, between Euronet Worldwide, Inc. and EquiServe Trust Company,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N.A. (filed as Exhibit 4.1 to the Company’s Current Report on Form 8-K filed on December 4, 2003 (File No. 001-31648),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Indenture, dated as of October 4, 2005, between Euronet Worldwide, Inc. and U.S. Bank National Association (filed as Exhibit 4.1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filed on October 26, 2005,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Specimen 3.50% Convertible Debenture Due 2025 (Certificated Security) (included in Exhibit 4.10 to the Company’s Registration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S-3/A filed on November 10, 2005,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Euronet Long-Term Incentive Stock Option Plan (1996), as amended (filed as Exhibit 10.7 to the Company’s Annual Report on Form 10-</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K filed on March 15, 2004,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Euronet Worldwide, Inc. Stock Option Plan (1998), as amended (filed as Exhibit 10.8 to the Company’s Annual Report on Form 10-K</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March 15, 2004,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Euronet Worldwide, Inc. 2002 Stock Incentive Plan (Amended and Restated) (included as Appendix B to the Company’s Definitive Proxy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filed on April 20, 2004,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Rules and Procedures for Euronet Matching Stock Option Grant Program (filed as Exhibit 10.3 to Company’s Form 10-Q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November 14, 2002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Employee Restricted Stock Grant Agreement pursuant to Euronet Worldwide, Inc. 2006 Stock Incentive Plan (filed as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Exhibit 10.8 to the Company’s Quarterly Report on Form 10-Q filed on August 4, 2006,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Form of Employee Restricted Stock Unit Agreement for Executives and Directors pursuant to Euronet Worldwide, Inc. 2006 Stock</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Incentive Plan (filed as Exhibit 10.39 to the Company’s Annual Report on Form 10-K filed February 28, 2007, and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Credit Agreement dated as of April 4, 2007 among Euronet Worldwide, Inc., and certain subsidiaries and affiliates, as borrowers, certain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subsidiaries and affiliates, as guarantors, the lenders party thereto, Bank of America, N.A., as administrative agent and collateral agent,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California Bank &amp; Trust, as syndication agent and Citibank, N.A., as documentation agent (filed as Exhibit 10.1 to the Company’s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Quarterly Report on Form 10-Q filed on May 4, 2007,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Employment Agreement dated June 19, 2007 between Euronet Worldwide, Inc. and Kevin J. Caponecchi (filed as Exhibit 10.1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filed on June 25, 2007,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Euronet Worldwide, Inc. Executive Annual Incentive Plan (filed as Exhibit 10.18 to the Company’s Annual Report on Form 10-K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February 29, 2008,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 No. 1 to the Credit Agreement dated April 23, 2008 (filed as Exhibit 10.1 to the Company’s Quarterly Report on Form 10-Q</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May 9, 2008, and incorporated by reference herein)</w:t>
            </w:r>
          </w:p>
        </w:tc>
      </w:tr>
    </w:tbl>
    <w:p>
      <w:pPr>
        <w:sectPr>
          <w:pgSz w:w="11900" w:h="16838" w:orient="portrait"/>
          <w:cols w:equalWidth="0" w:num="1">
            <w:col w:w="11420"/>
          </w:cols>
          <w:pgMar w:left="240" w:top="931" w:right="239"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Amended and Restated Employment Agreement dated April 10, 2008 between Euronet Worldwide, Inc. and Michael J. Brown, Chairman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and Chief Executive Officer (filed as Exhibit 10.3 to the Company’s Quarterly Report on Form 10-Q filed on May 9, 2008, and</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Amended and Restated Employment Agreement dated April 10, 2008 between Euronet Worldwide, Inc. and Rick L. Weller, Executive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Vice President and Chief Financial Officer (filed as Exhibit 10.4 to the Company’s Quarterly Report on Form 10-Q filed on May 9, 2008,</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Amended and Restated Employment Agreement dated April 10, 2008 between Euronet Worldwide, Inc. and Jeffrey B. Newman,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Executive Vice President and General Counsel (filed as Exhibit 10.5 to the Company’s Quarterly Report on Form 10-Q filed on May 9,</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2008, 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Juan C. Bianchi, Executive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Vice President and Managing Director, Money Transfer Segment (filed as Exhibit 10.6 to the Company’s Quarterly Report on Form 10-Q</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filed on May 9, 2008, 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480"/>
              <w:spacing w:after="0"/>
              <w:rPr>
                <w:sz w:val="20"/>
                <w:szCs w:val="20"/>
                <w:color w:val="auto"/>
              </w:rPr>
            </w:pPr>
            <w:r>
              <w:rPr>
                <w:rFonts w:ascii="Arial" w:cs="Arial" w:eastAsia="Arial" w:hAnsi="Arial"/>
                <w:sz w:val="18"/>
                <w:szCs w:val="18"/>
                <w:color w:val="auto"/>
                <w:w w:val="97"/>
              </w:rPr>
              <w:t>Employment Agreement dated May 11, 2008 between Euronet Worldwide, Inc. and Gareth Gumbley, Managing Director, Prepaid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Processing Segment (filed as Exhibit 10.7 to the Company’s Quarterly Report on Form 10-Q filed on August 7, 2008, and incorporated by</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Form of Indemnification Agreement, (filed as Exhibit 10.1 to the Company’s Form 8-K filed on December 22, 2008, and incorporated by</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herein)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Employment Agreement dated December 2, 1997 between Euronet Services GmbH and Roger Heinz, Senior Vice President - Managing</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Director, Europe EFT Processing Segment (filed as Exhibit 10.1 to the Company’s Quarterly Report on Form 10-Q filed on May 8, 2009</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Amendment No. 2 to the Credit Agreement dated February 18, 2009 (filed as Exhibit 10.2 to the Company’s Quarterly Report on Form 10-</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Q filed on May 8, 2009 and incorporated by reference herein)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2006 Stock Incentive Plan, as amended (filed as Exhibit 10.3 to the Company’s Quarterly Report on Form 10-Q filed on May 8, 2009 and</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Employment Agreement dated October 5, 2005 between Instreamline SA and Nikos Fountas, Senior Vice President - Managing Director,</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Europe EFT Processing Segment (1)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12.1</w:t>
            </w:r>
          </w:p>
        </w:tc>
        <w:tc>
          <w:tcPr>
            <w:tcW w:w="10500" w:type="dxa"/>
            <w:vAlign w:val="bottom"/>
          </w:tcPr>
          <w:p>
            <w:pPr>
              <w:ind w:left="480"/>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480"/>
              <w:spacing w:after="0"/>
              <w:rPr>
                <w:sz w:val="20"/>
                <w:szCs w:val="20"/>
                <w:color w:val="auto"/>
              </w:rPr>
            </w:pPr>
            <w:r>
              <w:rPr>
                <w:rFonts w:ascii="Arial" w:cs="Arial" w:eastAsia="Arial" w:hAnsi="Arial"/>
                <w:sz w:val="18"/>
                <w:szCs w:val="18"/>
                <w:color w:val="auto"/>
              </w:rPr>
              <w:t>Subsidiaries of the Registrant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48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906 Certification of Chief Executive Officer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906 Certification of Chief Financial Officer (1)</w:t>
            </w:r>
          </w:p>
        </w:tc>
      </w:tr>
    </w:tbl>
    <w:p>
      <w:pPr>
        <w:spacing w:after="0" w:line="202" w:lineRule="exact"/>
        <w:rPr>
          <w:sz w:val="20"/>
          <w:szCs w:val="20"/>
          <w:color w:val="auto"/>
        </w:rPr>
      </w:pPr>
    </w:p>
    <w:p>
      <w:pPr>
        <w:ind w:left="1380" w:hanging="1372"/>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pursuant to Item 15(a) of this report.</w:t>
      </w: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41" w:right="239" w:bottom="1440" w:gutter="0" w:footer="0" w:header="0"/>
        </w:sectPr>
      </w:pPr>
    </w:p>
    <w:bookmarkStart w:id="107" w:name="page108"/>
    <w:bookmarkEnd w:id="107"/>
    <w:p>
      <w:pPr>
        <w:ind w:left="10200"/>
        <w:spacing w:after="0"/>
        <w:rPr>
          <w:sz w:val="20"/>
          <w:szCs w:val="20"/>
          <w:color w:val="auto"/>
        </w:rPr>
      </w:pPr>
      <w:r>
        <w:rPr>
          <w:rFonts w:ascii="Arial" w:cs="Arial" w:eastAsia="Arial" w:hAnsi="Arial"/>
          <w:sz w:val="18"/>
          <w:szCs w:val="18"/>
          <w:b w:val="1"/>
          <w:bCs w:val="1"/>
          <w:color w:val="auto"/>
        </w:rPr>
        <w:t>EXHIBIT 10.20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This employment agreement (“Agreement”) made and entered into as of the 5</w:t>
      </w:r>
      <w:r>
        <w:rPr>
          <w:rFonts w:ascii="Arial" w:cs="Arial" w:eastAsia="Arial" w:hAnsi="Arial"/>
          <w:sz w:val="14"/>
          <w:szCs w:val="14"/>
          <w:color w:val="auto"/>
        </w:rPr>
        <w:t>th</w:t>
      </w:r>
      <w:r>
        <w:rPr>
          <w:rFonts w:ascii="Arial" w:cs="Arial" w:eastAsia="Arial" w:hAnsi="Arial"/>
          <w:sz w:val="17"/>
          <w:szCs w:val="17"/>
          <w:color w:val="auto"/>
        </w:rPr>
        <w:t xml:space="preserve"> day of October, 2005, between Instreamline SA, a company duly organized and existing under the laws of Greece, with its registered address at 282, El. Venizelou Ave., 176 75 Athens, Greece, company registration nr: 58617/01NT/B/05/72, represented by Timothy Fanning and Ken Hites </w:t>
      </w:r>
      <w:r>
        <w:rPr>
          <w:rFonts w:ascii="Arial" w:cs="Arial" w:eastAsia="Arial" w:hAnsi="Arial"/>
          <w:sz w:val="17"/>
          <w:szCs w:val="17"/>
          <w:b w:val="1"/>
          <w:bCs w:val="1"/>
          <w:color w:val="auto"/>
        </w:rPr>
        <w:t>(“Employer”),</w:t>
      </w:r>
      <w:r>
        <w:rPr>
          <w:rFonts w:ascii="Arial" w:cs="Arial" w:eastAsia="Arial" w:hAnsi="Arial"/>
          <w:sz w:val="17"/>
          <w:szCs w:val="17"/>
          <w:color w:val="auto"/>
        </w:rPr>
        <w:t xml:space="preserve"> and Nikos Fountas,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WHEREAS, Employee acts as Managing Director of Instreamline SA.</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WHEREAS Employer and Executive are entering into this Agreement to formalize the terms and conditions upon which Executive will be henceforth employed.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the mutual undertakings and covenants contained herein, the parties hereto agree as follows:</w:t>
      </w:r>
    </w:p>
    <w:p>
      <w:pPr>
        <w:spacing w:after="0" w:line="14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Employer hereby employs Executive, and Executive hereby accepts employment from Employer upon the terms and conditions hereinafter set forth.</w:t>
      </w:r>
    </w:p>
    <w:p>
      <w:pPr>
        <w:spacing w:after="0" w:line="129"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Subject to the provisions for earlier termination as contained in Section 11 hereof, the term of this Agreement shall be for a period of 3 years and 3 months, and will terminate on the 31</w:t>
      </w:r>
      <w:r>
        <w:rPr>
          <w:rFonts w:ascii="Arial" w:cs="Arial" w:eastAsia="Arial" w:hAnsi="Arial"/>
          <w:sz w:val="15"/>
          <w:szCs w:val="15"/>
          <w:color w:val="auto"/>
        </w:rPr>
        <w:t>st</w:t>
      </w:r>
      <w:r>
        <w:rPr>
          <w:rFonts w:ascii="Arial" w:cs="Arial" w:eastAsia="Arial" w:hAnsi="Arial"/>
          <w:sz w:val="18"/>
          <w:szCs w:val="18"/>
          <w:color w:val="auto"/>
        </w:rPr>
        <w:t xml:space="preserve"> day of December 2008.</w:t>
      </w:r>
    </w:p>
    <w:p>
      <w:pPr>
        <w:spacing w:after="0" w:line="62"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p>
    <w:p>
      <w:pPr>
        <w:spacing w:after="0" w:line="117"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Executive shall hold the position of Managing Director. Executive represents that he is fully qualified, without the benefit of any further training or experience and has obtained all necessary permits and licenses, to perform the duties customarily incident to such position.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report to the Vice President, South Eastern Europe of the EFT Division about the affairs of the Employer’s business.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Executive’s duties and responsibilities hereunder shall always be subject to the policies and directives of Employer as communicated from time to time to the Executive.</w:t>
      </w:r>
    </w:p>
    <w:p>
      <w:pPr>
        <w:spacing w:after="0" w:line="62"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Annual Compensation and Bonuses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Employer shall pay as a salary and supplement pension according to Greek laws to Executive during the term of this Agreement the amount of €154,000.00.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 this Agreement is terminated without cause prior to its natural term, Employee’s base salary shall be pro-rated to the date of termination.</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ind w:right="100"/>
        <w:spacing w:after="0" w:line="279" w:lineRule="auto"/>
        <w:rPr>
          <w:sz w:val="20"/>
          <w:szCs w:val="20"/>
          <w:color w:val="auto"/>
        </w:rPr>
      </w:pPr>
      <w:r>
        <w:rPr>
          <w:rFonts w:ascii="Arial" w:cs="Arial" w:eastAsia="Arial" w:hAnsi="Arial"/>
          <w:sz w:val="17"/>
          <w:szCs w:val="17"/>
          <w:color w:val="auto"/>
        </w:rPr>
        <w:t>In addition to his salary, Employee shall also be eligible to receive, a performance bonus based upon and calculated by reference to such criteria as Employer shall, in its sole discretion, deem relevant or appropriate, said performance bonus to be paid in such manner and at such time(s) as the Employer may decide. Said bonus plan will include components tied to business unit performance including, but not limited to Revenue, New Client/Card Growth and Operating Profit. Targeted bonus amounts are for the periods detailed in an offer letter attached hereto.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payments of salary and bonus made pursuant to this Section 4 shall be subject to all applicable withholdings as required by Greek law.</w:t>
      </w:r>
    </w:p>
    <w:p>
      <w:pPr>
        <w:spacing w:after="0" w:line="11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Executive Benefits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exclusive use of a car which is the same or comparable to the car used by Managing Directors in the area where Employee is working. Employer shall also provide and pay for the car running expenses as related to Executive’s duties. Car to be renewed at least every seven years.</w:t>
      </w:r>
    </w:p>
    <w:p>
      <w:pPr>
        <w:spacing w:after="0" w:line="3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Employer shall pay or reimburse Executive for all expenses reasonably related to the business of Employer and Executive’s performance of his duties hereunder, including expenses for entertainment, travel, and similar items, subject only to Executive’s obligation to present expense statements, vouchers and other supporting documentation as Employer may request to verify said expenses and to comply with local recordkeeping requirements in request of such expenses.</w:t>
      </w:r>
    </w:p>
    <w:p>
      <w:pPr>
        <w:spacing w:after="0" w:line="79"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At any time during or after the expiration of termination of this Agreement, Executive shall not, without the prior written consent of Employer, divulge or release (including by statement, deposition or as a witness) to any person not employed by Employer, or any firm, institution, corporation, or under common control with Employer, any information, documents or computer data about or related to Employer’s business or that of its principals, including without limitation any information, data, sales figures, projections, estimates, customer lists, tax records, personnel history, accounting procedures or promotions, all of which shall be considered and kept confidential as the private and privileged information of Employer (“Confidential Information and Documents”).</w:t>
      </w:r>
    </w:p>
    <w:p>
      <w:pPr>
        <w:spacing w:after="0" w:line="5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Upon expiration or termination of this Agreement, Executive shall deliver to Employer originals and/or copies of all such Confidential Information and Documents within the possession or control.</w:t>
      </w:r>
    </w:p>
    <w:p>
      <w:pPr>
        <w:spacing w:after="0" w:line="62"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Restrictive Covenant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consideration of the severance payments provided for in Section 10(a) below, Executive agrees that for a period of one (1) year after the expiration of termination of this Agreement, Executive will not, directly or indirectly, own,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spacing w:after="0" w:line="277" w:lineRule="auto"/>
        <w:rPr>
          <w:sz w:val="20"/>
          <w:szCs w:val="20"/>
          <w:color w:val="auto"/>
        </w:rPr>
      </w:pPr>
      <w:r>
        <w:rPr>
          <w:rFonts w:ascii="Arial" w:cs="Arial" w:eastAsia="Arial" w:hAnsi="Arial"/>
          <w:sz w:val="18"/>
          <w:szCs w:val="18"/>
          <w:color w:val="auto"/>
        </w:rPr>
        <w:t>manage, operate, control, be employed by, or be connected in any manner with, the ownership, management, operation, or control of any entity engaged in the same area of business as the Employer.</w:t>
      </w:r>
    </w:p>
    <w:p>
      <w:pPr>
        <w:spacing w:after="0" w:line="62"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Corporate Property</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Executive agrees that all products, creations, know-how or procedures conceived, invented, discovered, utilized or executed by the Executive during his employment are and shall remain the sole and exclusive property of Employer, and will not be divulged, published, revealed, or made available by him to any person not employed by Employer or any firm, institution, corporation or entity not controlled by controlling, or under the common control with Employer and in this regard, Executive hereby assigns to the Employer any and all right, title, and interest he has or may have therein.</w:t>
      </w:r>
    </w:p>
    <w:p>
      <w:pPr>
        <w:spacing w:after="0" w:line="63"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Severance Pay</w:t>
      </w:r>
    </w:p>
    <w:p>
      <w:pPr>
        <w:spacing w:after="0" w:line="117" w:lineRule="exact"/>
        <w:rPr>
          <w:sz w:val="20"/>
          <w:szCs w:val="20"/>
          <w:color w:val="auto"/>
        </w:rPr>
      </w:pPr>
    </w:p>
    <w:p>
      <w:pPr>
        <w:ind w:right="120" w:firstLine="8"/>
        <w:spacing w:after="0" w:line="259"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Executive is terminated for “cause” prior to the end of the first 15 months the Agreement pursuant to the provisions of Section 11 (c) (other than for a “cause” described in subparagraph (iii) thereof), he will be entitled to a severance payment equal to €77,000.00, to be paid in six equal monthly installments. Termination after the first 15-month period will be treated and governed by Greek law. For purposes of severance calculation for any termination after the first 15- month period, the date of employment shall be calculated from 14 March 2000.</w:t>
      </w:r>
    </w:p>
    <w:p>
      <w:pPr>
        <w:spacing w:after="0" w:line="78" w:lineRule="exact"/>
        <w:rPr>
          <w:rFonts w:ascii="Arial" w:cs="Arial" w:eastAsia="Arial" w:hAnsi="Arial"/>
          <w:sz w:val="18"/>
          <w:szCs w:val="18"/>
          <w:color w:val="auto"/>
        </w:rPr>
      </w:pPr>
    </w:p>
    <w:p>
      <w:pPr>
        <w:jc w:val="both"/>
        <w:ind w:right="80" w:firstLine="8"/>
        <w:spacing w:after="0" w:line="259"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consideration and as a condition of his right to receive any severance payment provided for by this Section 10, Executive shall execute and deliver to Employer a standard and customary form of release issued in favour of Employer releasing Employer from any and all liability to the Executive (except for the severance payments provided for this Section 10) arising by reason of the expiration of this Agreement or its termination, or otherwise in connection with this Agreement.</w:t>
      </w:r>
    </w:p>
    <w:p>
      <w:pPr>
        <w:spacing w:after="0" w:line="78"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severance payments made pursuant to this Section 10 shall be subject to all applicable withholdings as required by local law.</w:t>
      </w:r>
    </w:p>
    <w:p>
      <w:pPr>
        <w:spacing w:after="0" w:line="117" w:lineRule="exact"/>
        <w:rPr>
          <w:rFonts w:ascii="Arial" w:cs="Arial" w:eastAsia="Arial" w:hAnsi="Arial"/>
          <w:sz w:val="18"/>
          <w:szCs w:val="18"/>
          <w:color w:val="auto"/>
        </w:rPr>
      </w:pPr>
    </w:p>
    <w:p>
      <w:pPr>
        <w:ind w:right="340" w:firstLine="8"/>
        <w:spacing w:after="0" w:line="26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the foregoing, Employer shall not be obliged to pay the remaining severance payment due on the first anniversary date under Section 10(a), as the case may be, if Employer, at the request of Executive, consents in writing to the waiver of the applicable Restrictive Covenant provisions of Section 8 hereof.</w:t>
      </w:r>
    </w:p>
    <w:p>
      <w:pPr>
        <w:spacing w:after="0" w:line="73"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Notwithstanding anything herein contained to the contrary, this Agreement shall terminate prior to the 31</w:t>
      </w:r>
      <w:r>
        <w:rPr>
          <w:rFonts w:ascii="Arial" w:cs="Arial" w:eastAsia="Arial" w:hAnsi="Arial"/>
          <w:sz w:val="15"/>
          <w:szCs w:val="15"/>
          <w:color w:val="auto"/>
        </w:rPr>
        <w:t>st</w:t>
      </w:r>
      <w:r>
        <w:rPr>
          <w:rFonts w:ascii="Arial" w:cs="Arial" w:eastAsia="Arial" w:hAnsi="Arial"/>
          <w:sz w:val="18"/>
          <w:szCs w:val="18"/>
          <w:color w:val="auto"/>
        </w:rPr>
        <w:t xml:space="preserve"> day of December, 2008 in accordance with any one or more of the following provisions: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0" w:name="page111"/>
    <w:bookmarkEnd w:id="110"/>
    <w:p>
      <w:pPr>
        <w:ind w:right="60" w:firstLine="8"/>
        <w:spacing w:after="0" w:line="259"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on account of physical or mental disability as certified in writing by a duly licensed doctor, Executive shall fail or be unable to fully perform his obligations under this Agreement for a period aggregating six (6) months during any twelve month salary base period, Employer may at its option at any time thereafter, upon thirty (30) days prior written notice to Executive, terminate this Agreement and, as of the end of said notice period, this Agreement and the obligations of Employer hereunder shall terminate;</w:t>
      </w:r>
    </w:p>
    <w:p>
      <w:pPr>
        <w:spacing w:after="0" w:line="78"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the death of Executive during the term hereof, this Agreement and the obligations of Employer hereunder shall terminate on the date of Executive’s demise, except for the payment of insurance and accrued pension rights;</w:t>
      </w:r>
    </w:p>
    <w:p>
      <w:pPr>
        <w:spacing w:after="0" w:line="62" w:lineRule="exact"/>
        <w:rPr>
          <w:rFonts w:ascii="Arial" w:cs="Arial" w:eastAsia="Arial" w:hAnsi="Arial"/>
          <w:sz w:val="18"/>
          <w:szCs w:val="18"/>
          <w:color w:val="auto"/>
        </w:rPr>
      </w:pPr>
    </w:p>
    <w:p>
      <w:pPr>
        <w:ind w:right="560" w:firstLine="8"/>
        <w:spacing w:after="0" w:line="286" w:lineRule="auto"/>
        <w:tabs>
          <w:tab w:leader="none" w:pos="2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Employer shall notify Executive of its intention to terminate this Agreement for “cause”. Such term shall include but not be limited to Executive (i) intentionally disregarding or repeatedly failing to comply with the written directives or instructions of Employer (ii) being grossly negligent in the performance of his duties or (iii) engaging in any criminal activity in the course of his employment such as fraud or embezzlement.</w:t>
      </w:r>
    </w:p>
    <w:p>
      <w:pPr>
        <w:spacing w:after="0" w:line="57"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Waiver of Breach</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No waiver or modification of this Agreement or of any covenant, condition, or limitation herein contained shall be valid unless in writing and duly executed by the party to be charged. No evidence of any waiver or modification shall be offered or received in evidence in any proceeding, arbitration, or litigation between the parties hereto arising out of or affecting this Agreement, or the rights of obligations of the parties hereunder, unless such waiver or modification is in writing, duly executed as aforesaid. The parties further agree that the provisions of this paragraph may not be waived except as herein provided.</w:t>
      </w:r>
    </w:p>
    <w:p>
      <w:pPr>
        <w:spacing w:after="0" w:line="46"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Survival of Certain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It is understood and agreed that the provisions of Sections 7, 8 and 9 shall survive the expiration of this Agreement or its termination for any reason or cause.</w:t>
      </w:r>
    </w:p>
    <w:p>
      <w:pPr>
        <w:spacing w:after="0" w:line="140"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notice required or permitted to be given under this Agreement shall be sufficient if in writing, and if sent by registered mail.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Executive: Nikos Fountas, C/O Instreamline, 282, El. Venizelou Ave., 176 75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Employer: C/O Instreamline, 282, El. Venizelou Ave., 176 75, Attn: Chief Legal Counsel</w:t>
      </w:r>
    </w:p>
    <w:p>
      <w:pPr>
        <w:spacing w:after="0" w:line="117"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jc w:val="both"/>
        <w:ind w:right="60"/>
        <w:spacing w:after="0" w:line="273" w:lineRule="auto"/>
        <w:rPr>
          <w:sz w:val="20"/>
          <w:szCs w:val="20"/>
          <w:color w:val="auto"/>
        </w:rPr>
      </w:pPr>
      <w:r>
        <w:rPr>
          <w:rFonts w:ascii="Arial" w:cs="Arial" w:eastAsia="Arial" w:hAnsi="Arial"/>
          <w:sz w:val="17"/>
          <w:szCs w:val="17"/>
          <w:color w:val="auto"/>
        </w:rPr>
        <w:t>This Agreement contains the complete agreement concerning the services to be provided by Executive to Employer and Employer’s obligations to Executive and shall on the effective date supersede all other agreements between the parties. The parties stipulate that neither has made any representation with respect to the subject matter of this Agreement or any representations, including the execution and delivery hereof except such representations which are specifically set forth herein. Each of the parties hereto acknowledges that he or it has relied on his or its own judgment in entering into this Agreement. The parties hereto further acknowledge that any payments or representations that may have heretofore been made by either of them to the other are of no effect and that neither of them has relied thereon in connection with his or its dealings with the other.</w:t>
      </w:r>
    </w:p>
    <w:p>
      <w:pPr>
        <w:spacing w:after="0" w:line="70"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in all respects by the laws of Greece.</w:t>
      </w:r>
    </w:p>
    <w:p>
      <w:pPr>
        <w:spacing w:after="0" w:line="117"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Captions and Severability</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captions in this Agreement are for the convenience of reference only and shall not limit or otherwise affect the meaning of the provisions hereof. If any provision of this Agreement or the application thereof shall, to any extent, be determined to be invalid, unenforceable or contrary to law, the validity of the remaining provisions of this Agreement shall in no way be effected thereby and shall be enforceable to the fullest extent possible.</w:t>
      </w:r>
    </w:p>
    <w:p>
      <w:pPr>
        <w:spacing w:after="0" w:line="57"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in two counterparts, each of which shall be deemed as an original, and both of which will constitute the same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the parties hereto have executed this Agreement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Nikos Fountas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Nikos Fountas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4784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INSTREAMLINE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By: /s/ Timothy Fanning</w:t>
            </w:r>
          </w:p>
        </w:tc>
        <w:tc>
          <w:tcPr>
            <w:tcW w:w="5580" w:type="dxa"/>
            <w:vAlign w:val="bottom"/>
            <w:gridSpan w:val="2"/>
          </w:tcPr>
          <w:p>
            <w:pPr>
              <w:ind w:left="1320"/>
              <w:spacing w:after="0"/>
              <w:rPr>
                <w:sz w:val="20"/>
                <w:szCs w:val="20"/>
                <w:color w:val="auto"/>
              </w:rPr>
            </w:pPr>
            <w:r>
              <w:rPr>
                <w:rFonts w:ascii="Arial" w:cs="Arial" w:eastAsia="Arial" w:hAnsi="Arial"/>
                <w:sz w:val="18"/>
                <w:szCs w:val="18"/>
                <w:color w:val="auto"/>
              </w:rPr>
              <w:t>By:  /s/ Ken Hites</w:t>
            </w:r>
          </w:p>
        </w:tc>
      </w:tr>
      <w:tr>
        <w:trPr>
          <w:trHeight w:val="20"/>
        </w:trPr>
        <w:tc>
          <w:tcPr>
            <w:tcW w:w="38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r>
      <w:tr>
        <w:trPr>
          <w:trHeight w:val="195"/>
        </w:trPr>
        <w:tc>
          <w:tcPr>
            <w:tcW w:w="4280" w:type="dxa"/>
            <w:vAlign w:val="bottom"/>
            <w:gridSpan w:val="2"/>
          </w:tcPr>
          <w:p>
            <w:pPr>
              <w:spacing w:after="0" w:line="195" w:lineRule="exact"/>
              <w:rPr>
                <w:sz w:val="20"/>
                <w:szCs w:val="20"/>
                <w:color w:val="auto"/>
              </w:rPr>
            </w:pPr>
            <w:r>
              <w:rPr>
                <w:rFonts w:ascii="Arial" w:cs="Arial" w:eastAsia="Arial" w:hAnsi="Arial"/>
                <w:sz w:val="18"/>
                <w:szCs w:val="18"/>
                <w:color w:val="auto"/>
              </w:rPr>
              <w:t>Timothy Fanning</w:t>
            </w:r>
          </w:p>
        </w:tc>
        <w:tc>
          <w:tcPr>
            <w:tcW w:w="5580" w:type="dxa"/>
            <w:vAlign w:val="bottom"/>
            <w:gridSpan w:val="2"/>
          </w:tcPr>
          <w:p>
            <w:pPr>
              <w:ind w:left="1320"/>
              <w:spacing w:after="0" w:line="195" w:lineRule="exact"/>
              <w:rPr>
                <w:sz w:val="20"/>
                <w:szCs w:val="20"/>
                <w:color w:val="auto"/>
              </w:rPr>
            </w:pPr>
            <w:r>
              <w:rPr>
                <w:rFonts w:ascii="Arial" w:cs="Arial" w:eastAsia="Arial" w:hAnsi="Arial"/>
                <w:sz w:val="18"/>
                <w:szCs w:val="18"/>
                <w:color w:val="auto"/>
              </w:rPr>
              <w:t>Ken Hites</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580" w:type="dxa"/>
            <w:vAlign w:val="bottom"/>
            <w:gridSpan w:val="2"/>
          </w:tcPr>
          <w:p>
            <w:pPr>
              <w:ind w:left="13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Pretax income (loss) from continuing operations before adjustment for income from</w:t>
            </w:r>
          </w:p>
        </w:tc>
        <w:tc>
          <w:tcPr>
            <w:tcW w:w="5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unconsolidated 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55,239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w w:val="90"/>
              </w:rPr>
              <w:t>(201,917)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30,174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40,709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Dividends received</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474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7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pretax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85,887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w w:val="90"/>
              </w:rPr>
              <w:t>(161,175)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113,211</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25,716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36,351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30"/>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Capitalized interest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Total fixed charges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30,174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30"/>
              <w:spacing w:after="0"/>
              <w:rPr>
                <w:sz w:val="20"/>
                <w:szCs w:val="20"/>
                <w:color w:val="auto"/>
              </w:rPr>
            </w:pPr>
            <w:r>
              <w:rPr>
                <w:rFonts w:ascii="Arial" w:cs="Arial" w:eastAsia="Arial" w:hAnsi="Arial"/>
                <w:sz w:val="18"/>
                <w:szCs w:val="18"/>
                <w:color w:val="auto"/>
              </w:rPr>
              <w:t>40,709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1"/>
              </w:rPr>
              <w:t>(A)</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pretax loss was inadequate to cover fixed charges by $201.9 million in 2008.</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Euronet’s wholly owned subsidiaries were:</w:t>
      </w:r>
    </w:p>
    <w:p>
      <w:pPr>
        <w:spacing w:after="0" w:line="117" w:lineRule="exact"/>
        <w:rPr>
          <w:sz w:val="20"/>
          <w:szCs w:val="20"/>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EFT Services Holding B.V., incorporated in the Netherlands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Banktechnikai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Adminisztracios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Bankomat 24/Euronet Sp. z o.o., incorporated in Poland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EFT-Usluge d o.o., incorporated in Croatia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Services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Services spol. s.r.o., incorporated in the Czech Republic</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Services SRL, incorporated in Romania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USA Inc., incorporated in Arkansas,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Services Slovakia, spol. s r.o., incorporated in Slovakia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epay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e-pay Holdings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epay Australia Pty Ltd, incorporated in New South Wales,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epay Australia Holdings Pty Ltd, incorporated in Victoria,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epay New Zealand Ltd, incorporated in New Zealand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transact Elektronische Zahlungssysteme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Delta Euronet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PaySpot,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Telerecarga.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Payments and Remittance,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Europlanet d.o.o. Beograd, incorporated in Serbia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Card Services, S.A., incorporated in Greece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EWI Foreign Holdings Limited, incorporated in Cyprus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Asia Holdings Limited, incorporated in Hong Kong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Services India Private Limited, incorporated in India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Software UK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Ukraine LLC, incorporated in Ukraine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Bulgaria EOOD, incorporated in Bulgaria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Pay and Transaction Services SRL, incorporated in Italy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Euronet Business Holdings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Spain Holdings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Brodos Romania SRL, incorporated in Romania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Envia, Inc., incorporated in New York,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Continental Exchange Solutions,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Telecommunications of New York, Inc., incorporated in New York,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Envia Financial Services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Financial Services, Ltd.,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Telecommunications of Canada, Inc., incorporated in Canada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Italia, SRL, incorporated in Italy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Financial Services Australia Pty. Ltd., incorporated in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Envia Telecomunicaciones, S.A.,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Financial Services Puerto Rico, Inc., incorporated in Puerto Rico</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de la Hispaniola, C.PorA, incorporated in Dominican Republic</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France, SAS, incorporated in France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Financial Services New Zealand Ltd., incorporated in New Zealand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RIA Envia Financial Services Belgium, SPRL, incorporated in Belgium</w:t>
      </w:r>
    </w:p>
    <w:p>
      <w:pPr>
        <w:sectPr>
          <w:pgSz w:w="11900" w:h="16838" w:orient="portrait"/>
          <w:cols w:equalWidth="0" w:num="1">
            <w:col w:w="11420"/>
          </w:cols>
          <w:pgMar w:left="240" w:top="121" w:right="239" w:bottom="0" w:gutter="0" w:footer="0" w:header="0"/>
        </w:sectPr>
      </w:pPr>
    </w:p>
    <w:bookmarkStart w:id="114" w:name="page115"/>
    <w:bookmarkEnd w:id="114"/>
    <w:p>
      <w:pPr>
        <w:ind w:left="436" w:hanging="436"/>
        <w:spacing w:after="0"/>
        <w:tabs>
          <w:tab w:leader="none" w:pos="43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RIA de Centroamérica, S.A. de C.V., incorporated in El Salvador</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RIA Financial Services AG, incorporated in Switzerland</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Continental Payment Solutions, Inc., incorporated in California, U.S.A.</w:t>
      </w:r>
    </w:p>
    <w:p>
      <w:pPr>
        <w:spacing w:after="0" w:line="142" w:lineRule="exact"/>
        <w:rPr>
          <w:rFonts w:ascii="Arial" w:cs="Arial" w:eastAsia="Arial" w:hAnsi="Arial"/>
          <w:sz w:val="17"/>
          <w:szCs w:val="17"/>
          <w:b w:val="1"/>
          <w:bCs w:val="1"/>
          <w:color w:val="auto"/>
        </w:rPr>
      </w:pPr>
    </w:p>
    <w:p>
      <w:pPr>
        <w:ind w:left="436" w:hanging="436"/>
        <w:spacing w:after="0"/>
        <w:tabs>
          <w:tab w:leader="none" w:pos="43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Omega Logic Ltd., incorporated in England and Wales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Euronet Elektronik Islem Hizmetleri Limited Sirketi, incorporated in Turkey</w:t>
      </w:r>
    </w:p>
    <w:p>
      <w:pPr>
        <w:spacing w:after="0" w:line="153" w:lineRule="exact"/>
        <w:rPr>
          <w:rFonts w:ascii="Arial" w:cs="Arial" w:eastAsia="Arial" w:hAnsi="Arial"/>
          <w:sz w:val="16"/>
          <w:szCs w:val="16"/>
          <w:b w:val="1"/>
          <w:bCs w:val="1"/>
          <w:color w:val="auto"/>
        </w:rPr>
      </w:pPr>
    </w:p>
    <w:p>
      <w:pPr>
        <w:ind w:left="436" w:hanging="436"/>
        <w:spacing w:after="0"/>
        <w:tabs>
          <w:tab w:leader="none" w:pos="43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Euronet Prepaid Hellas LLC, incorporated in Greece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Euronet Payment Services Ltd., incorporated in England and Wales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Euronet Payment &amp; Card Services Ltd., incorporated in England and Wales</w:t>
      </w:r>
    </w:p>
    <w:p>
      <w:pPr>
        <w:spacing w:after="0" w:line="153" w:lineRule="exact"/>
        <w:rPr>
          <w:rFonts w:ascii="Arial" w:cs="Arial" w:eastAsia="Arial" w:hAnsi="Arial"/>
          <w:sz w:val="16"/>
          <w:szCs w:val="16"/>
          <w:b w:val="1"/>
          <w:bCs w:val="1"/>
          <w:color w:val="auto"/>
        </w:rPr>
      </w:pPr>
    </w:p>
    <w:p>
      <w:pPr>
        <w:ind w:left="436" w:hanging="436"/>
        <w:spacing w:after="0"/>
        <w:tabs>
          <w:tab w:leader="none" w:pos="43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epay France SAS, incorporated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475615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5"/>
          </w:cols>
          <w:pgMar w:left="464" w:top="247" w:right="1440" w:bottom="1440" w:gutter="0" w:footer="0" w:header="0"/>
        </w:sectPr>
      </w:pPr>
    </w:p>
    <w:bookmarkStart w:id="115" w:name="page116"/>
    <w:bookmarkEnd w:id="115"/>
    <w:p>
      <w:pPr>
        <w:ind w:left="436" w:hanging="436"/>
        <w:spacing w:after="0"/>
        <w:tabs>
          <w:tab w:leader="none" w:pos="436"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Mellon Transaction Solutions d.o.o., incorporated in Serbia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Gescoro Inc., incorporated in Canada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XBA Szolgáltató Kft. , incorporated in Hungary</w:t>
      </w:r>
    </w:p>
    <w:p>
      <w:pPr>
        <w:spacing w:after="0" w:line="200" w:lineRule="exact"/>
        <w:rPr>
          <w:sz w:val="20"/>
          <w:szCs w:val="20"/>
          <w:color w:val="auto"/>
        </w:rPr>
      </w:pPr>
    </w:p>
    <w:p>
      <w:pPr>
        <w:spacing w:after="0" w:line="241" w:lineRule="exact"/>
        <w:rPr>
          <w:sz w:val="20"/>
          <w:szCs w:val="20"/>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PT G4S Euronet Indonesia, incorporated in Indonesia, of which 47.02% of the shares are owned by EFT Services Holdings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e-pay Malaysia Sdn Bhd, incorporated in Malaysia, of which e-pay Limited owns 40% of the share capital.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ATX Software, Ltd., incorporated in England and Wales, of which 51% is owned by Euronet Worldwide, Inc.</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Euronet Services LLC incorporated in Russia, of which 95% is owned by EFT Services Holdings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Euronet Movilcarga S.L., incorporated in Spain, of which 80% is owned by Euronet Telerecarga S.L.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Euronet Middle East W.L.L., incorporated in Bahrain, of which 49% is owned by EFT Services Holdings B.V.</w:t>
      </w:r>
    </w:p>
    <w:p>
      <w:pPr>
        <w:spacing w:after="0" w:line="130" w:lineRule="exact"/>
        <w:rPr>
          <w:rFonts w:ascii="Arial" w:cs="Arial" w:eastAsia="Arial" w:hAnsi="Arial"/>
          <w:sz w:val="18"/>
          <w:szCs w:val="18"/>
          <w:b w:val="1"/>
          <w:bCs w:val="1"/>
          <w:color w:val="auto"/>
        </w:rPr>
      </w:pPr>
    </w:p>
    <w:p>
      <w:pPr>
        <w:ind w:left="436" w:hanging="436"/>
        <w:spacing w:after="0" w:line="277" w:lineRule="auto"/>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Jiayintong (Beijing) Technology Development Co. Ltd. d.b.a. Euronet China, incorporated in the Peoples Republic of China, of which 75% is owned by Euronet Asia Holdings Limited</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e-pay SRL, incorporated in Italy, of which 51% is owned by Euronet Pay and Transaction Services SRL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Cashlink Bangladesh Ltd., incorporated in Bangladesh, of which 10% is owned by EFT Services Holding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ATX Middle East FZC, incorporated in the United Arab Emirates, of which 51% is owned by EFT Services Holding B.V.</w:t>
      </w:r>
    </w:p>
    <w:p>
      <w:pPr>
        <w:sectPr>
          <w:pgSz w:w="11900" w:h="16838" w:orient="portrait"/>
          <w:cols w:equalWidth="0" w:num="1">
            <w:col w:w="11176"/>
          </w:cols>
          <w:pgMar w:left="464" w:top="935" w:right="2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333-116934, 333-117948 and 333-128228); Form S-4 (No. 333-116938) and Form S-8 (Nos. 333-24539, 333-83555, 333-44890, 333-64634, 333-71766, 333-98013, 333-102875, 333-116920, 333-136485 and 333-161245) of Euronet Worldwide, Inc. of our report dated February 26, 2010, with respect to the consolidated balance sheets of Euronet Worldwide, Inc. and subsidiaries (the Company) as of December 31, 2009 and 2008, and the related consolidated statements of operations, changes in equity and cash flows for each of the years in the three-year period ended December 31, 2009, and the effectiveness of internal control over financial reporting as of December 31, 2009, which report appears in the December 31, 2009 annual report on Form 10-K of Euronet Worldwide, Inc.</w:t>
      </w:r>
    </w:p>
    <w:p>
      <w:pPr>
        <w:spacing w:after="0" w:line="1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As discussed in Note 3 to the consolidated financial statements, the Company adopted, on a retrospective basis, the provisions of FASB ASC 470-20-30-22 (formerly, FASB Staff Position APB 14-1),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FASB ASC 810-10-45-16 (formerly, SFAS No. 160), </w:t>
      </w:r>
      <w:r>
        <w:rPr>
          <w:rFonts w:ascii="Arial" w:cs="Arial" w:eastAsia="Arial" w:hAnsi="Arial"/>
          <w:sz w:val="18"/>
          <w:szCs w:val="18"/>
          <w:i w:val="1"/>
          <w:iCs w:val="1"/>
          <w:color w:val="auto"/>
        </w:rPr>
        <w:t>Noncontrolling Interests</w:t>
      </w:r>
      <w:r>
        <w:rPr>
          <w:rFonts w:ascii="Arial" w:cs="Arial" w:eastAsia="Arial" w:hAnsi="Arial"/>
          <w:sz w:val="18"/>
          <w:szCs w:val="18"/>
          <w:color w:val="auto"/>
        </w:rPr>
        <w:t>, as of January 1, 2009.</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85"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200" w:lineRule="exact"/>
        <w:rPr>
          <w:sz w:val="20"/>
          <w:szCs w:val="20"/>
          <w:color w:val="auto"/>
        </w:rPr>
      </w:pPr>
    </w:p>
    <w:p>
      <w:pPr>
        <w:spacing w:after="0" w:line="349"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85"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200" w:lineRule="exact"/>
        <w:rPr>
          <w:sz w:val="20"/>
          <w:szCs w:val="20"/>
          <w:color w:val="auto"/>
        </w:rPr>
      </w:pPr>
    </w:p>
    <w:p>
      <w:pPr>
        <w:spacing w:after="0" w:line="34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Chief Financial Officer and Chief Accounting Officer</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lowerRoman"/>
      <w:start w:val="2"/>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lowerRoman"/>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lowerLetter"/>
      <w:start w:val="1"/>
    </w:lvl>
    <w:lvl w:ilvl="1">
      <w:lvlJc w:val="left"/>
      <w:lvlText w:val="%2."/>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2"/>
    </w:lvl>
  </w:abstractNum>
  <w:abstractNum w:abstractNumId="30">
    <w:nsid w:val="725A06FB"/>
    <w:multiLevelType w:val="hybridMultilevel"/>
    <w:lvl w:ilvl="0">
      <w:lvlJc w:val="left"/>
      <w:lvlText w:val="%1."/>
      <w:numFmt w:val="decimal"/>
      <w:start w:val="3"/>
    </w:lvl>
  </w:abstractNum>
  <w:abstractNum w:abstractNumId="31">
    <w:nsid w:val="2CD89A32"/>
    <w:multiLevelType w:val="hybridMultilevel"/>
    <w:lvl w:ilvl="0">
      <w:lvlJc w:val="left"/>
      <w:lvlText w:val="%1."/>
      <w:numFmt w:val="decimal"/>
      <w:start w:val="3"/>
    </w:lvl>
  </w:abstractNum>
  <w:abstractNum w:abstractNumId="32">
    <w:nsid w:val="57E4CCAF"/>
    <w:multiLevelType w:val="hybridMultilevel"/>
    <w:lvl w:ilvl="0">
      <w:lvlJc w:val="left"/>
      <w:lvlText w:val="%1."/>
      <w:numFmt w:val="decimal"/>
      <w:start w:val="4"/>
    </w:lvl>
  </w:abstractNum>
  <w:abstractNum w:abstractNumId="33">
    <w:nsid w:val="7A6D8D3C"/>
    <w:multiLevelType w:val="hybridMultilevel"/>
    <w:lvl w:ilvl="0">
      <w:lvlJc w:val="left"/>
      <w:lvlText w:val="%1."/>
      <w:numFmt w:val="decimal"/>
      <w:start w:val="5"/>
    </w:lvl>
  </w:abstractNum>
  <w:abstractNum w:abstractNumId="34">
    <w:nsid w:val="4B588F54"/>
    <w:multiLevelType w:val="hybridMultilevel"/>
    <w:lvl w:ilvl="0">
      <w:lvlJc w:val="left"/>
      <w:lvlText w:val="%1."/>
      <w:numFmt w:val="decimal"/>
      <w:start w:val="6"/>
    </w:lvl>
  </w:abstractNum>
  <w:abstractNum w:abstractNumId="35">
    <w:nsid w:val="542289EC"/>
    <w:multiLevelType w:val="hybridMultilevel"/>
    <w:lvl w:ilvl="0">
      <w:lvlJc w:val="left"/>
      <w:lvlText w:val="%1."/>
      <w:numFmt w:val="decimal"/>
      <w:start w:val="7"/>
    </w:lvl>
  </w:abstractNum>
  <w:abstractNum w:abstractNumId="36">
    <w:nsid w:val="6DE91B18"/>
    <w:multiLevelType w:val="hybridMultilevel"/>
    <w:lvl w:ilvl="0">
      <w:lvlJc w:val="left"/>
      <w:lvlText w:val="%1."/>
      <w:numFmt w:val="decimal"/>
      <w:start w:val="8"/>
    </w:lvl>
  </w:abstractNum>
  <w:abstractNum w:abstractNumId="37">
    <w:nsid w:val="38437FDB"/>
    <w:multiLevelType w:val="hybridMultilevel"/>
    <w:lvl w:ilvl="0">
      <w:lvlJc w:val="left"/>
      <w:lvlText w:val="%1."/>
      <w:numFmt w:val="decimal"/>
      <w:start w:val="10"/>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decimal"/>
      <w:start w:val="1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decimal"/>
      <w:start w:val="12"/>
    </w:lvl>
  </w:abstractNum>
  <w:abstractNum w:abstractNumId="42">
    <w:nsid w:val="749ABB43"/>
    <w:multiLevelType w:val="hybridMultilevel"/>
    <w:lvl w:ilvl="0">
      <w:lvlJc w:val="left"/>
      <w:lvlText w:val="%1."/>
      <w:numFmt w:val="decimal"/>
      <w:start w:val="13"/>
    </w:lvl>
  </w:abstractNum>
  <w:abstractNum w:abstractNumId="43">
    <w:nsid w:val="3DC240FB"/>
    <w:multiLevelType w:val="hybridMultilevel"/>
    <w:lvl w:ilvl="0">
      <w:lvlJc w:val="left"/>
      <w:lvlText w:val="%1."/>
      <w:numFmt w:val="decimal"/>
      <w:start w:val="14"/>
    </w:lvl>
  </w:abstractNum>
  <w:abstractNum w:abstractNumId="44">
    <w:nsid w:val="1BA026FA"/>
    <w:multiLevelType w:val="hybridMultilevel"/>
    <w:lvl w:ilvl="0">
      <w:lvlJc w:val="left"/>
      <w:lvlText w:val="%1."/>
      <w:numFmt w:val="decimal"/>
      <w:start w:val="15"/>
    </w:lvl>
  </w:abstractNum>
  <w:abstractNum w:abstractNumId="45">
    <w:nsid w:val="79A1DEAA"/>
    <w:multiLevelType w:val="hybridMultilevel"/>
    <w:lvl w:ilvl="0">
      <w:lvlJc w:val="left"/>
      <w:lvlText w:val="%1."/>
      <w:numFmt w:val="decimal"/>
      <w:start w:val="16"/>
    </w:lvl>
  </w:abstractNum>
  <w:abstractNum w:abstractNumId="46">
    <w:nsid w:val="75C6C33A"/>
    <w:multiLevelType w:val="hybridMultilevel"/>
    <w:lvl w:ilvl="0">
      <w:lvlJc w:val="left"/>
      <w:lvlText w:val="%1."/>
      <w:numFmt w:val="decimal"/>
      <w:start w:val="17"/>
    </w:lvl>
  </w:abstractNum>
  <w:abstractNum w:abstractNumId="47">
    <w:nsid w:val="12E685FB"/>
    <w:multiLevelType w:val="hybridMultilevel"/>
    <w:lvl w:ilvl="0">
      <w:lvlJc w:val="left"/>
      <w:lvlText w:val="%1."/>
      <w:numFmt w:val="decimal"/>
      <w:start w:val="18"/>
    </w:lvl>
  </w:abstractNum>
  <w:abstractNum w:abstractNumId="48">
    <w:nsid w:val="70C6A529"/>
    <w:multiLevelType w:val="hybridMultilevel"/>
    <w:lvl w:ilvl="0">
      <w:lvlJc w:val="left"/>
      <w:lvlText w:val="(%1)"/>
      <w:numFmt w:val="upperLetter"/>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2019-12-10T14:21:35Z</dcterms:created>
  <dcterms:modified xsi:type="dcterms:W3CDTF">2019-12-10T14:21:35Z</dcterms:modified>
</cp:coreProperties>
</file>