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line="239" w:lineRule="auto"/>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101"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10-K</w:t>
      </w:r>
    </w:p>
    <w:p>
      <w:pPr>
        <w:spacing w:after="0" w:line="29"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59"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(Mark One)</w:t>
      </w:r>
    </w:p>
    <w:p>
      <w:pPr>
        <w:spacing w:after="0" w:line="42" w:lineRule="exact"/>
        <w:rPr>
          <w:sz w:val="24"/>
          <w:szCs w:val="24"/>
          <w:color w:val="auto"/>
        </w:rPr>
      </w:pPr>
    </w:p>
    <w:p>
      <w:pPr>
        <w:ind w:left="1480" w:right="1060" w:hanging="277"/>
        <w:spacing w:after="0" w:line="344" w:lineRule="auto"/>
        <w:tabs>
          <w:tab w:leader="none" w:pos="1480"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2014</w:t>
      </w:r>
    </w:p>
    <w:p>
      <w:pPr>
        <w:spacing w:after="0" w:line="13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28" w:lineRule="exact"/>
        <w:rPr>
          <w:sz w:val="24"/>
          <w:szCs w:val="24"/>
          <w:color w:val="auto"/>
        </w:rPr>
      </w:pPr>
    </w:p>
    <w:p>
      <w:pPr>
        <w:ind w:left="1480" w:hanging="277"/>
        <w:spacing w:after="0"/>
        <w:tabs>
          <w:tab w:leader="none" w:pos="1480" w:val="left"/>
        </w:tabs>
        <w:numPr>
          <w:ilvl w:val="0"/>
          <w:numId w:val="2"/>
        </w:numPr>
        <w:rPr>
          <w:rFonts w:ascii="MS PGothic" w:cs="MS PGothic" w:eastAsia="MS PGothic" w:hAnsi="MS PGothic"/>
          <w:sz w:val="32"/>
          <w:szCs w:val="32"/>
          <w:color w:val="auto"/>
          <w:vertAlign w:val="subscript"/>
        </w:rPr>
      </w:pPr>
      <w:r>
        <w:rPr>
          <w:rFonts w:ascii="Arial" w:cs="Arial" w:eastAsia="Arial" w:hAnsi="Arial"/>
          <w:sz w:val="18"/>
          <w:szCs w:val="18"/>
          <w:b w:val="1"/>
          <w:bCs w:val="1"/>
          <w:color w:val="auto"/>
        </w:rPr>
        <w:t>TRANSITION</w:t>
      </w:r>
      <w:r>
        <w:rPr>
          <w:rFonts w:ascii="Arial" w:cs="Arial" w:eastAsia="Arial" w:hAnsi="Arial"/>
          <w:sz w:val="36"/>
          <w:szCs w:val="36"/>
          <w:b w:val="1"/>
          <w:bCs w:val="1"/>
          <w:color w:val="auto"/>
          <w:vertAlign w:val="subscript"/>
        </w:rPr>
        <w:t>1934</w:t>
      </w:r>
      <w:r>
        <w:rPr>
          <w:rFonts w:ascii="Arial" w:cs="Arial" w:eastAsia="Arial" w:hAnsi="Arial"/>
          <w:sz w:val="18"/>
          <w:szCs w:val="18"/>
          <w:b w:val="1"/>
          <w:bCs w:val="1"/>
          <w:color w:val="auto"/>
        </w:rPr>
        <w:t xml:space="preserve"> REPORT PURSUANT TO SECTION 13 OR 15(d) OF THE SECURITIES EXCHANGE ACT OF</w:t>
      </w:r>
    </w:p>
    <w:p>
      <w:pPr>
        <w:spacing w:after="0" w:line="97"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2840" w:type="dxa"/>
            <w:vAlign w:val="bottom"/>
            <w:gridSpan w:val="3"/>
          </w:tcPr>
          <w:p>
            <w:pPr>
              <w:ind w:left="240"/>
              <w:spacing w:after="0"/>
              <w:rPr>
                <w:sz w:val="20"/>
                <w:szCs w:val="20"/>
                <w:color w:val="auto"/>
              </w:rPr>
            </w:pPr>
            <w:r>
              <w:rPr>
                <w:rFonts w:ascii="Arial" w:cs="Arial" w:eastAsia="Arial" w:hAnsi="Arial"/>
                <w:sz w:val="18"/>
                <w:szCs w:val="18"/>
                <w:b w:val="1"/>
                <w:bCs w:val="1"/>
                <w:color w:val="auto"/>
              </w:rPr>
              <w:t>For the transition period from</w:t>
            </w:r>
          </w:p>
        </w:tc>
        <w:tc>
          <w:tcPr>
            <w:tcW w:w="2800" w:type="dxa"/>
            <w:vAlign w:val="bottom"/>
          </w:tcPr>
          <w:p>
            <w:pPr>
              <w:ind w:left="500"/>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jc w:val="center"/>
              <w:ind w:left="402"/>
              <w:spacing w:after="0"/>
              <w:rPr>
                <w:sz w:val="20"/>
                <w:szCs w:val="20"/>
                <w:color w:val="auto"/>
              </w:rPr>
            </w:pPr>
            <w:r>
              <w:rPr>
                <w:rFonts w:ascii="Arial" w:cs="Arial" w:eastAsia="Arial" w:hAnsi="Arial"/>
                <w:sz w:val="14"/>
                <w:szCs w:val="14"/>
                <w:b w:val="1"/>
                <w:bCs w:val="1"/>
                <w:color w:val="auto"/>
                <w:w w:val="93"/>
              </w:rPr>
              <w:t>Commission File Number 001-31648</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400" w:type="dxa"/>
            <w:vAlign w:val="bottom"/>
          </w:tcPr>
          <w:p>
            <w:pPr>
              <w:spacing w:after="0"/>
              <w:rPr>
                <w:sz w:val="24"/>
                <w:szCs w:val="24"/>
                <w:color w:val="auto"/>
              </w:rPr>
            </w:pPr>
          </w:p>
        </w:tc>
        <w:tc>
          <w:tcPr>
            <w:tcW w:w="7100" w:type="dxa"/>
            <w:vAlign w:val="bottom"/>
            <w:gridSpan w:val="5"/>
          </w:tcPr>
          <w:p>
            <w:pPr>
              <w:jc w:val="center"/>
              <w:ind w:right="868"/>
              <w:spacing w:after="0"/>
              <w:rPr>
                <w:sz w:val="20"/>
                <w:szCs w:val="20"/>
                <w:color w:val="auto"/>
              </w:rPr>
            </w:pPr>
            <w:r>
              <w:rPr>
                <w:rFonts w:ascii="Arial" w:cs="Arial" w:eastAsia="Arial" w:hAnsi="Arial"/>
                <w:sz w:val="29"/>
                <w:szCs w:val="29"/>
                <w:b w:val="1"/>
                <w:bCs w:val="1"/>
                <w:color w:val="auto"/>
              </w:rPr>
              <w:t>EURONET WORLDWIDE, INC.</w:t>
            </w:r>
          </w:p>
        </w:tc>
        <w:tc>
          <w:tcPr>
            <w:tcW w:w="0" w:type="dxa"/>
            <w:vAlign w:val="bottom"/>
          </w:tcPr>
          <w:p>
            <w:pPr>
              <w:spacing w:after="0"/>
              <w:rPr>
                <w:sz w:val="1"/>
                <w:szCs w:val="1"/>
                <w:color w:val="auto"/>
              </w:rPr>
            </w:pPr>
          </w:p>
        </w:tc>
      </w:tr>
      <w:tr>
        <w:trPr>
          <w:trHeight w:val="170"/>
        </w:trPr>
        <w:tc>
          <w:tcPr>
            <w:tcW w:w="1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60" w:type="dxa"/>
            <w:vAlign w:val="bottom"/>
            <w:gridSpan w:val="3"/>
          </w:tcPr>
          <w:p>
            <w:pPr>
              <w:jc w:val="center"/>
              <w:ind w:right="2328"/>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2"/>
              <w:spacing w:after="0"/>
              <w:rPr>
                <w:sz w:val="20"/>
                <w:szCs w:val="20"/>
                <w:color w:val="auto"/>
              </w:rPr>
            </w:pPr>
            <w:r>
              <w:rPr>
                <w:rFonts w:ascii="Arial" w:cs="Arial" w:eastAsia="Arial" w:hAnsi="Arial"/>
                <w:sz w:val="18"/>
                <w:szCs w:val="18"/>
                <w:color w:val="auto"/>
              </w:rPr>
              <w:t>________________________</w:t>
            </w:r>
          </w:p>
        </w:tc>
        <w:tc>
          <w:tcPr>
            <w:tcW w:w="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4"/>
        </w:trPr>
        <w:tc>
          <w:tcPr>
            <w:tcW w:w="1400" w:type="dxa"/>
            <w:vAlign w:val="bottom"/>
          </w:tcPr>
          <w:p>
            <w:pPr>
              <w:spacing w:after="0"/>
              <w:rPr>
                <w:sz w:val="24"/>
                <w:szCs w:val="24"/>
                <w:color w:val="auto"/>
              </w:rPr>
            </w:pPr>
          </w:p>
        </w:tc>
        <w:tc>
          <w:tcPr>
            <w:tcW w:w="144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8"/>
              </w:rPr>
              <w:t>DELAWARE</w:t>
            </w:r>
          </w:p>
        </w:tc>
        <w:tc>
          <w:tcPr>
            <w:tcW w:w="2800" w:type="dxa"/>
            <w:vAlign w:val="bottom"/>
          </w:tcPr>
          <w:p>
            <w:pPr>
              <w:spacing w:after="0"/>
              <w:rPr>
                <w:sz w:val="24"/>
                <w:szCs w:val="24"/>
                <w:color w:val="auto"/>
              </w:rPr>
            </w:pPr>
          </w:p>
        </w:tc>
        <w:tc>
          <w:tcPr>
            <w:tcW w:w="2860" w:type="dxa"/>
            <w:vAlign w:val="bottom"/>
            <w:gridSpan w:val="2"/>
          </w:tcPr>
          <w:p>
            <w:pPr>
              <w:jc w:val="right"/>
              <w:ind w:right="988"/>
              <w:spacing w:after="0"/>
              <w:rPr>
                <w:sz w:val="20"/>
                <w:szCs w:val="20"/>
                <w:color w:val="auto"/>
              </w:rPr>
            </w:pPr>
            <w:r>
              <w:rPr>
                <w:rFonts w:ascii="Arial" w:cs="Arial" w:eastAsia="Arial" w:hAnsi="Arial"/>
                <w:sz w:val="14"/>
                <w:szCs w:val="14"/>
                <w:b w:val="1"/>
                <w:bCs w:val="1"/>
                <w:color w:val="auto"/>
              </w:rPr>
              <w:t>74-2806888</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42"/>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51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rPr>
              <w:t>3500 COLLEGE BOULEVARD</w:t>
            </w:r>
          </w:p>
        </w:tc>
        <w:tc>
          <w:tcPr>
            <w:tcW w:w="2800" w:type="dxa"/>
            <w:vAlign w:val="bottom"/>
          </w:tcPr>
          <w:p>
            <w:pPr>
              <w:spacing w:after="0"/>
              <w:rPr>
                <w:sz w:val="24"/>
                <w:szCs w:val="24"/>
                <w:color w:val="auto"/>
              </w:rPr>
            </w:pPr>
          </w:p>
        </w:tc>
        <w:tc>
          <w:tcPr>
            <w:tcW w:w="2860" w:type="dxa"/>
            <w:vAlign w:val="bottom"/>
            <w:gridSpan w:val="2"/>
            <w:vMerge w:val="restart"/>
          </w:tcPr>
          <w:p>
            <w:pPr>
              <w:jc w:val="right"/>
              <w:ind w:right="1168"/>
              <w:spacing w:after="0"/>
              <w:rPr>
                <w:sz w:val="20"/>
                <w:szCs w:val="20"/>
                <w:color w:val="auto"/>
              </w:rPr>
            </w:pPr>
            <w:r>
              <w:rPr>
                <w:rFonts w:ascii="Arial" w:cs="Arial" w:eastAsia="Arial" w:hAnsi="Arial"/>
                <w:sz w:val="14"/>
                <w:szCs w:val="14"/>
                <w:b w:val="1"/>
                <w:bCs w:val="1"/>
                <w:color w:val="auto"/>
              </w:rPr>
              <w:t>66211</w:t>
            </w:r>
          </w:p>
        </w:tc>
        <w:tc>
          <w:tcPr>
            <w:tcW w:w="0" w:type="dxa"/>
            <w:vAlign w:val="bottom"/>
          </w:tcPr>
          <w:p>
            <w:pPr>
              <w:spacing w:after="0"/>
              <w:rPr>
                <w:sz w:val="1"/>
                <w:szCs w:val="1"/>
                <w:color w:val="auto"/>
              </w:rPr>
            </w:pPr>
          </w:p>
        </w:tc>
      </w:tr>
      <w:tr>
        <w:trPr>
          <w:trHeight w:val="186"/>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9"/>
              </w:rPr>
              <w:t>LEAWOOD, KANSAS</w:t>
            </w:r>
          </w:p>
        </w:tc>
        <w:tc>
          <w:tcPr>
            <w:tcW w:w="2800" w:type="dxa"/>
            <w:vAlign w:val="bottom"/>
          </w:tcPr>
          <w:p>
            <w:pPr>
              <w:spacing w:after="0"/>
              <w:rPr>
                <w:sz w:val="16"/>
                <w:szCs w:val="16"/>
                <w:color w:val="auto"/>
              </w:rPr>
            </w:pPr>
          </w:p>
        </w:tc>
        <w:tc>
          <w:tcPr>
            <w:tcW w:w="2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2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67"/>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jc w:val="right"/>
              <w:ind w:right="642"/>
              <w:spacing w:after="0"/>
              <w:rPr>
                <w:sz w:val="20"/>
                <w:szCs w:val="20"/>
                <w:color w:val="auto"/>
              </w:rPr>
            </w:pPr>
            <w:r>
              <w:rPr>
                <w:rFonts w:ascii="Arial" w:cs="Arial" w:eastAsia="Arial" w:hAnsi="Arial"/>
                <w:sz w:val="14"/>
                <w:szCs w:val="14"/>
                <w:b w:val="1"/>
                <w:bCs w:val="1"/>
                <w:color w:val="auto"/>
              </w:rPr>
              <w:t>(913) 327-4200</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60" w:type="dxa"/>
            <w:vAlign w:val="bottom"/>
            <w:gridSpan w:val="3"/>
          </w:tcPr>
          <w:p>
            <w:pPr>
              <w:jc w:val="center"/>
              <w:ind w:right="230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378"/>
        </w:trPr>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940" w:type="dxa"/>
            <w:vAlign w:val="bottom"/>
            <w:gridSpan w:val="4"/>
          </w:tcPr>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512"/>
        </w:trPr>
        <w:tc>
          <w:tcPr>
            <w:tcW w:w="140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91"/>
              </w:rPr>
              <w:t>Title of Each Class</w:t>
            </w: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840" w:type="dxa"/>
            <w:vAlign w:val="bottom"/>
            <w:gridSpan w:val="3"/>
          </w:tcPr>
          <w:p>
            <w:pPr>
              <w:jc w:val="center"/>
              <w:ind w:left="805"/>
              <w:spacing w:after="0"/>
              <w:rPr>
                <w:sz w:val="20"/>
                <w:szCs w:val="20"/>
                <w:color w:val="auto"/>
              </w:rPr>
            </w:pPr>
            <w:r>
              <w:rPr>
                <w:rFonts w:ascii="Arial" w:cs="Arial" w:eastAsia="Arial" w:hAnsi="Arial"/>
                <w:sz w:val="14"/>
                <w:szCs w:val="14"/>
                <w:b w:val="1"/>
                <w:bCs w:val="1"/>
                <w:color w:val="auto"/>
                <w:w w:val="92"/>
              </w:rPr>
              <w:t>Common Stock, $0.02 par value</w:t>
            </w:r>
          </w:p>
        </w:tc>
        <w:tc>
          <w:tcPr>
            <w:tcW w:w="2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r>
        <w:trPr>
          <w:trHeight w:val="203"/>
        </w:trPr>
        <w:tc>
          <w:tcPr>
            <w:tcW w:w="5640" w:type="dxa"/>
            <w:vAlign w:val="bottom"/>
            <w:gridSpan w:val="4"/>
          </w:tcPr>
          <w:p>
            <w:pPr>
              <w:jc w:val="center"/>
              <w:ind w:right="1842"/>
              <w:spacing w:after="0"/>
              <w:rPr>
                <w:sz w:val="20"/>
                <w:szCs w:val="20"/>
                <w:color w:val="auto"/>
              </w:rPr>
            </w:pPr>
            <w:r>
              <w:rPr>
                <w:rFonts w:ascii="Arial" w:cs="Arial" w:eastAsia="Arial" w:hAnsi="Arial"/>
                <w:sz w:val="14"/>
                <w:szCs w:val="14"/>
                <w:b w:val="1"/>
                <w:bCs w:val="1"/>
                <w:color w:val="auto"/>
                <w:w w:val="91"/>
              </w:rPr>
              <w:t>Preferred Stock Purchase Rights</w:t>
            </w:r>
          </w:p>
        </w:tc>
        <w:tc>
          <w:tcPr>
            <w:tcW w:w="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6"/>
              </w:rPr>
              <w:t>Nasdaq Stock Market, LLC</w:t>
            </w:r>
          </w:p>
        </w:tc>
        <w:tc>
          <w:tcPr>
            <w:tcW w:w="0" w:type="dxa"/>
            <w:vAlign w:val="bottom"/>
          </w:tcPr>
          <w:p>
            <w:pPr>
              <w:spacing w:after="0"/>
              <w:rPr>
                <w:sz w:val="1"/>
                <w:szCs w:val="1"/>
                <w:color w:val="auto"/>
              </w:rPr>
            </w:pPr>
          </w:p>
        </w:tc>
      </w:tr>
    </w:tbl>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5"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8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340"/>
          </w:cols>
          <w:pgMar w:left="240" w:top="477" w:right="319" w:bottom="1440" w:gutter="0" w:footer="0" w:header="0"/>
        </w:sectPr>
      </w:pPr>
    </w:p>
    <w:bookmarkStart w:id="1" w:name="page2"/>
    <w:bookmarkEnd w:id="1"/>
    <w:p>
      <w:pPr>
        <w:spacing w:after="0" w:line="287"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5" w:lineRule="exact"/>
        <w:rPr>
          <w:sz w:val="20"/>
          <w:szCs w:val="20"/>
          <w:color w:val="auto"/>
        </w:rPr>
      </w:pPr>
    </w:p>
    <w:p>
      <w:pPr>
        <w:ind w:left="540"/>
        <w:spacing w:after="0" w:line="184" w:lineRule="exact"/>
        <w:tabs>
          <w:tab w:leader="none" w:pos="3520" w:val="left"/>
          <w:tab w:leader="none" w:pos="6020" w:val="left"/>
          <w:tab w:leader="none" w:pos="890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(Do not check if a smaller reporting company)</w:t>
      </w:r>
    </w:p>
    <w:p>
      <w:pPr>
        <w:spacing w:after="0" w:line="23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As of June 30, 2014, the aggregate market value of the voting and non-voting common equity held by non-affiliates of the registrant was approximately $2.4 billion. The aggregate market value was determined based on the closing price of the Common Stock on June 30, 2014.</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25, 2015, the registrant had 51,687,774 shares of Common Stock outstanding.</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225"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Portions of the registrant's Proxy Statement for its 2015 Annual Meeting of Stockholders, which will be filed with the Securities and Exchange Commission no later than 120 days after December 31, 2014,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287655</wp:posOffset>
            </wp:positionV>
            <wp:extent cx="72034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201295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520" w:type="dxa"/>
            <w:vAlign w:val="bottom"/>
            <w:gridSpan w:val="7"/>
          </w:tcPr>
          <w:p>
            <w:pPr>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9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0"/>
              </w:rPr>
              <w:t>Item Number</w:t>
            </w:r>
          </w:p>
        </w:tc>
        <w:tc>
          <w:tcPr>
            <w:tcW w:w="520" w:type="dxa"/>
            <w:vAlign w:val="bottom"/>
          </w:tcPr>
          <w:p>
            <w:pPr>
              <w:spacing w:after="0"/>
              <w:rPr>
                <w:sz w:val="24"/>
                <w:szCs w:val="24"/>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Description</w:t>
            </w:r>
          </w:p>
        </w:tc>
        <w:tc>
          <w:tcPr>
            <w:tcW w:w="75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0"/>
              </w:rPr>
              <w:t>Page</w:t>
            </w:r>
          </w:p>
        </w:tc>
      </w:tr>
      <w:tr>
        <w:trPr>
          <w:trHeight w:val="480"/>
        </w:trPr>
        <w:tc>
          <w:tcPr>
            <w:tcW w:w="40" w:type="dxa"/>
            <w:vAlign w:val="bottom"/>
          </w:tcPr>
          <w:p>
            <w:pPr>
              <w:spacing w:after="0"/>
              <w:rPr>
                <w:sz w:val="24"/>
                <w:szCs w:val="24"/>
                <w:color w:val="auto"/>
              </w:rPr>
            </w:pPr>
          </w:p>
        </w:tc>
        <w:tc>
          <w:tcPr>
            <w:tcW w:w="400" w:type="dxa"/>
            <w:vAlign w:val="bottom"/>
            <w:tcBorders>
              <w:bottom w:val="single" w:sz="8" w:color="0000EE"/>
            </w:tcBorders>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Part I</w:t>
              </w:r>
            </w:hyperlink>
          </w:p>
        </w:tc>
        <w:tc>
          <w:tcPr>
            <w:tcW w:w="108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w:t>
            </w:r>
          </w:p>
        </w:tc>
        <w:tc>
          <w:tcPr>
            <w:tcW w:w="880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80" w:type="dxa"/>
            <w:vAlign w:val="bottom"/>
            <w:gridSpan w:val="5"/>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IA.</w:t>
            </w:r>
          </w:p>
        </w:tc>
        <w:tc>
          <w:tcPr>
            <w:tcW w:w="880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080" w:type="dxa"/>
            <w:vAlign w:val="bottom"/>
            <w:gridSpan w:val="5"/>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19</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1B.</w:t>
            </w:r>
          </w:p>
        </w:tc>
        <w:tc>
          <w:tcPr>
            <w:tcW w:w="880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Unresolved Staff Comments</w:t>
              </w:r>
            </w:hyperlink>
          </w:p>
        </w:tc>
        <w:tc>
          <w:tcPr>
            <w:tcW w:w="1080" w:type="dxa"/>
            <w:vAlign w:val="bottom"/>
            <w:gridSpan w:val="5"/>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33</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Properties</w:t>
              </w:r>
            </w:hyperlink>
          </w:p>
        </w:tc>
        <w:tc>
          <w:tcPr>
            <w:tcW w:w="1300" w:type="dxa"/>
            <w:vAlign w:val="bottom"/>
            <w:gridSpan w:val="6"/>
          </w:tcPr>
          <w:p>
            <w:pPr>
              <w:spacing w:after="0"/>
              <w:rPr>
                <w:sz w:val="21"/>
                <w:szCs w:val="21"/>
                <w:color w:val="auto"/>
              </w:rPr>
            </w:pPr>
          </w:p>
        </w:tc>
        <w:tc>
          <w:tcPr>
            <w:tcW w:w="6760" w:type="dxa"/>
            <w:vAlign w:val="bottom"/>
            <w:gridSpan w:val="11"/>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5"/>
          </w:tcPr>
          <w:p>
            <w:pPr>
              <w:spacing w:after="0"/>
              <w:rPr>
                <w:rFonts w:ascii="Arial" w:cs="Arial" w:eastAsia="Arial" w:hAnsi="Arial"/>
                <w:sz w:val="18"/>
                <w:szCs w:val="18"/>
                <w:color w:val="0000FF"/>
                <w:w w:val="87"/>
              </w:rPr>
            </w:pPr>
            <w:r>
              <w:rPr>
                <w:rFonts w:ascii="Arial" w:cs="Arial" w:eastAsia="Arial" w:hAnsi="Arial"/>
                <w:sz w:val="18"/>
                <w:szCs w:val="18"/>
                <w:color w:val="0000FF"/>
                <w:w w:val="87"/>
              </w:rPr>
              <w:t xml:space="preserve">Legal </w:t>
            </w:r>
            <w:hyperlink w:anchor="page34">
              <w:r>
                <w:rPr>
                  <w:rFonts w:ascii="Arial" w:cs="Arial" w:eastAsia="Arial" w:hAnsi="Arial"/>
                  <w:sz w:val="18"/>
                  <w:szCs w:val="18"/>
                  <w:color w:val="0000FF"/>
                  <w:w w:val="87"/>
                </w:rPr>
                <w:t>Proceedings</w:t>
              </w:r>
            </w:hyperlink>
          </w:p>
        </w:tc>
        <w:tc>
          <w:tcPr>
            <w:tcW w:w="7460" w:type="dxa"/>
            <w:vAlign w:val="bottom"/>
            <w:gridSpan w:val="1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Mine Safety Disclosures</w:t>
              </w:r>
            </w:hyperlink>
          </w:p>
        </w:tc>
        <w:tc>
          <w:tcPr>
            <w:tcW w:w="7080" w:type="dxa"/>
            <w:vAlign w:val="bottom"/>
            <w:gridSpan w:val="13"/>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34</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320" w:type="dxa"/>
            <w:vAlign w:val="bottom"/>
            <w:tcBorders>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6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4">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Market for Registrant’s Common Equity, Related Stockholder Matters and Issuer Purchases of Equity Securities</w:t>
              </w:r>
            </w:hyperlink>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720" w:type="dxa"/>
            <w:vAlign w:val="bottom"/>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38</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5"/>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Management’s Discussion and Analysis of Financial Condition and Results of Operations</w:t>
              </w:r>
            </w:hyperlink>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1"/>
                <w:szCs w:val="21"/>
                <w:color w:val="auto"/>
              </w:rPr>
            </w:pPr>
          </w:p>
        </w:tc>
        <w:tc>
          <w:tcPr>
            <w:tcW w:w="2340" w:type="dxa"/>
            <w:vAlign w:val="bottom"/>
            <w:gridSpan w:val="4"/>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65</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Financial Statements and Supplementary Data</w:t>
              </w:r>
            </w:hyperlink>
          </w:p>
        </w:tc>
        <w:tc>
          <w:tcPr>
            <w:tcW w:w="4440" w:type="dxa"/>
            <w:vAlign w:val="bottom"/>
            <w:gridSpan w:val="6"/>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66">
              <w:r>
                <w:rPr>
                  <w:rFonts w:ascii="Arial" w:cs="Arial" w:eastAsia="Arial" w:hAnsi="Arial"/>
                  <w:sz w:val="18"/>
                  <w:szCs w:val="18"/>
                  <w:color w:val="0000FF"/>
                </w:rPr>
                <w:t>67</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08">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8">
              <w:r>
                <w:rPr>
                  <w:rFonts w:ascii="Arial" w:cs="Arial" w:eastAsia="Arial" w:hAnsi="Arial"/>
                  <w:sz w:val="18"/>
                  <w:szCs w:val="18"/>
                  <w:color w:val="0000FF"/>
                  <w:w w:val="79"/>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4"/>
              </w:rPr>
            </w:pPr>
            <w:hyperlink w:anchor="page109">
              <w:r>
                <w:rPr>
                  <w:rFonts w:ascii="Arial" w:cs="Arial" w:eastAsia="Arial" w:hAnsi="Arial"/>
                  <w:sz w:val="18"/>
                  <w:szCs w:val="18"/>
                  <w:color w:val="0000EE"/>
                  <w:w w:val="84"/>
                </w:rPr>
                <w:t>Controls and Procedures</w:t>
              </w:r>
            </w:hyperlink>
          </w:p>
        </w:tc>
        <w:tc>
          <w:tcPr>
            <w:tcW w:w="7080" w:type="dxa"/>
            <w:vAlign w:val="bottom"/>
            <w:gridSpan w:val="13"/>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108</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9B.</w:t>
            </w:r>
          </w:p>
        </w:tc>
        <w:tc>
          <w:tcPr>
            <w:tcW w:w="13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109">
              <w:r>
                <w:rPr>
                  <w:rFonts w:ascii="Arial" w:cs="Arial" w:eastAsia="Arial" w:hAnsi="Arial"/>
                  <w:sz w:val="18"/>
                  <w:szCs w:val="18"/>
                  <w:color w:val="0000EE"/>
                  <w:w w:val="92"/>
                </w:rPr>
                <w:t>Other Information</w:t>
              </w:r>
            </w:hyperlink>
          </w:p>
        </w:tc>
        <w:tc>
          <w:tcPr>
            <w:tcW w:w="7460" w:type="dxa"/>
            <w:vAlign w:val="bottom"/>
            <w:gridSpan w:val="14"/>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09">
              <w:r>
                <w:rPr>
                  <w:rFonts w:ascii="Arial" w:cs="Arial" w:eastAsia="Arial" w:hAnsi="Arial"/>
                  <w:sz w:val="18"/>
                  <w:szCs w:val="18"/>
                  <w:color w:val="0000FF"/>
                  <w:w w:val="79"/>
                </w:rPr>
                <w:t>109</w:t>
              </w:r>
            </w:hyperlink>
          </w:p>
        </w:tc>
      </w:tr>
      <w:tr>
        <w:trPr>
          <w:trHeight w:val="480"/>
        </w:trPr>
        <w:tc>
          <w:tcPr>
            <w:tcW w:w="40" w:type="dxa"/>
            <w:vAlign w:val="bottom"/>
          </w:tcPr>
          <w:p>
            <w:pPr>
              <w:spacing w:after="0"/>
              <w:rPr>
                <w:sz w:val="24"/>
                <w:szCs w:val="24"/>
                <w:color w:val="auto"/>
              </w:rPr>
            </w:pPr>
          </w:p>
        </w:tc>
        <w:tc>
          <w:tcPr>
            <w:tcW w:w="148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r>
      <w:tr>
        <w:trPr>
          <w:trHeight w:val="20"/>
        </w:trPr>
        <w:tc>
          <w:tcPr>
            <w:tcW w:w="40" w:type="dxa"/>
            <w:vAlign w:val="bottom"/>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20" w:type="dxa"/>
            <w:vAlign w:val="bottom"/>
            <w:tcBorders>
              <w:right w:val="single" w:sz="8" w:color="0000FF"/>
            </w:tcBorders>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Directors, Executive Officers and Corporate Governance</w:t>
              </w:r>
            </w:hyperlink>
          </w:p>
        </w:tc>
        <w:tc>
          <w:tcPr>
            <w:tcW w:w="4700" w:type="dxa"/>
            <w:vAlign w:val="bottom"/>
            <w:gridSpan w:val="7"/>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109</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11.</w:t>
            </w:r>
          </w:p>
        </w:tc>
        <w:tc>
          <w:tcPr>
            <w:tcW w:w="880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Executive Compensation</w:t>
              </w:r>
            </w:hyperlink>
          </w:p>
        </w:tc>
        <w:tc>
          <w:tcPr>
            <w:tcW w:w="1080" w:type="dxa"/>
            <w:vAlign w:val="bottom"/>
            <w:gridSpan w:val="5"/>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gridSpan w:val="2"/>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109</w:t>
              </w:r>
            </w:hyperlink>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5"/>
          </w:tcPr>
          <w:p>
            <w:pPr>
              <w:spacing w:after="0"/>
              <w:rPr>
                <w:sz w:val="21"/>
                <w:szCs w:val="21"/>
                <w:color w:val="auto"/>
              </w:rPr>
            </w:pPr>
          </w:p>
        </w:tc>
        <w:tc>
          <w:tcPr>
            <w:tcW w:w="820" w:type="dxa"/>
            <w:vAlign w:val="bottom"/>
            <w:gridSpan w:val="2"/>
          </w:tcPr>
          <w:p>
            <w:pPr>
              <w:spacing w:after="0"/>
              <w:rPr>
                <w:sz w:val="21"/>
                <w:szCs w:val="21"/>
                <w:color w:val="auto"/>
              </w:rPr>
            </w:pPr>
          </w:p>
        </w:tc>
        <w:tc>
          <w:tcPr>
            <w:tcW w:w="260" w:type="dxa"/>
            <w:vAlign w:val="bottom"/>
            <w:tcBorders>
              <w:bottom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109</w:t>
              </w:r>
            </w:hyperlink>
          </w:p>
        </w:tc>
      </w:tr>
      <w:tr>
        <w:trPr>
          <w:trHeight w:val="270"/>
        </w:trPr>
        <w:tc>
          <w:tcPr>
            <w:tcW w:w="40" w:type="dxa"/>
            <w:vAlign w:val="bottom"/>
          </w:tcPr>
          <w:p>
            <w:pPr>
              <w:spacing w:after="0"/>
              <w:rPr>
                <w:sz w:val="23"/>
                <w:szCs w:val="23"/>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9"/>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Principal Accounting Fees and Services</w:t>
              </w:r>
            </w:hyperlink>
          </w:p>
        </w:tc>
        <w:tc>
          <w:tcPr>
            <w:tcW w:w="1080" w:type="dxa"/>
            <w:vAlign w:val="bottom"/>
            <w:gridSpan w:val="5"/>
          </w:tcPr>
          <w:p>
            <w:pPr>
              <w:jc w:val="right"/>
              <w:spacing w:after="0"/>
              <w:rPr>
                <w:rFonts w:ascii="Arial" w:cs="Arial" w:eastAsia="Arial" w:hAnsi="Arial"/>
                <w:sz w:val="18"/>
                <w:szCs w:val="18"/>
                <w:color w:val="0000FF"/>
              </w:rPr>
            </w:pPr>
            <w:hyperlink w:anchor="page110">
              <w:r>
                <w:rPr>
                  <w:rFonts w:ascii="Arial" w:cs="Arial" w:eastAsia="Arial" w:hAnsi="Arial"/>
                  <w:sz w:val="18"/>
                  <w:szCs w:val="18"/>
                  <w:color w:val="0000FF"/>
                </w:rPr>
                <w:t>109</w:t>
              </w:r>
            </w:hyperlink>
          </w:p>
        </w:tc>
      </w:tr>
      <w:tr>
        <w:trPr>
          <w:trHeight w:val="460"/>
        </w:trPr>
        <w:tc>
          <w:tcPr>
            <w:tcW w:w="40" w:type="dxa"/>
            <w:vAlign w:val="bottom"/>
          </w:tcPr>
          <w:p>
            <w:pPr>
              <w:spacing w:after="0"/>
              <w:rPr>
                <w:sz w:val="24"/>
                <w:szCs w:val="24"/>
                <w:color w:val="auto"/>
              </w:rPr>
            </w:pPr>
          </w:p>
        </w:tc>
        <w:tc>
          <w:tcPr>
            <w:tcW w:w="520" w:type="dxa"/>
            <w:vAlign w:val="bottom"/>
            <w:gridSpan w:val="4"/>
          </w:tcPr>
          <w:p>
            <w:pPr>
              <w:spacing w:after="0"/>
              <w:rPr>
                <w:rFonts w:ascii="Arial" w:cs="Arial" w:eastAsia="Arial" w:hAnsi="Arial"/>
                <w:sz w:val="18"/>
                <w:szCs w:val="18"/>
                <w:color w:val="0000EE"/>
                <w:w w:val="90"/>
              </w:rPr>
            </w:pPr>
            <w:hyperlink w:anchor="page110">
              <w:r>
                <w:rPr>
                  <w:rFonts w:ascii="Arial" w:cs="Arial" w:eastAsia="Arial" w:hAnsi="Arial"/>
                  <w:sz w:val="18"/>
                  <w:szCs w:val="18"/>
                  <w:color w:val="0000EE"/>
                  <w:w w:val="90"/>
                </w:rPr>
                <w:t>Part IV</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260" w:type="dxa"/>
            <w:vAlign w:val="bottom"/>
            <w:tcBorders>
              <w:top w:val="single" w:sz="8" w:color="0000FF"/>
            </w:tcBorders>
            <w:gridSpan w:val="3"/>
          </w:tcPr>
          <w:p>
            <w:pPr>
              <w:jc w:val="right"/>
              <w:spacing w:after="0"/>
              <w:rPr>
                <w:rFonts w:ascii="Arial" w:cs="Arial" w:eastAsia="Arial" w:hAnsi="Arial"/>
                <w:sz w:val="18"/>
                <w:szCs w:val="18"/>
                <w:color w:val="0000FF"/>
                <w:w w:val="79"/>
              </w:rPr>
            </w:pPr>
            <w:hyperlink w:anchor="page110">
              <w:r>
                <w:rPr>
                  <w:rFonts w:ascii="Arial" w:cs="Arial" w:eastAsia="Arial" w:hAnsi="Arial"/>
                  <w:sz w:val="18"/>
                  <w:szCs w:val="18"/>
                  <w:color w:val="0000FF"/>
                  <w:w w:val="79"/>
                </w:rPr>
                <w:t>110</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20" w:type="dxa"/>
            <w:vAlign w:val="bottom"/>
            <w:gridSpan w:val="8"/>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80" w:type="dxa"/>
            <w:vAlign w:val="bottom"/>
            <w:gridSpan w:val="6"/>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0"/>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Exhibits and Financial Statement Schedules</w:t>
              </w:r>
            </w:hyperlink>
          </w:p>
        </w:tc>
        <w:tc>
          <w:tcPr>
            <w:tcW w:w="5640" w:type="dxa"/>
            <w:vAlign w:val="bottom"/>
            <w:gridSpan w:val="9"/>
          </w:tcPr>
          <w:p>
            <w:pPr>
              <w:spacing w:after="0"/>
              <w:rPr>
                <w:sz w:val="21"/>
                <w:szCs w:val="21"/>
                <w:color w:val="auto"/>
              </w:rPr>
            </w:pPr>
          </w:p>
        </w:tc>
        <w:tc>
          <w:tcPr>
            <w:tcW w:w="1080" w:type="dxa"/>
            <w:vAlign w:val="bottom"/>
            <w:gridSpan w:val="5"/>
          </w:tcPr>
          <w:p>
            <w:pPr>
              <w:jc w:val="right"/>
              <w:spacing w:after="0"/>
              <w:rPr>
                <w:rFonts w:ascii="Arial" w:cs="Arial" w:eastAsia="Arial" w:hAnsi="Arial"/>
                <w:sz w:val="18"/>
                <w:szCs w:val="18"/>
                <w:color w:val="0000FF"/>
              </w:rPr>
            </w:pPr>
            <w:hyperlink w:anchor="page111">
              <w:r>
                <w:rPr>
                  <w:rFonts w:ascii="Arial" w:cs="Arial" w:eastAsia="Arial" w:hAnsi="Arial"/>
                  <w:sz w:val="18"/>
                  <w:szCs w:val="18"/>
                  <w:color w:val="0000FF"/>
                </w:rPr>
                <w:t>110</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420" w:type="dxa"/>
            <w:vAlign w:val="bottom"/>
            <w:tcBorders>
              <w:left w:val="single" w:sz="8" w:color="0000EE"/>
            </w:tcBorders>
            <w:gridSpan w:val="8"/>
            <w:shd w:val="clear" w:color="auto" w:fill="0000EE"/>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480"/>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gridSpan w:val="1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Signatures</w:t>
              </w:r>
            </w:hyperlink>
          </w:p>
        </w:tc>
        <w:tc>
          <w:tcPr>
            <w:tcW w:w="5640" w:type="dxa"/>
            <w:vAlign w:val="bottom"/>
            <w:gridSpan w:val="9"/>
          </w:tcPr>
          <w:p>
            <w:pPr>
              <w:spacing w:after="0"/>
              <w:rPr>
                <w:sz w:val="24"/>
                <w:szCs w:val="24"/>
                <w:color w:val="auto"/>
              </w:rPr>
            </w:pPr>
          </w:p>
        </w:tc>
        <w:tc>
          <w:tcPr>
            <w:tcW w:w="1080" w:type="dxa"/>
            <w:vAlign w:val="bottom"/>
            <w:gridSpan w:val="5"/>
          </w:tcPr>
          <w:p>
            <w:pPr>
              <w:jc w:val="right"/>
              <w:spacing w:after="0"/>
              <w:rPr>
                <w:rFonts w:ascii="Arial" w:cs="Arial" w:eastAsia="Arial" w:hAnsi="Arial"/>
                <w:sz w:val="18"/>
                <w:szCs w:val="18"/>
                <w:color w:val="0000EE"/>
              </w:rPr>
            </w:pPr>
            <w:hyperlink w:anchor="page114">
              <w:r>
                <w:rPr>
                  <w:rFonts w:ascii="Arial" w:cs="Arial" w:eastAsia="Arial" w:hAnsi="Arial"/>
                  <w:sz w:val="18"/>
                  <w:szCs w:val="18"/>
                  <w:color w:val="0000EE"/>
                </w:rPr>
                <w:t>114</w:t>
              </w:r>
            </w:hyperlink>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364"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References in this report to </w:t>
      </w:r>
      <w:r>
        <w:rPr>
          <w:rFonts w:ascii="Arial" w:cs="Arial" w:eastAsia="Arial" w:hAnsi="Arial"/>
          <w:sz w:val="18"/>
          <w:szCs w:val="18"/>
          <w:color w:val="auto"/>
        </w:rPr>
        <w:t>“we,” “our,” “us,” the “Company”</w:t>
      </w:r>
      <w:r>
        <w:rPr>
          <w:rFonts w:ascii="Arial" w:cs="Arial" w:eastAsia="Arial" w:hAnsi="Arial"/>
          <w:sz w:val="18"/>
          <w:szCs w:val="18"/>
          <w:i w:val="1"/>
          <w:iCs w:val="1"/>
          <w:color w:val="auto"/>
        </w:rPr>
        <w:t xml:space="preserve"> and </w:t>
      </w:r>
      <w:r>
        <w:rPr>
          <w:rFonts w:ascii="Arial" w:cs="Arial" w:eastAsia="Arial" w:hAnsi="Arial"/>
          <w:sz w:val="18"/>
          <w:szCs w:val="18"/>
          <w:color w:val="auto"/>
        </w:rPr>
        <w:t>“Euronet”</w:t>
      </w:r>
      <w:r>
        <w:rPr>
          <w:rFonts w:ascii="Arial" w:cs="Arial" w:eastAsia="Arial" w:hAnsi="Arial"/>
          <w:sz w:val="18"/>
          <w:szCs w:val="18"/>
          <w:i w:val="1"/>
          <w:iCs w:val="1"/>
          <w:color w:val="auto"/>
        </w:rPr>
        <w:t xml:space="preserve"> refer to Euronet Worldwide, Inc. and its subsidiaries unless the context requires otherwise.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money transfer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Core Business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the following three segments as of December 31, 2014:</w:t>
      </w:r>
    </w:p>
    <w:p>
      <w:pPr>
        <w:spacing w:after="0" w:line="225" w:lineRule="exact"/>
        <w:rPr>
          <w:sz w:val="20"/>
          <w:szCs w:val="20"/>
          <w:color w:val="auto"/>
        </w:rPr>
      </w:pPr>
    </w:p>
    <w:p>
      <w:pPr>
        <w:ind w:left="180" w:right="160"/>
        <w:spacing w:after="0" w:line="272" w:lineRule="auto"/>
        <w:rPr>
          <w:sz w:val="20"/>
          <w:szCs w:val="20"/>
          <w:color w:val="auto"/>
        </w:rPr>
      </w:pPr>
      <w:r>
        <w:rPr>
          <w:rFonts w:ascii="Arial" w:cs="Arial" w:eastAsia="Arial" w:hAnsi="Arial"/>
          <w:sz w:val="17"/>
          <w:szCs w:val="17"/>
          <w:color w:val="auto"/>
        </w:rPr>
        <w:t>The EFT Processing Segment processes transactions for a network of 20,364 ATMs and approximately 69,000 POS terminals across Europe, the Middle East and Asia Pacific. We provide comprehensive electronic payment solutions consisting of ATM cash withdrawal and deposit services, ATM network participation, outsourced ATM and POS management solutions, credit and debit card outsourcing, and card issuing and merchant acquiring services. In addition to our core business, we offer a variety of value added services, including ATM and POS dynamic currency conversion, advertising, customer relationship management (“CRM”), mobile top-up, bill payment, fraud management and foreign remittance payout. Through this segment, we also offer a suite of integrated electronic financial transaction (“EFT”) software solutions for electronic payment and transaction delivery systems. In 2014, the EFT Processing Segment accounted for approximately 22% of Euronet's consolidated revenues.</w:t>
      </w:r>
    </w:p>
    <w:p>
      <w:pPr>
        <w:spacing w:after="0" w:line="178" w:lineRule="exact"/>
        <w:rPr>
          <w:sz w:val="20"/>
          <w:szCs w:val="20"/>
          <w:color w:val="auto"/>
        </w:rPr>
      </w:pPr>
    </w:p>
    <w:p>
      <w:pPr>
        <w:ind w:left="180" w:right="100"/>
        <w:spacing w:after="0" w:line="293" w:lineRule="auto"/>
        <w:rPr>
          <w:sz w:val="20"/>
          <w:szCs w:val="20"/>
          <w:color w:val="auto"/>
        </w:rPr>
      </w:pPr>
      <w:r>
        <w:rPr>
          <w:rFonts w:ascii="Arial" w:cs="Arial" w:eastAsia="Arial" w:hAnsi="Arial"/>
          <w:sz w:val="16"/>
          <w:szCs w:val="16"/>
          <w:color w:val="auto"/>
        </w:rPr>
        <w:t>The epay Segment provides electronic distribution and processing of prepaid mobile airtime and other electronic payment products and collection services for various payment products, cards and services. We operate a network that includes approximately 681,000 POS terminals that enable electronic processing of prepaid mobile airtime “top-up” services and other non-mobile content in Europe, the Middle East, Asia Pacific, the United States and South America. We also provide vouchers and physical gift fulfillment services in Europe, gift card distribution and processing services in most of our markets and digital code distribution in a growing number of markets. Through this segment, we believe we are the world's leading international network for distribution of prepaid mobile airtime. In 2014, the epay Segment accounted for approximately 47% of Euronet's consolidated revenues.</w:t>
      </w:r>
    </w:p>
    <w:p>
      <w:pPr>
        <w:spacing w:after="0" w:line="165" w:lineRule="exact"/>
        <w:rPr>
          <w:sz w:val="20"/>
          <w:szCs w:val="20"/>
          <w:color w:val="auto"/>
        </w:rPr>
      </w:pPr>
    </w:p>
    <w:p>
      <w:pPr>
        <w:ind w:left="180"/>
        <w:spacing w:after="0" w:line="270" w:lineRule="auto"/>
        <w:rPr>
          <w:sz w:val="20"/>
          <w:szCs w:val="20"/>
          <w:color w:val="auto"/>
        </w:rPr>
      </w:pPr>
      <w:r>
        <w:rPr>
          <w:rFonts w:ascii="Arial" w:cs="Arial" w:eastAsia="Arial" w:hAnsi="Arial"/>
          <w:sz w:val="17"/>
          <w:szCs w:val="17"/>
          <w:color w:val="auto"/>
        </w:rPr>
        <w:t>The Money Transfer Segment provides global consumer-to-consumer money transfer services, primarily under the brand names Ria and AFEX Money Express and global account-to-account money transfer services under the brand name HiFX. We offer services under the brand name Ria through a network of sending agents, Company-owned stores (primarily in North America and Europe) and our Ria website (riamoneytransfer.com), disbursing money transfers through a worldwide correspondent network that includes approximately 243,000 locations.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 We are one of the largest global money transfer companies in terms of revenues and transaction volumes. In 2014, the Money Transfer Segment accounted for approximately 31% of Euronet's consolidated revenues.</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Euronet conducts business globally, serving customers in approximately 160 countries. We have eleven transaction processing centers, including five in Europe, four in Asia Pacific and two in North America. We also maintain 54 business offices that are located in 38 countries. Our corporate offices are located in Leawood, Kansas, USA.</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Perspective</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Euronet was established in 1994 as Euronet Bank Access Kft., a Hungarian limited liability company. Operations began in 1995 when we established a processing center in Budapest, Hungary and installed our first ATMs in Hungary, followed by Poland and Germany in 1996. Euronet was reorganized in March 1997, in connection with its initial public offering, and at that time, our operating entities became wholly owned subsidiaries of Euronet Services, Inc., a Delaware corporation. We changed our name from Euronet Services, Inc. to Euronet Worldwide, Inc. in August 2001.</w:t>
      </w:r>
    </w:p>
    <w:p>
      <w:pPr>
        <w:spacing w:after="0" w:line="17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Initially, most of Euronet's resources were devoted to establishing and expanding the ATM network and ATM management services business in Europe. In December 1998, we acquired Arkansas Systems, Inc. (now known as "Euronet USA"), a U.S.-based company that produces electronic payment and transaction delivery systems software for retail banks internationally, which resulted in significant ongoing savings in third-party licensing, services and maintenance costs. By the end of 1998, we were doing business in Hungary, Poland, Germany, the Czech Republic and Croatia.</w:t>
      </w:r>
    </w:p>
    <w:p>
      <w:pPr>
        <w:spacing w:after="0" w:line="15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2005, we expanded the product offerings of the EFT Processing Segment through the acquisition of Instreamline S.A., a Greek company that provides credit card and POS outsourcing services in addition to debit card and transaction gateway switching services in Greece and the Balkan region. In 2007, we combined our EFT and Software segments as both businesses are strategically aligned due to the fact that our software segment primarily supports our EFT service offerings and processing centers. In 2011 Euronet, through one of its group companies, was granted authorization as an e-money institution in the United Kingdom as a result of the Second E-Money Directive (“2EMD”) coming in to force. Euronet also obtained relevant memberships of Visa and MasterCard during 2011. 2EMD enables authorized e-money institutions to provide payment services and issue e-money throughout the European Economic Area under a single regulatory framework. By obtaining the status as an authorized e-money institution together with its principal memberships of Visa and MasterCard, Euronet has been able to expand its Independent ATM Deployed ("IAD") networks across Europe. By the end of 2014, Euronet's network of ATMs had expanded to include Austria, Denmark, France, Greece, Italy, Romania, Serbia, Slovakia, Spain, Ukraine, the U.K., the Middle East, India and China.</w:t>
      </w:r>
    </w:p>
    <w:p>
      <w:pPr>
        <w:spacing w:after="0" w:line="19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2003, Euronet added a complementary business line through the acquisition of epay Limited (“epay”), which had offices in the U.K. and Australia. Through subsequent acquisitions between 2003 and 2010, the epay Segment continued to expand in Europe (Germany, Romania, Spain and the U.K.), the U.S., the Middle East, Asia and Brazil, and established new offices in New Zealand, Poland, India and Italy. We believe the epay Segment is the world's leading international network for distribution and processing of prepaid mobile airtime ("top-up") as well as other electronic payment products and services.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2007, we established the Money Transfer Segment after completing the acquisition of Los Angeles-based Ria, one of the largest global money transfer companies in terms of revenues and transaction volumes. Established in 1987, Ria originates and terminates transactions through a network of sending agents and Company-owned stores located around the world. In November 2009, Ria obtained a payment services license under the Payment Services Directive ("PSD") from the U.K. Financial Services Authority, which allowed Ria to operate under one license and one regulator for all European Economic Area Member States. The license also facilitated expansion into new markets through the sales of money transfers through agents in countries where the use of agents was not previously permitted. In addition to expanding the money transfer network, the segment expanded its product portfolio to offer complementary non-money transfer products such as bill payment and check cashing, and prepaid services in conjunction with the epay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Developments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April 2014, the Company and Wal-Mart Stores, Inc. launched a new money transfer service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w:t>
      </w:r>
    </w:p>
    <w:p>
      <w:pPr>
        <w:spacing w:after="0" w:line="18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May 2014, Euronet completed the acquisition of EIM (FX) Limited and TBK (FM) Limited ("HiFX"), which offers online initiated international payments and foreign exchange services to high-income individuals and small-to-medium sized businesses. HiFX is headquartered in Windsor, U.K., with its customer base located primarily in the U.K., Australia, New Zealand and Europe.</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The convertible notes have an interest rate of 1.5% per annum payable semi-annually in April and October, and are convertible into shares of our Common Stock at a conversion price of approximately $72.18 per share if certain conditions are met (relating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closing prices of our Common Stock exceeding certain thresholds for specified periods). The Company used approximately $64.5 million of the net proceeds of the sale of the convertible note to repurchase 1.2 million shares of its Common Stock at a purchase price per share of $53.47.</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Segment Overview</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For a discussion of operating results by segment, please see Item 7 - Management's Discussion and Analysis of Financial Condition and Results of Operations, and Note 16, Business Segment Information, to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EFT Processing Segment provides comprehensive electronic payment solutions consisting of ATM cash withdrawal and deposit services, ATM network participation, outsourced ATM and POS management solutions, credit and debit card outsourcing; card issuing and merchant acquiring services. In addition to our core business, we offer a variety of value added services, including ATM and POS dynamic currency conversion, advertising, CRM, prepaid mobile top-up, bill payment, fraud management and foreign remittance payout. We provide these services either through our Euronet-owned ATMs and POS terminals, through contracts under which we operate ATMs and POS terminals on behalf of our customers or, for certain services, as stand alone products. Through this segment, we also offer a suite of integrated EFT software solutions for electronic payment and transaction delivery systems.</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 sources of revenues generated by our ATM network are recurring monthly management fees, transaction-based fees and margins earned on dynamic currency conversion transactions. We receive fixed monthly fees under many of our outsourced management contracts. The EFT Processing Segment also generates revenues from POS operations and merchant management, card network management for credit, debit, prepaid and loyalty cards, prepaid mobile airtime recharge on ATMs and ATM advertising. We primarily service financial institutions in the developing markets of Central, Eastern and Southern Europe (Hungary, Poland, the Czech Republic, Croatia, Romania, Slovakia, Serbia, Greece and Ukraine), the Middle East and Asia Pacific (India, China and Pakistan), as well as several developed countries of Western Europe. As of December 31, 2014, we operated 20,364 ATMs compared to 18,311 at December 31, 2013. The increase was largely due to growth in India and expansion of our Independent ATM Deployed ("IAD") networks in several European countries.</w:t>
      </w:r>
    </w:p>
    <w:p>
      <w:pPr>
        <w:spacing w:after="0" w:line="19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monitor the number of transactions made by cardholders on our network. These include cash withdrawals, balance inquiries, deposits, prepaid mobile airtime recharge purchases, dynamic currency conversion transactions and certain denied (unauthorized) transactions. We do not bill certain transactions on our network to financial institutions, and we have excluded these transactions for reporting purposes. The number of transactions processed over our networks has increased over the last five years at a compound annual growth rate (“CAGR”) of approximately 12% as indicated in the following table:</w:t>
      </w:r>
    </w:p>
    <w:p>
      <w:pPr>
        <w:spacing w:after="0" w:line="30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38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2010</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2011</w:t>
            </w: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00" w:type="dxa"/>
            <w:vAlign w:val="bottom"/>
            <w:gridSpan w:val="2"/>
          </w:tcPr>
          <w:p>
            <w:pPr>
              <w:spacing w:after="0"/>
              <w:rPr>
                <w:sz w:val="20"/>
                <w:szCs w:val="20"/>
                <w:color w:val="auto"/>
              </w:rPr>
            </w:pPr>
            <w:r>
              <w:rPr>
                <w:rFonts w:ascii="Arial" w:cs="Arial" w:eastAsia="Arial" w:hAnsi="Arial"/>
                <w:sz w:val="18"/>
                <w:szCs w:val="18"/>
                <w:color w:val="auto"/>
              </w:rPr>
              <w:t>EFT Processing transactions per year</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794</w:t>
            </w:r>
          </w:p>
        </w:tc>
        <w:tc>
          <w:tcPr>
            <w:tcW w:w="860" w:type="dxa"/>
            <w:vAlign w:val="bottom"/>
          </w:tcPr>
          <w:p>
            <w:pPr>
              <w:spacing w:after="0"/>
              <w:rPr>
                <w:sz w:val="22"/>
                <w:szCs w:val="22"/>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w w:val="79"/>
              </w:rPr>
              <w:t>943</w:t>
            </w:r>
          </w:p>
        </w:tc>
        <w:tc>
          <w:tcPr>
            <w:tcW w:w="420" w:type="dxa"/>
            <w:vAlign w:val="bottom"/>
          </w:tcPr>
          <w:p>
            <w:pPr>
              <w:spacing w:after="0"/>
              <w:rPr>
                <w:sz w:val="22"/>
                <w:szCs w:val="22"/>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1,164</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1,188</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1,262</w:t>
            </w:r>
          </w:p>
        </w:tc>
      </w:tr>
    </w:tbl>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Mumbai, India; Beijing, China; and Karachi, Pakistan. They operate 24 hours a day, seven days a week and consist of production IBM iSeries computers, which run the Euronet Integrated Transaction Management (“ITM”) software package.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Outsourced Management Solutions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Euronet offers outsourced management services to financial institutions, merchants, mobile phone operators and other organizations using our processing centers' electronic financial transaction processing software. Our outsourced management services include management of existing ATM networks, development of new ATM networks, management of POS networks, management of automated deposit terminals, management of credit and debit card databases and other financial processing services. These services include 24-hour monitoring of each ATM's status and cash condition, managing the cash levels in each ATM, coordinating the cash delivery and providing automatic dispatches for necessary service calls. We also provide real-time transaction authorization, advanced monitoring, network gateway access, network switching, 24-hour customer service, maintenance, cash settlement and reconciliation, forecasting and reporting. Since our infrastructure can support a significant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increase in transactions, any new outsourced management services agreements should provide additional revenue with lower incremental cost.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Our outsourced management services agreements generally provide for fixed monthly management fees and, in most cases, fees payable for each transaction.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transaction fees under these agreements are generally lower than those under card acceptance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Euronet-Branded ATM Transaction Processing</w:t>
      </w:r>
    </w:p>
    <w:p>
      <w:pPr>
        <w:spacing w:after="0" w:line="225"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Our Euronet-branded ATM networks, also known as IAD networks, are primarily managed by a processing center that uses our internally developed ITM core software solution. The ATMs in our IAD networks are able to process transactions for holders of credit and debit cards issued by or bearing the logos of financial institutions and international card organizations such as American Express</w:t>
      </w:r>
      <w:r>
        <w:rPr>
          <w:rFonts w:ascii="Arial" w:cs="Arial" w:eastAsia="Arial" w:hAnsi="Arial"/>
          <w:sz w:val="24"/>
          <w:szCs w:val="24"/>
          <w:color w:val="auto"/>
          <w:vertAlign w:val="superscript"/>
        </w:rPr>
        <w:t>®</w:t>
      </w:r>
      <w:r>
        <w:rPr>
          <w:rFonts w:ascii="Arial" w:cs="Arial" w:eastAsia="Arial" w:hAnsi="Arial"/>
          <w:sz w:val="17"/>
          <w:szCs w:val="17"/>
          <w:color w:val="auto"/>
        </w:rPr>
        <w:t>, Visa</w:t>
      </w:r>
      <w:r>
        <w:rPr>
          <w:rFonts w:ascii="Arial" w:cs="Arial" w:eastAsia="Arial" w:hAnsi="Arial"/>
          <w:sz w:val="24"/>
          <w:szCs w:val="24"/>
          <w:color w:val="auto"/>
          <w:vertAlign w:val="superscript"/>
        </w:rPr>
        <w:t>®</w:t>
      </w:r>
      <w:r>
        <w:rPr>
          <w:rFonts w:ascii="Arial" w:cs="Arial" w:eastAsia="Arial" w:hAnsi="Arial"/>
          <w:sz w:val="17"/>
          <w:szCs w:val="17"/>
          <w:color w:val="auto"/>
        </w:rPr>
        <w:t>, MasterCard</w:t>
      </w:r>
      <w:r>
        <w:rPr>
          <w:rFonts w:ascii="Arial" w:cs="Arial" w:eastAsia="Arial" w:hAnsi="Arial"/>
          <w:sz w:val="24"/>
          <w:szCs w:val="24"/>
          <w:color w:val="auto"/>
          <w:vertAlign w:val="superscript"/>
        </w:rPr>
        <w:t>®</w:t>
      </w:r>
      <w:r>
        <w:rPr>
          <w:rFonts w:ascii="Arial" w:cs="Arial" w:eastAsia="Arial" w:hAnsi="Arial"/>
          <w:sz w:val="17"/>
          <w:szCs w:val="17"/>
          <w:color w:val="auto"/>
        </w:rPr>
        <w:t>, Diners Club International</w:t>
      </w:r>
      <w:r>
        <w:rPr>
          <w:rFonts w:ascii="Arial" w:cs="Arial" w:eastAsia="Arial" w:hAnsi="Arial"/>
          <w:sz w:val="24"/>
          <w:szCs w:val="24"/>
          <w:color w:val="auto"/>
          <w:vertAlign w:val="superscript"/>
        </w:rPr>
        <w:t>®</w:t>
      </w:r>
      <w:r>
        <w:rPr>
          <w:rFonts w:ascii="Arial" w:cs="Arial" w:eastAsia="Arial" w:hAnsi="Arial"/>
          <w:sz w:val="17"/>
          <w:szCs w:val="17"/>
          <w:color w:val="auto"/>
        </w:rPr>
        <w:t>, Discover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China Union Pay, as well as international ATM networks such as PULSE</w:t>
      </w:r>
      <w:r>
        <w:rPr>
          <w:rFonts w:ascii="Arial" w:cs="Arial" w:eastAsia="Arial" w:hAnsi="Arial"/>
          <w:sz w:val="24"/>
          <w:szCs w:val="24"/>
          <w:color w:val="auto"/>
          <w:vertAlign w:val="superscript"/>
        </w:rPr>
        <w:t>®</w:t>
      </w:r>
      <w:r>
        <w:rPr>
          <w:rFonts w:ascii="Arial" w:cs="Arial" w:eastAsia="Arial" w:hAnsi="Arial"/>
          <w:sz w:val="17"/>
          <w:szCs w:val="17"/>
          <w:color w:val="auto"/>
        </w:rPr>
        <w:t>. This is accomplished through our agreements and relationships with these institutions, international credit and debit card issuers and international card associations.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When a bank cardholder conducts a transaction on a Euronet-owned ATM or ADT, we receive a fee from the cardholder's bank for that transaction. The bank pays us this fee either directly or indirectly through a central switching and settlement network. When paid indirectly, this fee is referred to as the “interchange fee.” All of the banks in a shared ATM and POS switching system establish the amount of the interchange fee by agreement. We receive transaction-processing fees for successful transactions and, in certain circumstances, for transactions that are not completed because they fail to receive authorization. The fees paid to us by the card issuers are independent of any fees charged by the card issuers to cardholders in connection with the ATM transactions.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generally receive fees or earn margin from our customers for six types of ATM transactions:</w:t>
      </w:r>
    </w:p>
    <w:p>
      <w:pPr>
        <w:spacing w:after="0" w:line="225" w:lineRule="exact"/>
        <w:rPr>
          <w:sz w:val="20"/>
          <w:szCs w:val="20"/>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Cash withdrawals;</w:t>
      </w:r>
    </w:p>
    <w:p>
      <w:pPr>
        <w:spacing w:after="0" w:line="225" w:lineRule="exact"/>
        <w:rPr>
          <w:rFonts w:ascii="Arial" w:cs="Arial" w:eastAsia="Arial" w:hAnsi="Arial"/>
          <w:sz w:val="18"/>
          <w:szCs w:val="18"/>
          <w:color w:val="auto"/>
        </w:rPr>
      </w:pPr>
    </w:p>
    <w:p>
      <w:pPr>
        <w:ind w:left="420" w:hanging="250"/>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deposits;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Balance inquiries;</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Transactions not completed because the relevant card issuer does not give authorization;</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Dynamic currency conversion;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Prepaid telecommunication recharges.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 Acceptance or Sponsorship Agreements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financial institutions and international card organizations generally provide that all credit and debit cards issued by the customer financial institution or organization may be used at all ATMs that we operate in a given market. In most markets, we have agreements with a financial institution under which we are designated as a service provider (which we refer to as “sponsorship agreements”) for the acceptance of cards bearing international logos, such as Visa and MasterCard. These card acceptance or sponsorship agreements allow us to receive transaction authorization directly from the card issuing institution or international card organization. Our agreements generally provide for a term of three to seven years and renew automatically unless either party provides notice of non-renewal prior to the termination date. In some cases, the agreements are terminable by either party upon six months' notice. We are generally able to connect a financial institution to our network within 30 to 90 days of signing a card acceptance agreement. Generally, the financial institution provides the cash needed to complete transactions on the ATM, but we do provide a portion of the cash to our IAD network to fund ATM transactions ourselves. Euronet is generally liable for the cash in the ATM networks.</w:t>
      </w:r>
    </w:p>
    <w:p>
      <w:pPr>
        <w:spacing w:after="0" w:line="18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Under our card acceptance agreements, the ATM transaction fees we charge vary depending on the type of transaction and the number of transactions attributable to a particular card issuer. Our agreements generally provide for payment in local currency. Transaction fees are sometimes denominated in euros or U.S. dollars. Transaction fees are billed to financial institutions and card organizations with payment terms typically no longer than one month.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Currency Conversion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offer dynamic currency conversion (“DCC”) over our IAD networks, ATM networks that we operate on an outsourced basis for banks, and over banks' ATM networks or POS devices as a stand-alone service. DCC is a feature of the underlying ATM or POS transaction that is offered to customers completing transactions using a foreign debit or credit card in another country. The customer is offered a choice between two alternatives for the foreign exchange conversion of the funds delivered at an ATM or transactions completed through the POS terminal by the transaction acquirer, the first being the DCC offering which results in a pre-defined amount of the customer's local currency being charged to their card. Alternatively, the customer may have the transaction converted in the ordinary way, in which the amount of foreign currency is communicated to the card issuing bank and the card issuing bank makes the conversion. In this latter case, the customer generally is not informed of the exchange rate used by the card issuing bank until settlement of the transaction.</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When a customer chooses DCC at an ATM or POS device and Euronet acts as the acquirer or processor, we receive all or a portion of the foreign exchange margin on the conversion of the transaction. On our IAD ATMs, Euronet receives the entire exchange margin.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 and Services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network of owned or operated ATMs allows for the sale of financial and other products or services at a low incremental cost. We have developed value added services in addition to basic cash withdrawal and balance inquiry transactions. These value added services include dynamic currency conversion, mobile top-up, fraud management, bill payment, CRM, foreign remittance payout, and advertising. We are committed to the ongoing development of innovative new products and services to offer our EFT processing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Euronet offers multinational merchants a Single European Payments Area (“SEPA”)-compliant cross-border transaction processing solution. SEPA is an area in which all electronic payments can be made and received in euros, whether between or within national boundaries, under the same basic conditions, rights and obligations, regardless of their location. This single, centralized acquiring platform enables merchants to benefit from cost savings and faster, more efficient payments transfer. Although many European countries are not members of the eurozone, the platform can serve the merchants in these countries as well, through its multi-currency functionality.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Solutions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also offer a suite of integrated software solutions for electronic payments and transaction delivery systems. We generate revenues for our software products from licensing, professional services and maintenance fees for software and sales of related hardware, primarily to financial institutions around the world.</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Additionally, our software products are an integral part of the EFT Processing Segment product lines, and our investment in research, development, delivery and customer support reflects our ongoing commitment to an expanded customer base both internally and externally. Our ITM software is used by processing centers in our EFT Processing Segment, resulting in cost savings and added value compared to third-party license and maintenance options.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 Strategy</w:t>
      </w:r>
    </w:p>
    <w:p>
      <w:pPr>
        <w:spacing w:after="0" w:line="229"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EFT Processing Segment maintains a strategy to expand the network of ATMs and POS terminals into developed and developing markets that have the greatest potential for growth. In addition, we follow a supporting strategy to increase the penetration of value added (or complementary) services across our existing customer base, including dynamic currency conversion, advertising, fraud management, bill payment, mobile top-up, CRM and foreign remittance payout.</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continually strive to make our own ATM networks more efficient by eliminating underperforming ATMs and installing ATMs in more desirable locations. We will make selective additions to our own ATM network if we see market demand and profit opportunities. In recent years, the need for “all-in” services has increased. Banks, particularly smaller banks, are increasingly looking for integrated ATM, POS and card issuing processing and management services. Euronet is well positioned for this opportunity as it can offer a full end-to-end solution to the potential partners.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 growth opportunities are driven through financial institutions that are receptive to outsourcing the operation of their ATM, POS and card networks. The operation of these devices requires expensive hardware and software and specialized personnel. These resources are available to us, and we offer them to our customers under outsourcing contracts. The expansion and enhancement of our outsourced management solutions in new and existing markets will remain an important business opportunity for Euronet. Increasing the number of non-owned ATMs and POS terminals that we operate under management services agreements and continued development of our credit and debit card outsourcing business would provide continued growth while minimizing our capital investment.</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Complementary services offered by our epay Segment, where we provide prepaid top-up services through POS terminals, strengthens the EFT Processing Segment's line of services. We plan to continue to expand our technology and business methods into other markets where we operate and further leverage our relationships with mobile phone operators and financial institutions to facilitate that expansion.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EFT Processing business experiences its heaviest demand for dynamic currency conversion during the third quarter of the fiscal year, coinciding with the tourism season. It is also impacted by seasonality during the fourth quarter and first quarter of each year due to higher transaction levels during the holiday season and lower levels after the holiday season.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No individual customer of the EFT Processing Segment makes up greater than 10% of total consolidated revenues. In India, we have contracts with government-owned banks to provide certain ATM services, including mobile airtime recharge services. Additionally, certain government-owned banks are members of our shared ATM network in India. In Croatia, we lease land and other property for certain ATM sites from companies that are majority-owned by the government. In Pakistan, we have a contract with a government-owned bank to provide software support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EFT Processing competitors include ATM networks owned by financial institutions and national switches consisting of consortiums of local banks that provide outsourcing and transaction services to financial institutions and independent ATM deployers in a particular country. Additionally, large, well-financed companies that operate ATMs offer ATM network and outsourcing services, and those that provide card outsourcing, POS processing and merchant acquiring services also compete with us in various markets. Small local operators have also recently begun offering their services, particularly in the IAD market. None of these competitors has a dominant market share in any of our markets. Competitive factors in our EFT Processing Segment include breadth of service offering, network availability and response time, price to both the financial institution and to its customers, ATM location and access to other networks.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currently offer prepaid mobile airtime top-up services and other prepaid and payment products on a network of approximately 681,000 POS terminals across approximately 306,000 retailer locations in Europe, the Middle East, Asia Pacific, the United States and South America. We believe we are the world's leading international network for distribution of prepaid mobile airtime (top-up). Our processing centers for the epay Segment are located in London, U.K.; Martinsried, Germany; Milan, Italy; and Kansas City, Missouri, USA.</w:t>
      </w:r>
    </w:p>
    <w:p>
      <w:pPr>
        <w:spacing w:after="0" w:line="18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Since 2003, we have continually expanded our prepaid business in new and existing markets by drawing upon our depth of experience to build and expand relationships with mobile phone operators, prepaid content providers and retailers. In addition to prepaid mobile airtime, we offer a wide range of products across our retail networks, including prepaid debit cards, gift cards, prepaid vouchers, transport payments, lottery payments, prepaid digital content such as music, games and software, prepaid long distance and bill payment.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epay Segment generates commissions or processing fees from telecommunications service providers for the sale and distribution of prepaid mobile airtime and from the distribution of electronic payment products referenced in the preceding paragraph.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Customers using mobile phones generally pay for their usage in two ways:</w:t>
      </w:r>
    </w:p>
    <w:p>
      <w:pPr>
        <w:spacing w:after="0" w:line="225" w:lineRule="exact"/>
        <w:rPr>
          <w:sz w:val="20"/>
          <w:szCs w:val="20"/>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“postpaid” accounts, where usage is billed at the end of each billing period; and</w:t>
      </w:r>
    </w:p>
    <w:p>
      <w:pPr>
        <w:spacing w:after="0" w:line="225" w:lineRule="exact"/>
        <w:rPr>
          <w:rFonts w:ascii="Arial" w:cs="Arial" w:eastAsia="Arial" w:hAnsi="Arial"/>
          <w:sz w:val="18"/>
          <w:szCs w:val="18"/>
          <w:color w:val="auto"/>
        </w:rPr>
      </w:pPr>
    </w:p>
    <w:p>
      <w:pPr>
        <w:ind w:left="380" w:hanging="196"/>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“prepaid” accounts, where customers pay in advance by crediting their accounts prior to usage.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Although mobile phone operators in the U.S. and certain European countries have provided service principally through postpaid accounts, the norm in many other countries in Europe and the rest of the world is to offer wireless service on a prepaid basis.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Prepaid mobile phone credits are generally distributed using personal identification numbers or "PINs." We distribute PINs in two ways. First, we establish an electronic connection to the mobile operator and the retailer. When the sale to a customer is initiated, the terminal requests the PIN from the mobile operator via our transaction processing platform. These transactions obtain the PIN directly from the mobile operator and, therefore, Euronet does not carry PIN inventory. The customer pays the retailer and the retailer becomes obligated to make settlement to us of the principal amount of the mobile airtime sold. We maintain systems that know the amount of mobile top-up sold by the retailer which allows us in turn to bill that retailer for the mobile top-up sold.</w:t>
      </w:r>
    </w:p>
    <w:p>
      <w:pPr>
        <w:spacing w:after="0" w:line="15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Second, we purchase PINs from the mobile operator which are electronically sent to our processing platform. We establish an electronic connection with the POS terminals in retailer locations and our processing platform provides the terminal with a PIN when the mobile top-up is purchased. We maintain systems that monitor transaction levels at each terminal. As sales of prepaid mobile airtime to customers are completed, the inventory on the platform is reduced by the PIN purchased. The customer payment and settlement with the retailer are the same as described above.</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expand our distribution networks through the signing of new contracts with retailers, and in some markets, through the acquisition of existing networks. We are continuing to focus on our growing network of distributors, generally referred to as Independent Sales Organizations that contract with retailers in their network to distribute prepaid mobile airtime or other content from their POS terminals. We continue to increase our focus on direct relationships with chains of supermarkets, convenience stores, petrol stations, and other larger scale retailers, where we can negotiate agreements with the retailer on a multi-year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Products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Mobile Airtime Transaction Processing</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process prepaid mobile airtime top-up transactions on our POS network across Europe, the Middle East, Asia Pacific, North America and South America for two types of clients: distributors and retailers. Both types of client transactions start with a consumer in a retail store. The retailer uses a specially programmed POS terminal in the store, the retailer's electronic cash register (ECR) system, or web-based POS device that is connected to our network to buy prepaid mobile airtime. The customer will select a predefined amount of mobile airtime from the carrier of choice, and the retailer enters the selection into the POS terminal. The consumer will pay that amount to the retailer (in cash or other payment methods accepted by the retailer). The POS device then transmits the selected transaction to our processing center. Using the electronic connection we maintain with the mobile phone operator or drawing from our inventory of PINs, the purchased amount of mobile airtime will be either credited to the consumer's account or delivered via a PIN printed by the terminal and given to the consumer. In the case of PINs printed by the terminal, the consumer must then call the mobile phone operator's toll-free number to activate the purchased airtime to the consumer's mobile account.</w:t>
      </w:r>
    </w:p>
    <w:p>
      <w:pPr>
        <w:spacing w:after="0" w:line="18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One difference in our relationships with various retailers and distributors is the way in which we charge for our services. For distributors and certain very large retailers, we charge a processing fee. However, the majority of our transactions occur with smaller retailers. With these clients, we receive a commission on each transaction that is withheld from the payments made to the mobile phone operator, and we share that commission with the retailers.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Non-Mobile Products and Services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POS network can be used for the distribution of other products and services. Although prepaid mobile airtime is the primary product distributed through our epay Segment, additional products include long distance calling card plans, prepaid Internet plans, debit cards, gift cards, prepaid vouchers, transport payments, lottery payments, bill payment and digital content such as music, games and software. Through our cadooz subsidiary, we also distribute vouchers and physical gifts. In certain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locations, the terminals used for prepaid services can also be used for electronic funds transfer to process credit and debit card payments for retail merchandise. In 2014, revenues and gross profit from products other than prepaid mobile airtime were approximately 46% and 43%, respectively, of the total for the epay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Retailer and Distributor Contracts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provide our prepaid services through POS terminals or web-based POS devices installed in retail outlets or, in the case of major retailers, through direct connections between their ECR systems and our processing centers. In markets where we operate proprietary technology (the U.K., Germany, Australia, Poland, Ireland, New Zealand, Spain, Greece, India, Italy, Brazil and the U.S.), we generally own and maintain the POS terminals. In certain countries in Europe, the terminals are sold to the retailers or to distributors who service the retailer. Our agreements with major retailers for the POS services typically have one to three-year terms. These agreements include terms regarding the connection of our networks to the respective retailer's registers or payment terminals or the maintenance of POS terminals, and obligations concerning settlement and liability for transactions processed. Generally, our agreements with individual or small retailers have shorter terms and provide that either party can terminate the agreement upon three to six months' notice.</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Germany, distributors are key intermediaries in the sale of mobile top-up. As a result, our business in Germany is substantially concentrated in, and dependent upon, relationships with our major distributors. The termination of any of our agreements with major distributors could materially and adversely affect our prepaid business in Germany. However, we have been establishing agreements with independent German retailers in order to diversify our exposure to such distributors.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number of transactions processed on our POS network has increased over the last five years at a CAGR of approximately 9% as indicated in the following table:</w:t>
      </w:r>
    </w:p>
    <w:p>
      <w:pPr>
        <w:spacing w:after="0" w:line="32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9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2010</w:t>
            </w:r>
          </w:p>
        </w:tc>
        <w:tc>
          <w:tcPr>
            <w:tcW w:w="11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920" w:type="dxa"/>
            <w:vAlign w:val="bottom"/>
            <w:gridSpan w:val="2"/>
          </w:tcPr>
          <w:p>
            <w:pPr>
              <w:spacing w:after="0"/>
              <w:rPr>
                <w:sz w:val="20"/>
                <w:szCs w:val="20"/>
                <w:color w:val="auto"/>
              </w:rPr>
            </w:pPr>
            <w:r>
              <w:rPr>
                <w:rFonts w:ascii="Arial" w:cs="Arial" w:eastAsia="Arial" w:hAnsi="Arial"/>
                <w:sz w:val="18"/>
                <w:szCs w:val="18"/>
                <w:color w:val="auto"/>
              </w:rPr>
              <w:t>epay processing transactions per year</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891</w:t>
            </w:r>
          </w:p>
        </w:tc>
        <w:tc>
          <w:tcPr>
            <w:tcW w:w="400" w:type="dxa"/>
            <w:vAlign w:val="bottom"/>
          </w:tcPr>
          <w:p>
            <w:pPr>
              <w:spacing w:after="0"/>
              <w:rPr>
                <w:sz w:val="22"/>
                <w:szCs w:val="22"/>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1,064</w:t>
            </w:r>
          </w:p>
        </w:tc>
        <w:tc>
          <w:tcPr>
            <w:tcW w:w="1160" w:type="dxa"/>
            <w:vAlign w:val="bottom"/>
            <w:gridSpan w:val="3"/>
          </w:tcPr>
          <w:p>
            <w:pPr>
              <w:jc w:val="right"/>
              <w:ind w:right="380"/>
              <w:spacing w:after="0"/>
              <w:rPr>
                <w:sz w:val="20"/>
                <w:szCs w:val="20"/>
                <w:color w:val="auto"/>
              </w:rPr>
            </w:pPr>
            <w:r>
              <w:rPr>
                <w:rFonts w:ascii="Arial" w:cs="Arial" w:eastAsia="Arial" w:hAnsi="Arial"/>
                <w:sz w:val="18"/>
                <w:szCs w:val="18"/>
                <w:color w:val="auto"/>
              </w:rPr>
              <w:t>1,113</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1,115</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 Strategy</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global strategy for the epay Segment is to grow market share by defending mature markets, focusing expansion activity in growth markets and adding positive operating income in all other developing markets.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maintaining and growing market share in prepaid mobile airtime top-up, our growth strategy is achieved through the introduction of new products and content. New product initiatives focus on products outside of prepaid mobile airtime top-up and processing, including gift card malls, prepaid debit cards, transport and digital content, including music, software and games. Strategic execution behind new products includes the development of relationships with global consumer product brands. This strategy leverages the global scale of the epay business allowing global brands to be sold in many or all of the countries in which we have a presence. Examples of global brands we distribute include iTunes, Google Play and Microsoft products.</w:t>
      </w:r>
    </w:p>
    <w:p>
      <w:pPr>
        <w:spacing w:after="0" w:line="15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Telecommunications companies and other content providers have a substantial opportunity to increase revenues by diversifying the products and services currently offered to their retailers. epay is deploying additional content through its POS network to retailers and distributors all over the world. The reach, capabilities and quality of the epay network are appealing as a global distribution channel. We are one of the largest worldwide multi-country operators, and believe we have a distinct competitive advantage from the existing relationships that we maintain with prepaid content providers and retailers.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epay business is significantly impacted by seasonality during the fourth quarter and first quarter of each year due to the higher transaction levels during the holiday season and lower levels following the holiday season.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 individual customer of our epay Segment makes up greater than 10% of total consolidated revenues. epay has a contract for the technology and distribution infrastructure for six state-owned lotteries in Germany. In addition, epay has contracts with the state of Florida's (USA) Turnpike partners and Queensland Motorways in Australia. In New Zealand, we have a contract with Glo Bug prepaid power to allow customers to purchase prepaid power through various retail locations. Through Glo Bug, we have a contract with Mercury Energy, the power provider, which is a subsidiary of the government-owned enterprise, Mighty River Power. In Germany, cadooz has a contract with Deutsche Bahn, which is majority owned by the German state. We also have a contract for the distribution of mobile airtime with a Saudi company, which is majority owned by the Saudi government. There are no other government contracts in the epay Segment.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face competition in the prepaid business in all of our markets. We compete with a few multinational companies that operate in several of our markets. In other markets, our competition is from smaller, local companies. The mobile operators in all of our markets have retail distribution networks, and in some markets, on-line distribution of their own through which they offer top-up services for their own products.</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our size and market share are competitive advantages in many markets. In addition, we believe our platforms are a competitive advantage. We have extremely flexible technical platforms that enable us to tailor POS solutions to individual retailers and mobile operator requirements where appropriate. Our platforms are also able to provide value added services other than processing which makes us a more valuable partner to the mobile operators and retailers. We have introduced new digital products into the marketplace such as digital payment for online media subscriptions. Many of these products are not offered by our competitors and in many countries, these are new products. We are capitalizing on being the first to market and only distributor of these products.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principal competitive factors in the epay Segment include price (that is, the level of commission paid to retailers for each transaction), breadth of products and up-time offered on the system. Major retailers with high volumes are in a position to demand a larger share of the commission, which increases the amount of competition among service providers. We are seeing signs that some mobile operators are expanding their distribution networks to provide top-up services on-line or via mobile devices, which provides other alternatives for consumers to use.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provide global money transfer services primarily under the brand names Ria and HiFX. Ria provides consumer-to-consumer money transfer services through a global network of more than 243,000 locations and our website riamoneytransfer.com. Most of our money transfers are originated through sending agents in approximately 22 countries, with money transfer delivery completed in 134 countries. The initiation of a consumer money transfer occurs through retail agents, Company-owned stores or online, while the delivery of money transfers can occur with bank correspondents, retailer agents or from certain ATMs. Additionally, our website allows consumers to send funds online, generally using a credit or debit card, for pay-out directly to a bank account or for cash pickup.</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we provide global account-to-account money transfer services under the brand name HiFX. We offer services via our HiFX websites (www.hifx.co.uk and www.hifx.com.au) and through HiFX customer service representatives. Through our HiFM brand, we offer cash management solutions and foreign currency risk management services to small-to-medium sized businesses.</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monitor the number of transactions made through our money transfer networks. The number of transactions processed on our network has increased over the last five years at a CAGR of approximately 23% as indicated in the following table:</w:t>
      </w:r>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0" w:type="dxa"/>
            <w:vAlign w:val="bottom"/>
          </w:tcPr>
          <w:p>
            <w:pPr>
              <w:spacing w:after="0"/>
              <w:rPr>
                <w:sz w:val="20"/>
                <w:szCs w:val="20"/>
                <w:color w:val="auto"/>
              </w:rPr>
            </w:pPr>
            <w:r>
              <w:rPr>
                <w:rFonts w:ascii="Arial" w:cs="Arial" w:eastAsia="Arial" w:hAnsi="Arial"/>
                <w:sz w:val="14"/>
                <w:szCs w:val="14"/>
                <w:color w:val="auto"/>
                <w:w w:val="98"/>
              </w:rPr>
              <w:t>(in millions)</w:t>
            </w:r>
          </w:p>
        </w:tc>
        <w:tc>
          <w:tcPr>
            <w:tcW w:w="36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1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2011</w:t>
            </w:r>
          </w:p>
        </w:tc>
        <w:tc>
          <w:tcPr>
            <w:tcW w:w="11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2012</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4360" w:type="dxa"/>
            <w:vAlign w:val="bottom"/>
            <w:gridSpan w:val="2"/>
          </w:tcPr>
          <w:p>
            <w:pPr>
              <w:spacing w:after="0"/>
              <w:rPr>
                <w:sz w:val="20"/>
                <w:szCs w:val="20"/>
                <w:color w:val="auto"/>
              </w:rPr>
            </w:pPr>
            <w:r>
              <w:rPr>
                <w:rFonts w:ascii="Arial" w:cs="Arial" w:eastAsia="Arial" w:hAnsi="Arial"/>
                <w:sz w:val="18"/>
                <w:szCs w:val="18"/>
                <w:color w:val="auto"/>
              </w:rPr>
              <w:t>Money transfer transactions per year</w:t>
            </w:r>
          </w:p>
        </w:tc>
        <w:tc>
          <w:tcPr>
            <w:tcW w:w="2460" w:type="dxa"/>
            <w:vAlign w:val="bottom"/>
            <w:gridSpan w:val="3"/>
          </w:tcPr>
          <w:p>
            <w:pPr>
              <w:jc w:val="right"/>
              <w:ind w:right="400"/>
              <w:spacing w:after="0"/>
              <w:rPr>
                <w:sz w:val="20"/>
                <w:szCs w:val="20"/>
                <w:color w:val="auto"/>
              </w:rPr>
            </w:pPr>
            <w:r>
              <w:rPr>
                <w:rFonts w:ascii="Arial" w:cs="Arial" w:eastAsia="Arial" w:hAnsi="Arial"/>
                <w:sz w:val="18"/>
                <w:szCs w:val="18"/>
                <w:color w:val="auto"/>
              </w:rPr>
              <w:t>21.1</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24.3</w:t>
            </w: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30.7</w:t>
            </w: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rPr>
              <w:t>35.2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48.5</w:t>
            </w:r>
          </w:p>
        </w:tc>
      </w:tr>
    </w:tbl>
    <w:p>
      <w:pPr>
        <w:spacing w:after="0" w:line="229"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Our sending agent network includes a variety of agents, including a large U.S.-based retailer, large/medium size regional retailers, convenience stores, bodegas, multi-service shops and phone centers, which are predominantly found in areas with a large immigrant population. Each Ria money transfer transaction is processed using Euronet's proprietary software system and</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5"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checked for security, completeness and compliance with federal and state regulations at every step of the process. Senders can track the progress of their transfers through Ria's customer service representatives, and funds are delivered quickly to their beneficiaries via our extensive payout network, which includes large banks and non-bank financial institutions, post offices and large retailers. Our processing centers for the Money Transfer Segment are located in Buena Park, California, USA, Windsor, U.K. and Auckland, New Zealand. We operate Ria call centers in Buena Park, California; Antiguo Cuscatlán, El Salvador; and Madrid, Spain and provide multi-lingual customer service for both our agents and consumers. Additionally, we operate HiFX call centers in Windsor, U.K. and Sydney, Australia.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Products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Ria money transfer products and services are sold primarily through three channels at agent locations, Company-owned stores and on internet enabled devices at riamoneytransfer.com (“Ria Online”).</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a Ria Online transaction, customers send funds, generally using a credit or debit card, for pay-out at most of our agent locations around the world or directly to a bank account.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Through our TeleRia service, customers connect to our call center from a telephone available at an agent location and a representative collects the information over the telephone and enters it directly into our secure proprietary system. As soon as the data capture is complete, our central system automatically faxes a confirmation receipt to the agent location for the customer to review and sign and the customer pays the agent the money to be transferred, together with a fee. The agent then faxes the signed receipt back to Ria to complete the transaction.</w:t>
      </w:r>
    </w:p>
    <w:p>
      <w:pPr>
        <w:spacing w:after="0" w:line="18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In addition to money transfers, Ria also offers customers bill payment services, payment alternatives such as money orders, comprehensive check cashing services for a wide variety of issued checks, along with competitive foreign currency exchange services and mobile top-up. These services are all offered through our Company-owned stores while select services are offered through our agents in certain markets.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Ria money orders are widely recognized and exchanged throughout the United States. Our check cashing services cover payroll and personal checks, cashier checks, tax refund checks, government checks, insurance drafts and money orders. Our bill payment services offer timely posting of customer bills for over 3000 companies, including electric and gas utilities and telephone/wireless companies. Bill payment services are offered primarily in the U.S.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HiFX offers account-to-account international payment service to high-income individuals and small-to-medium sized businesses, complementing our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29"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Revenues in the Money Transfer Segment are derived through the charging of a transaction fee, as well as a margin earned from purchasing foreign currency at wholesale exchange rates and selling the foreign currency to customers at retail exchange rates. Sending agents and receiving agents for Ria products each earn fees for cash collection and distribution services. Euronet recognizes these fees as direct operating costs at the time of sale.</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are one of the largest global money transfer companies in terms of revenues and transaction volumes. Our Money Transfer Segment processed approximately $24.4 billion in money transfers in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 Strategy</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Money Transfer Segment's strategy is to increase the volume of Ria money transfers processed by leveraging our existing banking and merchant/retailer relationships to expand our agent and correspondent networks in existing corridors. In addition, we pursue expansion into high-potential money transfer corridors from the U.S. and internationally beyond the traditional U.S. to Mexico corridor. Further, we expect to continue to take advantage of cross-selling opportunities with our epay and EFT Processing Segments by providing prepaid services through Ria's stores and agents, and offering our money transfer services at select prepaid retail locations and ATMs we operate in key markets. We will continue to make investments in our systems to support this growth. Additionally, we plan to expand our HiFX business into new markets.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money transfer business is significantly impacted by seasonality that varies by region. In most of our markets, we experience increased money transfer transaction levels during the month of May and in the fourth quarter of each year, coinciding with various holidays. Additionally, in the U.S. to Mexico corridor, we usually experience our heaviest volume during the May through October timeframe, coinciding with the increase in worker migration patterns and various holidays, and our lowest volumes during the first quarter.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Customers and Government Contracts</w:t>
      </w:r>
    </w:p>
    <w:p>
      <w:pPr>
        <w:spacing w:after="0" w:line="2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No individual customer of our Money Transfer Segment makes up greater than 10% of total consolidated revenues. The Money Transfer Segment maintains correspondent relationships with a number of financial institutions whose ownership includes governments of the correspondents' countries of origin. Those countries include Armenia, Bangladesh, Benin, Brazil, Bosnia-Herzegovina, Bulgaria, Burundi, Cape Verde, China, Costa Rica, Cote d'Ivoire, Croatia, Ecuador, Egypt, Eritrea, Ethiopia, Ghana, Guatemala, Guyana, Hungary, Indonesia, Lithuania, Mali, Mexico, Mongolia, Pakistan, Philippines, Poland, Portugal, Romania, Senegal, Serbia, Slovenia, Togo, Tunisia, Uganda, Ukraine and Vietnam.</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primary competitors in the money transfer and bill payment business include other large money transfer companies and electronic money transmitters, as well as certain major national and regional banks, financial institutions and independent sales organizations. Our competitors include The Western Union Company and MoneyGram International Inc., both of which are larger than we and have greater resources and access to capital for expansion than we do. This may allow them to offer better pricing terms to customers, agents or correspondents, which may result in a loss of our current or potential customers or could force us to lower our prices. In addition to traditional money payment services, new technologies are emerging that may effectively compete with traditional money payment services, such as stored-value cards, debit networks and web-based services and digital currencies. Our continued growth also depends upon our ability to compete effectively with these alternative technologies.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Product Research, Development and Enhancement</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the EFT Processing Segment, development has historically focused on expanding the range of services offered to our bank customers from ATM and POS outsourcing to card processing and software services.</w:t>
      </w:r>
    </w:p>
    <w:p>
      <w:pPr>
        <w:spacing w:after="0" w:line="17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are committed to the maintenance and improvement of our software products. We regularly engage in software product development and enhancement activities aimed at the development and delivery of new products, services and processes to our customers. Our research and development costs for software products to be sold, leased or otherwise marketed totaled $8.7 million, $7.3 million, and $5.8 million in 2014, 2013 and 2012, respectively. Development costs that were capitalized totaled $5.8 million, $4.9 million and $3.9 million in 2014, 2013 and 2012, respectively.</w:t>
      </w:r>
    </w:p>
    <w:p>
      <w:pPr>
        <w:spacing w:after="0" w:line="17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our epay Segment, development has focused on expanding the types of electronic payment products and services available to consumers over our network to include, for example, prepaid vouchers, transport payments, lottery payments, gift and debit cards, and bill payment capabilities. This is intended to make our offerings more attractive to retailers.</w:t>
      </w:r>
    </w:p>
    <w:p>
      <w:pPr>
        <w:spacing w:after="0" w:line="18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In the Money Transfer Segment, development has focused on expanding our services to Internet enabled devices through our riamoneytransfer.com, www.hifx.co.uk and www.hifx.com.au websites. This is intended to expand our customer base in existing and new corridors.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Financial Information by Geographic Area</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information on results of operations, property and equipment, and total assets by geographic location, please see Note 16, Business Segment Information, to the Consolidated Financial Statements. Additionally, see Item 1A - Risk Factors, for risk factors related to foreign operations.</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approximately 4,600, 4,100 and 3,900 employees as of December 31, 2014, 2013, and 2012, respectively. We believe our future success will depend in part on our ability to continue to recruit, retain and motivate qualified management, technical and administrative employees. Currently, no union represents any of our employees, except in our Spanish subsidiary. We experienced no work stoppages or strikes by our workforce in 2014 and we consider relations with our employees to be good.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discussed below, many of our business activities are subject to regulation in our current markets. In the Money Transfer Segment, we are subject to a wide variety of laws and regulations of the U.S., individual U.S. states and foreign governments. These include international, federal and state anti-money laundering laws and regulations, money transfer and payment instrument licensing laws, escheat laws, laws covering consumer privacy, data protection and information security and consumer disclosure and consumer protection laws. Our operations have also been subject to increasingly strict requirements intended to help prevent and detect a variety of illegal financial activity, including money laundering, terrorist financing, unauthorized access to personal customer data and other illegal activities. The more significant of these laws and regulations are discussed below. Noncompliance with these laws and requirements could result in the loss or suspension of licenses or registrations required to provide money transfer services by either Ria or its agents. For more discussion, see Item 1A - Risk Factors.</w:t>
      </w:r>
    </w:p>
    <w:p>
      <w:pPr>
        <w:spacing w:after="0" w:line="19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further expansion of our activity into areas that are qualified as “financial activity” under local legislation may subject us to licensing and we may be required to comply with various conditions to obtain such licenses. Moreover, the interpretations of bank regulatory authorities as to the activity we currently conduct might change in the future. We monitor our business for compliance with applicable laws or regulations regarding financial activities.</w:t>
      </w:r>
    </w:p>
    <w:p>
      <w:pPr>
        <w:spacing w:after="0" w:line="16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Certain of our European product offerings, including in particular, our money transfer services, merchant acquiring and bill payment products are subject to the PSD as implemented in each European country. The PSD requires a license to perform certain defined "payment services" in a European country, which may be extended throughout the European Economic Area Member States ("Member States") through passporting. Conditions for obtaining the license include minimum capital requirements, establishment of procedures for safeguarding of funds, and certain governance and reporting requirements. In addition, certain obligations relating to internal controls and the conduct of business, in particular, consumer disclosure requirements and certain rules regarding the timing and settlement of payments, must be met. We have payment institution licenses in the U.K., France, Germany, and Spain and are complying with these requirements. To date, we have passported our U.K. authorization to thirteen host member states operating under the PSD. Additionally, in the U.K., we have obtained an e-money license under the 2EMD. The e-money license allows Euronet to issue e-money and provide the same services as a PSD licensee. The e-money license imposes certain requirements similar to those of the payment services license, including minimum capital requirements, consumer disclosure and internal controls and can be passported to Member States. Our e-money license holder is currently operating in twelve Member States.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and Payment Instrument Licensing</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Licensing requirements in the U.S. are generally driven by the various state banking departments regulating the businesses of money transfers and issuances of payment instruments. Typical requirements include the meeting of minimum net worth requirements, maintaining permissible investments (e.g., cash, agent receivables, and government-backed securities) at levels commensurate with outstanding payment obligations and the filing of a security instrument (typically in the form of a surety bond) to offset the risk of default of trustee obligations by the license holder. We are required by many state regulators to submit ongoing reports of licensed activity, most often on a quarterly or monthly basis, that address changes to agent and branch locations, operating and financial performance, permissible investments and outstanding transmission liabilities. These periodic reports are utilized by the regulator to monitor ongoing compliance with state licensing laws. A number of major state regulators also conduct periodic examinations of license holders and their authorized delegates, generally with a frequency of every one to two years. Examinations are most often comprehensive in nature, addressing both the safety and soundness and overall compliance by the license holder with regard to state and federal regulations. Such examinations are typically performed on-site at the license holder's headquarters or operations center; however, certain states may choose to perform examinations off-site as well.</w:t>
      </w:r>
    </w:p>
    <w:p>
      <w:pPr>
        <w:spacing w:after="0" w:line="16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Money transmitters, issuers of payment instruments and their agents are required to comply with U.S. federal, state and/or foreign anti-money laundering laws and regulations. In summary, our Money Transfer Segment, as well as our agent network, is subject to regulations issued by the different state and foreign national regulators who license us, the Office of Foreign Assets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Control (“OFAC”), the Bank Secrecy Act as amended by the USA PATRIOT ACT (“BSA”), the Financial Crimes Enforcement Network (“FINCEN”), as well as any existing or future regulations that impact any aspect of our money transfer business.</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 similar set of regulations applies to our money transfer businesses in most of the foreign countries in which we originate transactions. These laws and regulations include monetary limits for money transfers into or out of a country, rules regarding the foreign currency exchange rates offered, as well as other limitations or rules for which we must maintain compliance.</w:t>
      </w:r>
    </w:p>
    <w:p>
      <w:pPr>
        <w:spacing w:after="0" w:line="18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Regulatory bodies in the U.S. and abroad may impose additional rules on the conduct of our Money Transfer Segment that could have a significant impact on our operations and our agent network. In this regard, the U.S. federal government has implemented new U.S. federal regulations for electronic money transfers. Prior to the passage of the Dodd-Frank Wall Street Reform and Consumer Protection Act on July 21, 2010 (“Dodd-Frank Act”), international money transfers were generally not addressed by existing federal consumer protection regulations. The Dodd-Frank Act expanded the scope of the Electronic Fund Transfer Act to provide new consumer protections for international remittance transfers. On January 20, 2012, the Consumer Financial Protection Bureau ("CFPB"), established under the Dodd-Frank Act with authority to implement the new consumer protective measures, adopted a rule that increased protections for consumers who transmit money internationally. The CFPB's Rule for International Remittances became effective October 28, 2013. Included among the protections are new disclosure requirements, cancellation rights and error resolution procedures for consumer complaints.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Escheat Regulations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Money Transfer Segment is subject to the unclaimed or abandoned property (i.e., “escheat”) regulations of the United States and certain foreign countries in which we operate. These laws require us to turn over property held by Euronet on behalf of others remaining unclaimed after specified periods of time (i.e., “dormancy” or “escheat” periods). Such abandoned property is generally attributable to the failure of beneficiary parties to claim money transfers or the failure to negotiate money orders, a form of payment instrument. We have policies and programs in place to help us monitor the required information relating to each money transfer or payment instrument for possible eventual reporting to the jurisdiction from which the order was originally received. In the U.S., reporting of unclaimed property by money service companies is performed annually, generally with a due date of on or before November 1. State banking department regulators will typically include a review of Euronet escheat procedures and related filings as part of their examination protocol.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Information Security Regulations</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Money Transfer Segment operations involve the collection and storage of certain types of personal customer data that are subject to privacy and security laws in the U.S. and abroad. In the United States, we are subject to the Gramm-Leach-Bliley Act (“GLBA”), which requires that financial institutions have in place policies regarding the collection, processing, storage and disclosure of information considered nonpublic personal information. Laws in other countries include those adopted by the member states of the European Union under Directive 95/46 EC of the European Parliament and of the Council of 24 October 1995 (the “Directive”), as well as the laws of other countries. The Directive prohibits the transfer of personal data to non-European Union member nations that do not provide adequate protection for personal data. In some cases, the privacy laws of an EU member state may be more restrictive than the Directive and may impose additional requirements that we must comply with to operate in the respective country. Generally, these laws restrict the collection, processing, storage, use and disclosure of personal information and require that we safeguard personal customer data to prevent unauthorized access.</w:t>
      </w:r>
    </w:p>
    <w:p>
      <w:pPr>
        <w:spacing w:after="0" w:line="16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comply with the GLBA and state privacy provisions. In addition, we comply with the Directive using the safe harbor permitted by the Directive by filing with the U.S. Department of Commerce, publicly declaring our privacy policy for information collected outside of the U.S., posting our privacy policy on our Website and requiring our agents in the European Union to notify customers of the privacy policy.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Recently, as identity theft has been on the rise, there has been increased public attention to concerns about information security and consumer privacy, accompanied by laws and regulations addressing the issue. We believe we are compliant with these laws and regulations; however, this is a rapidly evolving area and there can be no assurance that we will continue to meet the existing and new regulations, which could have a material, adverse impact on our Money Transfer Segment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and Bribery</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subject to the Foreign Corrupt Practices Act ("FCPA"), which prohibits U.S. and other business entities from making improper payments to foreign government officials, political parties or political party officials. We are also subject to the applicable anti-corruption laws in the jurisdictions in which we operate, such as the U.K. Bribery Act, thus potentially exposing us to liability and potential penalties in multiple jurisdictions. The anti-corruption provisions of the FCPA are enforced by the</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United States Department of Justice. In addition, the Securities and Exchange Commission requires strict compliance with certain accounting and internal control standards set forth under the FCPA. Because our services are offered in many countries throughout the world, we face a higher risk associated with FCPA, the U.K. Bribery Act and other similar laws than many other companies and we have policies and procedures in place to address compliance with the FCPA, the U.K. Bribery Act and other similar laws. Any determination that we have violated these laws could have an adverse effect on our business, financial position and results of operations. Failure to comply with our policies and procedures and the FCPA and other laws can expose Euronet and/or individual employees to potentially severe criminal and civil penalties. Such penalties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Compliance Policies and Programs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developed risk-based policies and programs to comply with existing and new laws, regulations and other requirements outlined above, including having dedicated compliance personnel, training programs, automated monitoring systems and support functions for our offices and agents. To assist in managing and monitoring our money laundering and terrorist financing risks, we continue to have our compliance programs, in many countries, independently examined on an annual basis. In addition, we continue to enhance our anti-money laundering and counter-terrorist financing compliance policy, procedures and monitoring systems.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Each of our three operating segments utilizes intellectual property which is protected in varying degrees by a combination of trademark, patent and copyright laws, as well as trade secret protection, license and confidentiality agreements.</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brand names of “Ria,” “Ria Financial Services,” “Ria Envia,” “HiFX,” “HiFM,” derivations of those brand names and certain other brand names are material to our Money Transfer Segment and are registered trademarks and/or service marks in most of the markets in which our Money Transfer Segment operates. Consumer perception of these brand names is important to the growth prospects of our money transfer business. We also hold a U.S. patent on a card-based money transfer and bill payment system that allows transactions to be initiated primarily through POS terminals and integrated cash register systems.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With respect to our EFT Processing Segment, we have registered or applied for registration of our trademarks, including the names “Euronet” and “Bankomat” and/or our blue diamond logo, as well as other trade names in most markets in which these trademarks are used. Certain trademark authorities have notified us that they consider these trademarks to be generic and, therefore, not protected by trademark laws. This determination does not affect our ability to use the Euronet trademark in those markets, but it would prevent us from stopping other parties from using it in competition with Euronet. We have registered the “Euronet” trademark in the class of ATM machines in Germany, the U.K. and certain other Western European countries. We have filed pending applications and/or obtained patents for a number of our new software products and our processing technology, including certain top-up services.</w:t>
      </w:r>
    </w:p>
    <w:p>
      <w:pPr>
        <w:spacing w:after="0" w:line="16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With respect to our epay Segment, we have filed trademark applications for the “epay” brand in the U.S., U.K., the European Union (“E.U.”) through a Community Trademark application, Brazil, India, Australia and New Zealand. The epay trademark has issued to registration in the U.S., U.K., the E.U., Australia and New Zealand. The trademark applications in the other jurisdictions are still pending. We cannot be certain that we are entitled to use the epay trademark in any markets other than those in which we have registered the trademark. We have filed patent applications for some of our POS top-up and certain other products in support of epay technology. Certain patents have been granted while others have been refused or are still pending. We also hold a patent license covering certain of epay's operations in the U.S.</w:t>
      </w:r>
    </w:p>
    <w:p>
      <w:pPr>
        <w:spacing w:after="0" w:line="19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Technology in the areas in which we operate is developing very rapidly, and we are aware that many other companies have filed patent applications for products, processes and services similar to those we provide. The procedures of the U.S. patent office make it impossible for us to predict whether our patent applications will be approved or will be granted priority dates that are earlier than other patents that have been filed for similar products or services. Moreover, many “process patents” have been filed in the U.S. over recent years covering processes that are in wide use in the money transfer, EFT and prepaid processing industries. If any of these patents are considered to cover technology that has been incorporated into our systems, we may be required to obtain additional licenses and pay royalties to the holders of such patents to continue to use the affected technology or be prohibited from continuing the offering of such services if licenses are not obtained. This could materially and adversely affect our business.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name, age, period of service and position held by each of our Executive Officers as of February 27, 2015 are as follows:</w:t>
      </w:r>
    </w:p>
    <w:p>
      <w:pPr>
        <w:spacing w:after="0" w:line="379" w:lineRule="exact"/>
        <w:rPr>
          <w:sz w:val="20"/>
          <w:szCs w:val="20"/>
          <w:color w:val="auto"/>
        </w:rPr>
      </w:pPr>
    </w:p>
    <w:tbl>
      <w:tblPr>
        <w:tblLayout w:type="fixed"/>
        <w:tblInd w:w="480" w:type="dxa"/>
        <w:tblCellMar>
          <w:top w:w="0" w:type="dxa"/>
          <w:left w:w="0" w:type="dxa"/>
          <w:bottom w:w="0" w:type="dxa"/>
          <w:right w:w="0" w:type="dxa"/>
        </w:tblCellMar>
      </w:tblPr>
      <w:tr>
        <w:trPr>
          <w:trHeight w:val="192"/>
        </w:trPr>
        <w:tc>
          <w:tcPr>
            <w:tcW w:w="20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90"/>
              </w:rPr>
              <w:t>Age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Served Since</w:t>
            </w:r>
          </w:p>
        </w:tc>
        <w:tc>
          <w:tcPr>
            <w:tcW w:w="5960" w:type="dxa"/>
            <w:vAlign w:val="bottom"/>
            <w:tcBorders>
              <w:bottom w:val="single" w:sz="8" w:color="auto"/>
            </w:tcBorders>
          </w:tcPr>
          <w:p>
            <w:pPr>
              <w:ind w:left="2620"/>
              <w:spacing w:after="0"/>
              <w:rPr>
                <w:sz w:val="20"/>
                <w:szCs w:val="20"/>
                <w:color w:val="auto"/>
              </w:rPr>
            </w:pPr>
            <w:r>
              <w:rPr>
                <w:rFonts w:ascii="Arial" w:cs="Arial" w:eastAsia="Arial" w:hAnsi="Arial"/>
                <w:sz w:val="14"/>
                <w:szCs w:val="14"/>
                <w:b w:val="1"/>
                <w:bCs w:val="1"/>
                <w:color w:val="auto"/>
              </w:rPr>
              <w:t>Position Held</w:t>
            </w: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Michael J. Brown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58</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1994</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43"/>
        </w:trPr>
        <w:tc>
          <w:tcPr>
            <w:tcW w:w="2040" w:type="dxa"/>
            <w:vAlign w:val="bottom"/>
          </w:tcPr>
          <w:p>
            <w:pPr>
              <w:ind w:left="20"/>
              <w:spacing w:after="0"/>
              <w:rPr>
                <w:sz w:val="20"/>
                <w:szCs w:val="20"/>
                <w:color w:val="auto"/>
              </w:rPr>
            </w:pPr>
            <w:r>
              <w:rPr>
                <w:rFonts w:ascii="Arial" w:cs="Arial" w:eastAsia="Arial" w:hAnsi="Arial"/>
                <w:sz w:val="18"/>
                <w:szCs w:val="18"/>
                <w:color w:val="auto"/>
              </w:rPr>
              <w:t>Rick L. Weller</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57</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November 2002</w:t>
            </w:r>
          </w:p>
        </w:tc>
        <w:tc>
          <w:tcPr>
            <w:tcW w:w="5960" w:type="dxa"/>
            <w:vAlign w:val="bottom"/>
          </w:tcPr>
          <w:p>
            <w:pPr>
              <w:ind w:left="140"/>
              <w:spacing w:after="0"/>
              <w:rPr>
                <w:sz w:val="20"/>
                <w:szCs w:val="20"/>
                <w:color w:val="auto"/>
              </w:rPr>
            </w:pPr>
            <w:r>
              <w:rPr>
                <w:rFonts w:ascii="Arial" w:cs="Arial" w:eastAsia="Arial" w:hAnsi="Arial"/>
                <w:sz w:val="18"/>
                <w:szCs w:val="18"/>
                <w:color w:val="auto"/>
              </w:rPr>
              <w:t>Executive Vice President - Chief Financial Officer</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Jeffrey B. Newman</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60</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1996</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Executive Vice President - General Counsel</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6"/>
              </w:rPr>
              <w:t>Executive Vice President - Chief Executive Officer, epay, Software and EFT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Kevin J. Caponecchi</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48</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July 2007</w:t>
            </w:r>
          </w:p>
        </w:tc>
        <w:tc>
          <w:tcPr>
            <w:tcW w:w="5960" w:type="dxa"/>
            <w:vAlign w:val="bottom"/>
          </w:tcPr>
          <w:p>
            <w:pPr>
              <w:ind w:left="140"/>
              <w:spacing w:after="0"/>
              <w:rPr>
                <w:sz w:val="20"/>
                <w:szCs w:val="20"/>
                <w:color w:val="auto"/>
              </w:rPr>
            </w:pPr>
            <w:r>
              <w:rPr>
                <w:rFonts w:ascii="Arial" w:cs="Arial" w:eastAsia="Arial" w:hAnsi="Arial"/>
                <w:sz w:val="18"/>
                <w:szCs w:val="18"/>
                <w:color w:val="auto"/>
              </w:rPr>
              <w:t>Asia Pacific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Juan C. Bianchi</w:t>
            </w:r>
          </w:p>
        </w:tc>
        <w:tc>
          <w:tcPr>
            <w:tcW w:w="940" w:type="dxa"/>
            <w:vAlign w:val="bottom"/>
            <w:tcBorders>
              <w:bottom w:val="single" w:sz="8" w:color="CCEEFF"/>
            </w:tcBorders>
            <w:shd w:val="clear" w:color="auto" w:fill="CCEEFF"/>
          </w:tcPr>
          <w:p>
            <w:pPr>
              <w:jc w:val="center"/>
              <w:ind w:left="232"/>
              <w:spacing w:after="0"/>
              <w:rPr>
                <w:sz w:val="20"/>
                <w:szCs w:val="20"/>
                <w:color w:val="auto"/>
              </w:rPr>
            </w:pPr>
            <w:r>
              <w:rPr>
                <w:rFonts w:ascii="Arial" w:cs="Arial" w:eastAsia="Arial" w:hAnsi="Arial"/>
                <w:sz w:val="18"/>
                <w:szCs w:val="18"/>
                <w:color w:val="auto"/>
                <w:w w:val="89"/>
              </w:rPr>
              <w:t>44</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2007</w:t>
            </w:r>
          </w:p>
        </w:tc>
        <w:tc>
          <w:tcPr>
            <w:tcW w:w="5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4"/>
              </w:rPr>
              <w:t>Executive Vice President - Chief Executive Officer, Money Transfer Segment</w:t>
            </w:r>
          </w:p>
        </w:tc>
      </w:tr>
      <w:tr>
        <w:trPr>
          <w:trHeight w:val="229"/>
        </w:trPr>
        <w:tc>
          <w:tcPr>
            <w:tcW w:w="2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960" w:type="dxa"/>
            <w:vAlign w:val="bottom"/>
          </w:tcPr>
          <w:p>
            <w:pPr>
              <w:ind w:left="140"/>
              <w:spacing w:after="0"/>
              <w:rPr>
                <w:sz w:val="20"/>
                <w:szCs w:val="20"/>
                <w:color w:val="auto"/>
              </w:rPr>
            </w:pPr>
            <w:r>
              <w:rPr>
                <w:rFonts w:ascii="Arial" w:cs="Arial" w:eastAsia="Arial" w:hAnsi="Arial"/>
                <w:sz w:val="18"/>
                <w:szCs w:val="18"/>
                <w:color w:val="auto"/>
                <w:w w:val="95"/>
              </w:rPr>
              <w:t>Executive Vice President - Chief Executive Officer, EFT Europe, Middle East</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Nikos Fountas</w:t>
            </w:r>
          </w:p>
        </w:tc>
        <w:tc>
          <w:tcPr>
            <w:tcW w:w="940" w:type="dxa"/>
            <w:vAlign w:val="bottom"/>
          </w:tcPr>
          <w:p>
            <w:pPr>
              <w:jc w:val="center"/>
              <w:ind w:left="232"/>
              <w:spacing w:after="0"/>
              <w:rPr>
                <w:sz w:val="20"/>
                <w:szCs w:val="20"/>
                <w:color w:val="auto"/>
              </w:rPr>
            </w:pPr>
            <w:r>
              <w:rPr>
                <w:rFonts w:ascii="Arial" w:cs="Arial" w:eastAsia="Arial" w:hAnsi="Arial"/>
                <w:sz w:val="18"/>
                <w:szCs w:val="18"/>
                <w:color w:val="auto"/>
                <w:w w:val="89"/>
              </w:rPr>
              <w:t>51</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September 2009</w:t>
            </w:r>
          </w:p>
        </w:tc>
        <w:tc>
          <w:tcPr>
            <w:tcW w:w="5960" w:type="dxa"/>
            <w:vAlign w:val="bottom"/>
          </w:tcPr>
          <w:p>
            <w:pPr>
              <w:ind w:left="140"/>
              <w:spacing w:after="0"/>
              <w:rPr>
                <w:sz w:val="20"/>
                <w:szCs w:val="20"/>
                <w:color w:val="auto"/>
              </w:rPr>
            </w:pPr>
            <w:r>
              <w:rPr>
                <w:rFonts w:ascii="Arial" w:cs="Arial" w:eastAsia="Arial" w:hAnsi="Arial"/>
                <w:sz w:val="18"/>
                <w:szCs w:val="18"/>
                <w:color w:val="auto"/>
              </w:rPr>
              <w:t>and Africa Division</w:t>
            </w:r>
          </w:p>
        </w:tc>
      </w:tr>
      <w:tr>
        <w:trPr>
          <w:trHeight w:val="27"/>
        </w:trPr>
        <w:tc>
          <w:tcPr>
            <w:tcW w:w="2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Martin L. Bruckner</w:t>
            </w:r>
          </w:p>
        </w:tc>
        <w:tc>
          <w:tcPr>
            <w:tcW w:w="940" w:type="dxa"/>
            <w:vAlign w:val="bottom"/>
            <w:shd w:val="clear" w:color="auto" w:fill="CCEEFF"/>
          </w:tcPr>
          <w:p>
            <w:pPr>
              <w:jc w:val="center"/>
              <w:ind w:left="232"/>
              <w:spacing w:after="0"/>
              <w:rPr>
                <w:sz w:val="20"/>
                <w:szCs w:val="20"/>
                <w:color w:val="auto"/>
              </w:rPr>
            </w:pPr>
            <w:r>
              <w:rPr>
                <w:rFonts w:ascii="Arial" w:cs="Arial" w:eastAsia="Arial" w:hAnsi="Arial"/>
                <w:sz w:val="18"/>
                <w:szCs w:val="18"/>
                <w:color w:val="auto"/>
                <w:w w:val="89"/>
              </w:rPr>
              <w:t>39</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January 2014</w:t>
            </w:r>
          </w:p>
        </w:tc>
        <w:tc>
          <w:tcPr>
            <w:tcW w:w="5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Vice President - Chief Technology Officer</w:t>
            </w:r>
          </w:p>
        </w:tc>
      </w:tr>
      <w:tr>
        <w:trPr>
          <w:trHeight w:val="27"/>
        </w:trPr>
        <w:tc>
          <w:tcPr>
            <w:tcW w:w="2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MICHAEL J. BROWN, Chairman, Chief Executive Officer and President. Mr. Brown is one of the founders of Euronet and has served as our Chairman of the Board and Chief Executive Officer since 1996, and has served as President since December 2014. He also co-founded our predecessor company in 1994. Mr. Brown has been a Director of Euronet since our incorporation in December 1996 and previously served on the boards of Euronet's predecessor companies. In 1979, Mr. Brown founded Innovative Software, Inc., a computer software company that was merged in 1988 with Informix. Mr. Brown served as President and Chief Operating Officer of Informix from February 1988 to January 1989. He served as President of the Workstation Products Division of Informix from January 1989 until April 1990. In 1993, Mr. Brown was a founding investor of Visual Tools, Inc. Visual Tools, Inc. was acquired by Sybase Software in 1996. Mr. Brown received a B.S. in Electrical Engineering from the University of Missouri - Columbia in 1979 and a M.S. in Molecular and Cellular Biology at the University of Missouri - Kansas City in 1997.</w:t>
      </w:r>
    </w:p>
    <w:p>
      <w:pPr>
        <w:spacing w:after="0" w:line="17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RICK L. WELLER, Executive Vice President, Chief Financial Officer. Mr. Weller has been Executive Vice President and Chief Financial Officer of Euronet since he joined Euronet in November 2002. From January 2002 to October 2002, he was the sole proprietor of Pivotal Associates, a business development firm. From November 1999 to December 2001, Mr. Weller held the position of Chief Operating Officer of ionex telecommunications, inc., a local exchange company. He is a certified public accountant and received his B.S. in Accounting from the University of Central Missouri.</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JEFFREY B. NEWMAN, Executive Vice President, General Counsel. Mr. Newman has been Executive Vice President and General Counsel of Euronet since January 2000. He joined Euronet in December 1996 as Vice President and General Counsel. Prior to this, he practiced law with the Washington, D.C. based law firm of Arent Fox Kintner Plotkin &amp; Kahn and the Paris based law firm of Salans Hertzfeld &amp; Heilbronn. He is a member of the District of Columbia, California and Paris, France bars. He received a B.A. in Political Science and French from Ohio University in 1976 and law degrees from Ohio State University and the University of Paris.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KEVIN J. CAPONECCHI, Executive Vice President, Chief Executive Officer, epay, Software and EFT Asia Pacific Division. Mr. Caponecchi joined Euronet in July 2007 and served as President until assuming his current role in December 2014. Prior to joining Euronet, Mr. Caponecchi served in various capacities with subsidiaries of General Electric Company for 17 years. From 2003 until June 2007, Mr. Caponecchi served as President of GE Global Signaling, a provider of products and services to freight, passenger and mass transit systems. From 1998 through 2002, Mr. Caponecchi served as General Manager - Technology for GE Consumer &amp; Industrial, a provider of consumer appliances, lighting products and electrical products. Mr. Caponecchi holds degrees in physics from Franklin and Marshall College and industrial engineering from Columbia University.</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JUAN C. BIANCHI, Executive Vice President - Chief Executive Officer, Money Transfer Segment. Mr. Bianchi joined Euronet subsequent to the acquisition of Ria in 2007. Prior to the acquisition, Mr. Bianchi served as the Chief Executive Officer of Ria and has spent his entire career at either Ria or AFEX Money Express, a money transfer company purchased by Ria's founders. Mr. Bianchi began his career at AFEX in Chile in 1992, joined AFEX USA's operations in 1996, and became chief operating officer of AFEX-Ria in 2003. Mr. Bianchi studied business at the Universidad Andres Bello in Chile and completed the Executive Program in Management at UCLA's John E. Anderson School of Business.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NIKOS FOUNTAS, Executive Vice President - Chief Executive Officer, EFT Europe, Middle East and Africa Division. Mr. Fountas has been Executive Vice President of the Company's EFT Processing Segment in Europe since December 2012. Mr. Fountas joined Euronet subsequent to the Company's 2005 acquisition of Instreamline S.A. (now Euronet Card Services) in Greece. He served as managing director of the Company's Greece EFT subsidiary, responsible for Euronet's European card processing and cross-border acquiring operations until September 2009. In September 2009, Mr. Fountas took over responsibilities as managing director of Euronet's Europe EFT Processing Segment. Prior to joining Euronet, Mr. Fountas spent over 20 years working in management and executive-level positions in the IT field for several companies, including IBM for 12 years. He has a degree in computer science (Honors) from York University in Canada and post graduate studies in business administration from Henley Management School and IBM Business Professional Institute.</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MARTIN L. BRUCKNER, Senior Vice President - Chief Technology Officer. Mr. Bruckner has been Senior Vice President and Chief Technology Officer of Euronet since January 2014. Mr. Bruckner joined Euronet in 2007 as head of software development and IT operations for Transact GmbH. In 2009, he was promoted to Chief Technology Officer of Euronet's epay segment. Prior to joining Euronet, Mr. Bruckner established his own IT company called MLB Development GmbH, where he developed software systems for various European companies. Mr. Bruckner has more than 20 years of software development experience and published his first software product (BBS systems) at the age of 15. He received a Doctorate of Law from the University of Rostock and a law degree from the University of Bielefeld.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Reports, Certain Committee Charters and Other Information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Website addresses are www.euronetworldwide.com and www.eeft.com. We make available all Securities and Exchange Commission (“SEC”) public filings, including our annual reports on Form 10-K, quarterly reports on Form 10-Q, current reports on Form 8-K, and all amendments to those reports filed or furnished pursuant to Sections 13(a) or 15(d) of the Securities Exchange Act of 1934, as amended ("Exchange Act") on our Websites free of charge as soon as reasonably practicable after these documents are electronically filed with, or furnished to, the SEC. The information on our Websites is not, and shall not be deemed to be, a part of this report or incorporated into any other filings we make with the SEC. In addition, our SEC filings are made available via the SEC's EDGAR filing system accessible at www.sec.gov.</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charters for our Audit, Compensation, and Corporate Governance and Nominating Committees, as well as the Code of Business Conduct &amp; Ethics for our employees, including our Chief Executive Officer and Chief Financial Officer, are available on our Website at www.euronetworldwide.com in the “Investor Relations” section.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Our operations are subject to a number of risks and uncertainties, including those described below. You should carefully consider the risks described below before making an investment decision. The risks and uncertainties described below are not necessarily organized in order of priority or probability.</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This Annual Report also contains forward-looking statements that involve risks and uncertainties. Our actual results could differ materially from those anticipated in the forward-looking statements as a result of a number of factors, including the risks described below and elsewhere in this Annual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may suffer from risks related to acquisitions and potential future acquisitions.</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 substantial portion of our growth has been due to acquisitions, and we continue to evaluate and engage in discussions concerning potential acquisition opportunities, some of which could be material. We cannot assure you that we will be able to successfully integrate, or otherwise realize anticipated benefits from, our recent acquisitions or any future acquisitions. Failure to successfully integrate or otherwise realize the anticipated benefits of these acquisitions could adversely impact our long-term competitiveness and profitability. The integration of any future acquisitions will involve a number of risks that could harm our financial condition, results of operations and competitive position. In particular:</w:t>
      </w:r>
    </w:p>
    <w:p>
      <w:pPr>
        <w:spacing w:after="0" w:line="188" w:lineRule="exact"/>
        <w:rPr>
          <w:sz w:val="20"/>
          <w:szCs w:val="20"/>
          <w:color w:val="auto"/>
        </w:rPr>
      </w:pPr>
    </w:p>
    <w:p>
      <w:pPr>
        <w:ind w:left="500" w:right="160" w:hanging="316"/>
        <w:spacing w:after="0" w:line="259"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plans for our acquisitions are based on benefits that involve assumptions as to future events, including leveraging our existing relationships, as well as general business and industry conditions, many of which are beyond our control and may not materialize. Unforeseen factors may offset components of our integration plans in whole or in part. As a result, our actual results may vary considerably, or be considerably delayed, compared to our estimates;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00" w:right="200" w:hanging="316"/>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integration process could disrupt the activities of the businesses that are being combined. The combination of companies requires, among other things, coordination of administrative and other functions. In addition, the loss of key employees, customers or vendors of acquired businesses could materially and adversely impact the integration of the acquired businesses;</w:t>
      </w:r>
    </w:p>
    <w:p>
      <w:pPr>
        <w:spacing w:after="0" w:line="181"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execution of our integration plans may divert the attention of our management from other key responsibilities;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assume unanticipated liabilities and contingencies; or</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acquisition targets could fail to perform in accordance with our expectations at the time of purchase.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Future acquisitions may be affected through the issuance of our Common Stock or securities convertible into our Common Stock, which could substantially dilute the ownership percentage of our current stockholders. In addition, shares issued in connection with future acquisitions could be publicly tradable, which could result in a material decrease in the market price of our Common Stock.</w:t>
      </w:r>
    </w:p>
    <w:p>
      <w:pPr>
        <w:spacing w:after="0" w:line="177"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A lack of business opportunities or financial or other resources may impede our ability to continue to expand at desired levels, and our failure to expand operations could have an adverse impact on our financial condition.</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Certain factors on which our ability to expand each of our divisions is dependent are set forth at Item 7, Management's Discussion and Analysis of Financial Condition and Results of Operations - Opportunities and Challenges. If any of such factors impede our ability to expand our businesses, our financial results and condition could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business cycles, seasonality and other outside factors that may negatively affect our business.</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recessionary economic environment in any of our markets or other outside factors could have a negative impact on banks, mobile phone operators, content providers, retailers and our individual customers and could reduce the level of transactions in all of our divisions, which would, in turn, negatively impact our financial results. If banks, mobile phone operators and content providers experience decreased demand for their products and services, or if the locations where we provide services decrease in number, we will process fewer transactions, resulting in lower revenues. In addition, a recessionary economic environment could reduce the level of transactions taking place on our networks, which will have a negative impact on our business.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experience is that the level of transactions on our networks is also subject to substantial seasonal variation. In the EFT Processing Segment, mostly in Europe, we usually experience our heaviest demand for dynamic currency conversion during the third quarter of the fiscal year, coinciding with the tourism season. As a result, our revenues earned in the third quarter of the year will usually be greater than other quarters of the fiscal year. Additionally, transaction levels have consistently been higher in the fourth quarter of the fiscal year due to increased use of ATMs, prepaid products and money transfer services during the holiday season. Generally, the level of transactions drops in the first quarter, during which transaction levels are generally the lowest we experience during the year, which reduces the level of revenues that we record. In the Money Transfer Segment, we experience increased transaction levels during the May through October timeframe coinciding with the increase in worker migration patterns. As a result of these seasonal variations, our quarterly operating results may fluctuate materially and could lead to volatility in the price of our shares.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economic or political instability, civil unrest, terrorism and natural disasters may make money transfers to, from or within a particular country more difficult. The inability to timely complete money transfers could adversely affect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prolonged economic slowdown or lengthy or severe recession in the U.S. or elsewhere could harm our operations.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Concerns over the slow economic recovery, level of U.S. national debt and structural deficits, inflation levels, energy costs and geopolitical issues have contributed to increased volatility and diminished expectations for the economy and the markets going forward. These factors, combined with volatile oil prices, reduced business and consumer confidence and continued high unemployment, have negatively impacted the world economy. A prolonged economic downturn or recession could materially impact our results from operations. A recessionary economic environment could have a negative impact on mobile phone operators, content providers, retailers and our other customers and could reduce the level of transactions processed on our networks, which would, in turn, negatively impact our financial results. If mobile phone operators and financial institutions experience decreased demand for their products and services, or if the locations where we provide services decrease in number, we will process fewer transactions, resulting in lower revenues.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0"/>
        <w:spacing w:after="0" w:line="313" w:lineRule="auto"/>
        <w:rPr>
          <w:sz w:val="20"/>
          <w:szCs w:val="20"/>
          <w:color w:val="auto"/>
        </w:rPr>
      </w:pPr>
      <w:r>
        <w:rPr>
          <w:rFonts w:ascii="Arial" w:cs="Arial" w:eastAsia="Arial" w:hAnsi="Arial"/>
          <w:sz w:val="17"/>
          <w:szCs w:val="17"/>
          <w:b w:val="1"/>
          <w:bCs w:val="1"/>
          <w:color w:val="auto"/>
        </w:rPr>
        <w:t>Retaining the founder and key executives of our company, and of companies that we acquire, and finding and retaining qualified personnel is important to our continued success, and any inability to attract and retain such personnel could harm our operations.</w:t>
      </w:r>
    </w:p>
    <w:p>
      <w:pPr>
        <w:spacing w:after="0" w:line="14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development and implementation of our strategy has depended in large part on the co-founder of our company, Michael J. Brown. The retention of Mr. Brown is important to our continued success. In addition, the success of the expansion of businesses that we acquire may depend in large part upon the retention of the founders of those businesses. Our success also depends in part on our ability to hire and retain highly skilled and qualified management, operating, marketing, financial and technical personnel. The competition for qualified personnel in the markets where we conduct our business is intense and, accordingly, we cannot assure you that we will be able to continue to hire or retain the required personnel.</w:t>
      </w:r>
    </w:p>
    <w:p>
      <w:pPr>
        <w:spacing w:after="0" w:line="17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officers and some of our key personnel have entered into service or employment agreements containing non-competition, non-disclosure and non-solicitation covenants, which grant incentive stock options and/or restricted stock with long-term vesting requirements. However, most of these contracts do not guarantee that these individuals will continue their employment with us. The loss of our key personnel could have a material adverse effect on our business, growth, financial condition or results of operations.</w:t>
      </w:r>
    </w:p>
    <w:p>
      <w:pPr>
        <w:spacing w:after="0" w:line="183" w:lineRule="exact"/>
        <w:rPr>
          <w:sz w:val="20"/>
          <w:szCs w:val="20"/>
          <w:color w:val="auto"/>
        </w:rPr>
      </w:pPr>
    </w:p>
    <w:p>
      <w:pPr>
        <w:jc w:val="both"/>
        <w:ind w:right="420"/>
        <w:spacing w:after="0" w:line="266" w:lineRule="auto"/>
        <w:rPr>
          <w:sz w:val="20"/>
          <w:szCs w:val="20"/>
          <w:color w:val="auto"/>
        </w:rPr>
      </w:pPr>
      <w:r>
        <w:rPr>
          <w:rFonts w:ascii="Arial" w:cs="Arial" w:eastAsia="Arial" w:hAnsi="Arial"/>
          <w:sz w:val="18"/>
          <w:szCs w:val="18"/>
          <w:b w:val="1"/>
          <w:bCs w:val="1"/>
          <w:color w:val="auto"/>
        </w:rPr>
        <w:t>We have a substantial amount of debt and other contractual commitments, and the cost of servicing those obligations could adversely affect our business, and such risk could increase if we incur more debt. We may be required to prepay our obligations under the secured syndicated credit facility.</w:t>
      </w:r>
    </w:p>
    <w:p>
      <w:pPr>
        <w:spacing w:after="0" w:line="18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a substantial amount of indebtedness. As of December 31, 2014, total liabilities were $1,318.7 million, of which $410.4 million represents long-term debt obligations, and total assets were $2,051.6 million. We may not have sufficient funds to satisfy all such obligations as a result of a variety of factors, some of which may be beyond our control. If the opportunity of a strategic acquisition arises or if we enter into new contracts that require the installation or servicing of infrastructure, such as processing centers, ATM machines or POS terminals on a faster pace than anticipated, we may be required to incur additional debt for these purposes and to fund our working capital needs, including ATM network cash, which we may not be able to obtain. The level of our indebtedness could have important consequences to investors, including the following:</w:t>
      </w:r>
    </w:p>
    <w:p>
      <w:pPr>
        <w:spacing w:after="0" w:line="178" w:lineRule="exact"/>
        <w:rPr>
          <w:sz w:val="20"/>
          <w:szCs w:val="20"/>
          <w:color w:val="auto"/>
        </w:rPr>
      </w:pPr>
    </w:p>
    <w:p>
      <w:pPr>
        <w:ind w:left="500" w:right="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any necessary financing in the future for working capital, capital expenditures, debt service requirements or other purposes may be limited or financing may be unavailable;</w:t>
      </w:r>
    </w:p>
    <w:p>
      <w:pPr>
        <w:spacing w:after="0" w:line="170" w:lineRule="exact"/>
        <w:rPr>
          <w:rFonts w:ascii="Arial" w:cs="Arial" w:eastAsia="Arial" w:hAnsi="Arial"/>
          <w:sz w:val="18"/>
          <w:szCs w:val="18"/>
          <w:color w:val="auto"/>
        </w:rPr>
      </w:pPr>
    </w:p>
    <w:p>
      <w:pPr>
        <w:ind w:left="500" w:right="58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portion of our cash flows must be dedicated to the payment of principal and interest on our indebtedness and other obligations and will not be available for use in our business;</w:t>
      </w:r>
    </w:p>
    <w:p>
      <w:pPr>
        <w:spacing w:after="0" w:line="170" w:lineRule="exact"/>
        <w:rPr>
          <w:rFonts w:ascii="Arial" w:cs="Arial" w:eastAsia="Arial" w:hAnsi="Arial"/>
          <w:sz w:val="18"/>
          <w:szCs w:val="18"/>
          <w:color w:val="auto"/>
        </w:rPr>
      </w:pPr>
    </w:p>
    <w:p>
      <w:pPr>
        <w:ind w:left="500" w:hanging="316"/>
        <w:spacing w:after="0"/>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level of indebtedness could limit our flexibility in planning for, or reacting to, changes in our business and the markets in which we operate;</w:t>
      </w:r>
    </w:p>
    <w:p>
      <w:pPr>
        <w:spacing w:after="0" w:line="236" w:lineRule="exact"/>
        <w:rPr>
          <w:rFonts w:ascii="Arial" w:cs="Arial" w:eastAsia="Arial" w:hAnsi="Arial"/>
          <w:sz w:val="17"/>
          <w:szCs w:val="17"/>
          <w:color w:val="auto"/>
        </w:rPr>
      </w:pPr>
    </w:p>
    <w:p>
      <w:pPr>
        <w:ind w:left="500" w:right="10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level of indebtedness will make us more vulnerable to changes in general economic conditions and/or a downturn in our business, thereby making it more difficult for us to satisfy our obligations; and</w:t>
      </w:r>
    </w:p>
    <w:p>
      <w:pPr>
        <w:spacing w:after="0" w:line="170" w:lineRule="exact"/>
        <w:rPr>
          <w:rFonts w:ascii="Arial" w:cs="Arial" w:eastAsia="Arial" w:hAnsi="Arial"/>
          <w:sz w:val="18"/>
          <w:szCs w:val="18"/>
          <w:color w:val="auto"/>
        </w:rPr>
      </w:pPr>
    </w:p>
    <w:p>
      <w:pPr>
        <w:ind w:left="500" w:right="620" w:hanging="316"/>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a portion of our debt bears interest at a variable rate of interest, our actual debt service obligations could increase as a result of adverse changes in interest rates.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we fail to make required debt payments, or if we fail to comply with other covenants in our debt service agreements, we would be in default under the terms of these agreements. This default would permit the holders of the indebtedness to accelerate repayment of this debt and could cause defaults under other indebtedness that we have.</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Restrictive covenants in our credit facilities may adversely affect us. Our credit facility contains two financial covenants that we must meet as defined in the agreement: (1) Consolidated Total Leverage Ratio, and (2) Consolidated Fixed Charge Coverage Ratio. To remain in compliance with our debt covenants, we may be required to increase EBITDA, repay debt, or both. We cannot assure you that we will have sufficient assets, liquidity or EBITDA to meet or avoid these obligations, which could have an adverse impact on our financial condition.</w:t>
      </w:r>
    </w:p>
    <w:p>
      <w:pPr>
        <w:spacing w:after="0" w:line="187" w:lineRule="exact"/>
        <w:rPr>
          <w:sz w:val="20"/>
          <w:szCs w:val="20"/>
          <w:color w:val="auto"/>
        </w:rPr>
      </w:pPr>
    </w:p>
    <w:p>
      <w:pPr>
        <w:ind w:right="640"/>
        <w:spacing w:after="0" w:line="286" w:lineRule="auto"/>
        <w:rPr>
          <w:sz w:val="20"/>
          <w:szCs w:val="20"/>
          <w:color w:val="auto"/>
        </w:rPr>
      </w:pPr>
      <w:r>
        <w:rPr>
          <w:rFonts w:ascii="Arial" w:cs="Arial" w:eastAsia="Arial" w:hAnsi="Arial"/>
          <w:sz w:val="17"/>
          <w:szCs w:val="17"/>
          <w:color w:val="auto"/>
        </w:rPr>
        <w:t>Our ability to secure additional financing for growth or to refinance any of our existing debt is also dependent upon the availability of credit in the marketplace, which has experienced severe disruptions in the past. If we are unable to secure additional financing or such financing is not available at acceptable terms, we may be unable to secure financing for growth or refinance our debt obligations, if necessary.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In the event that we need debt financing in the future, uncertainty in the credit markets could affect our ability to obtain debt financing on reasonable terms.</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event we were to require additional debt financing in the future, uncertainty in the credit markets could materially impact our ability to obtain debt financing on reasonable terms. The inability to access debt financing on reasonable terms could materially impact our ability to make acquisitions, refinance existing debt or materially expand our business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interest rates will adversely impact our results of operations.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portion of our existing indebtedness has variable interest rates. Increases in variable interest rates will increase the amount of interest expense that we pay for our borrowings and have a negative impact on our results of operations.</w:t>
      </w:r>
    </w:p>
    <w:p>
      <w:pPr>
        <w:spacing w:after="0" w:line="16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We may be required to recognize impairment charges related to long-lived assets and goodwill recorded in connection with our acquisitions, which would adversely impact our results of operations.</w:t>
      </w:r>
    </w:p>
    <w:p>
      <w:pPr>
        <w:spacing w:after="0" w:line="16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Our total assets include approximately $758.1 million, or 37% of total assets, in goodwill and acquired intangible assets recorded as a result of acquisitions. We assess our goodwill, intangible assets and other long-lived assets as and when required by accounting principles generally accepted in the U.S. to determine whether they are impaired. In 2012, we determined that certain goodwill and acquired intangible assets of our epay business in Brazil were impaired and we recorded $28.7 million of non-cash impairment charges. In 2013, we determined that certain goodwill assets of our epay businesses in Australia and Spain were impaired and we recorded $18.4 million of non-cash impairment charges. If operating results in any of our key markets, including Australia, Germany, Greece, New Zealand, the U.S., the U.K., Poland and Romania, deteriorate or our plans do not progress as expected when we acquired these entities, or if capital markets depress our value or that of similar companies, we may be required to record additional impairment write-downs of goodwill, intangible assets or other long-lived assets. This could have a material adverse effect on our results of operations and financial condition.</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The processes and systems we employ may be subject to patent protection by other parties, and any claims could adversely affect our business and results of operations.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certain countries, including the U.S., patent protection legislation permits the protection of processes and systems. We employ processes and systems in various markets that have been used in the industry by other parties for many years, and which we or other companies that use the same or similar processes and systems consider to be in the public domain. However, we are aware that certain parties believe they hold valid patents that cover some of the processes and systems employed in our business lines in the U.S. and elsewhere. We believe the processes and systems we use have been in the public domain prior to the patents we are aware of. The question of whether a process or system is in the public domain is a legal determination, and if this issue is litigated we cannot be certain of the outcome of any such litigation.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may also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 Any such occurrences could materially and adversely affect our prepaid processing business in any affected markets and could result in our reconsidering the rate of expansion of this business in those markets.</w:t>
      </w:r>
    </w:p>
    <w:p>
      <w:pPr>
        <w:spacing w:after="0" w:line="165"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conduct a significant portion of our business in Central and Eastern European countries, and we have subsidiaries in the Middle East, Asia Pacific and South America, where the risk of continued political, economic and regulatory change that could impact our operating results is greater than in the U.S. or Western Europe.</w:t>
      </w:r>
    </w:p>
    <w:p>
      <w:pPr>
        <w:spacing w:after="0" w:line="1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subsidiaries in Central and Eastern Europe, the Middle East, Asia Pacific and South America. We expect to continue to expand our operations to other countries in these regions. Some of these countries have undergone significant political, economic and social change in recent years and the risk of new, unforeseen changes in these countries remains greater than in the U.S. or Western Europe. In particular, changes in laws or regulations or in the interpretation of existing laws or regulations, whether caused by a change in government or otherwise, could materially adversely affect our business, growth, financial condition or results of operations.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example, currently there are no limitations in any of the countries in which we have subsidiaries on the repatriation of profits from these countries, but foreign currency exchange control restrictions, taxes or limitations may be imposed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tightened in the future with regard to repatriation of earnings and investments from these countries. If exchange control restrictions, taxes or limitations are imposed, our ability to receive dividends or other payments from affected subsidiaries could be reduced, which may have a material adverse effect on us. As discussed under "Liquidity and Capital Resources" in Item 7 - Management's Discussion and Analysis of Financial Condition and Results of Operations, under existing U.S. tax laws, repatriation of certain assets to the U.S. could have adverse tax consequences.</w:t>
      </w:r>
    </w:p>
    <w:p>
      <w:pPr>
        <w:spacing w:after="0" w:line="17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0"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conduct business in many international markets with complex and evolving tax rules, including value added tax rules, which subjects us to international tax compliance risks which could adversely affect our operating results.</w:t>
      </w:r>
    </w:p>
    <w:p>
      <w:pPr>
        <w:spacing w:after="0" w:line="16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While we obtain advice from legal and tax advisors as necessary to help assure compliance with tax and regulatory matters, most tax jurisdictions that we operate in have complex and subjective rules regarding the valuation of intercompany services, cross-border payments between affiliated companies and the related effects on income tax, value added tax (“VAT”), transfer tax and share registration tax. Our foreign subsidiaries frequently undergo VAT reviews, and from time to time undergo comprehensive tax reviews and may be required to make additional tax payments should the review result in different interpretations, allocations or valuations of our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Increases in taxes could negatively impact our operating results.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result of economic downturns, tax receipts have decreased and/or government spending has increased in many of the countries in which we operate. Consequently, governments may increase tax rates or implement new taxes in order to compensate for gaps between tax revenues and expenditures. Additionally, governments may prohibit or restrict the use of certain legal structures designed to minimize taxes. Any such tax increases, whether borne by us or our customers, could negatively impact our operating results or the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violations of the U.S. Foreign Corrupt Practices Act or other similar anti-corruption laws.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in countries outside the United States are subject to anti-corruption laws and regulations, including restrictions imposed by the FCPA. The FCPA and similar anti-corruption laws in other jurisdictions, such as the U.K. Bribery Act, generally prohibit companies and their intermediaries from making improper payments to government officials for the purpose of obtaining or retaining business. We operate in many parts of the world that have experienced governmental corruption to some degree and, in certain circumstances, strict compliance with anti-corruption laws may conflict with local customs and practices.</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employees and agents interact with government officials on our behalf, including as necessary to obtain licenses and other regulatory approvals necessary to operate our business, import or export equipment and resolve tax disputes. These interactions create a risk of violation of the FCPA or other similar laws.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Although we have implemented policies and procedures designed to ensure compliance with local laws and regulations as well as U.S. laws and regulations, including the FCPA, there can be no assurance that all of our employees, consultants, contractors and agents will abide by our policies. If we are found to be liable for violations of the FCPA or similar anti-corruption laws in other jurisdictions, either due to our own or others' acts or inadvertence, we could suffer from criminal or civil penalties which could have a material and adverse effect on our results of operations, financial condition and cash flows.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b w:val="1"/>
          <w:bCs w:val="1"/>
          <w:color w:val="auto"/>
        </w:rPr>
        <w:t>Because we are a multinational company conducting a complex business in many markets worldwide, we are subject to legal and operational risks related to staffing and management, as well as a broad array of local legal and regulatory requirements which could adversely affect our operations.</w:t>
      </w:r>
    </w:p>
    <w:p>
      <w:pPr>
        <w:spacing w:after="0" w:line="12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Operating outside of the U.S. creates difficulties associated with staffing and managing our international operations, as well as complying with local legal and regulatory requirements. We operate financial transaction processing networks that offer new products and services to customers, and the laws and regulations in the markets in which we operate evolve and are subject to rapid change. Although we have knowledgeable local staff in countries in which we deem it appropriate, we cannot assure you that we will continue to be found to be operating in compliance with all applicable customs, currency exchange control regulations, data protection, transfer pricing regulations or any other laws or regulations to which we may be subject. We also cannot assure you that these laws will not be modified in ways that may adversely affect our business.</w:t>
      </w:r>
    </w:p>
    <w:p>
      <w:pPr>
        <w:spacing w:after="0" w:line="174"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Because we derive our revenues from a multitude of countries with different currencies, our business may be adversely affected by local inflation and foreign currency exchange rates and policies.</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report our results in U.S. dollars, although a majority of our income is realized in foreign currencies. As exchange rates among the U.S. dollar, the euro, and other currencies fluctuate, the impact of these fluctuations may have a material adverse effect on our results of operations or financial condition as reported in U.S. dollars.</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Recent media reports have speculated about the possibility of Greece leaving the eurozone and adopting another currency. The Company has considered the impact on it business in Greece should such an event occur. While there is a general risk of reporting net asset values and operating results in an adopted currency which may translate to U.S. dollars at different rates than the euro, we recognize there is a more specific economic risk associated with cash balances in Greece. We hold cash in Greece in banks as well as in our ATM network. A conversion of those cash amounts from euros to another currency could have an adverse effect on our financial condition or results of operations, either from initial conversion or from subsequent changes in currency exchange rates. The magnitude of this risk increases when cash balances in our ATM network increase during the tourism season. While such a currency change is speculative, the Company is monitoring developments in this area and will attempt to mitigate any adverse effects where possible.</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Money Transfer Segment is subject to foreign currency exchange risks because our customers deposit funds in one currency at our retail and agent locations worldwide or in an online account and we typically deliver funds denominated in a different, destination country currency. Although we use foreign currency forward contracts to mitigate a portion of this risk, we cannot eliminate all of the exposure to the impact of changes in foreign currency exchange rates for the period between collection and disbursement of the money transfers.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We have various mechanisms in place to discourage takeover attempts, which may reduce or eliminate our stockholders' ability to sell their shares for a premium in a change of control transaction.</w:t>
      </w:r>
    </w:p>
    <w:p>
      <w:pPr>
        <w:spacing w:after="0" w:line="166"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Various provisions of our certificate of incorporation and bylaws and of Delaware corporate law may discourage, delay or prevent a change in control or takeover attempt of our company by a third party to which our management and board of directors opposes. Public stockholders who might desire to participate in such a transaction may not have the opportunity to do so. These anti-takeover provisions could substantially impede the ability of public stockholders to benefit from a change of control or change in our management and board of directors. These provisions include:</w:t>
      </w:r>
    </w:p>
    <w:p>
      <w:pPr>
        <w:spacing w:after="0" w:line="154" w:lineRule="exact"/>
        <w:rPr>
          <w:sz w:val="20"/>
          <w:szCs w:val="20"/>
          <w:color w:val="auto"/>
        </w:rPr>
      </w:pPr>
    </w:p>
    <w:p>
      <w:pPr>
        <w:ind w:left="500" w:right="22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 that could be issued by our board of directors to make it more difficult for a third party to acquire, or to discourage a third party from acquiring, a majority of our outstanding voting stock;</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classification of our directors into three classes with respect to the time for which they hold office;</w:t>
      </w:r>
    </w:p>
    <w:p>
      <w:pPr>
        <w:spacing w:after="0" w:line="117" w:lineRule="exact"/>
        <w:rPr>
          <w:rFonts w:ascii="Arial" w:cs="Arial" w:eastAsia="Arial" w:hAnsi="Arial"/>
          <w:sz w:val="18"/>
          <w:szCs w:val="18"/>
          <w:color w:val="auto"/>
        </w:rPr>
      </w:pPr>
    </w:p>
    <w:p>
      <w:pPr>
        <w:ind w:left="500" w:right="14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supermajority voting requirements to amend the provision in our certificate of incorporation providing for the classification of our directors into three such classes;</w:t>
      </w:r>
    </w:p>
    <w:p>
      <w:pPr>
        <w:spacing w:after="0" w:line="62"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non-cumulative voting for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 by our board of directors of the size of our board of directors;</w:t>
      </w:r>
    </w:p>
    <w:p>
      <w:pPr>
        <w:spacing w:after="0" w:line="117" w:lineRule="exact"/>
        <w:rPr>
          <w:rFonts w:ascii="Arial" w:cs="Arial" w:eastAsia="Arial" w:hAnsi="Arial"/>
          <w:sz w:val="18"/>
          <w:szCs w:val="18"/>
          <w:color w:val="auto"/>
        </w:rPr>
      </w:pPr>
    </w:p>
    <w:p>
      <w:pPr>
        <w:ind w:left="500" w:hanging="316"/>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limitations on the ability of stockholders to call special meetings of stockholders; and</w:t>
      </w:r>
    </w:p>
    <w:p>
      <w:pPr>
        <w:spacing w:after="0" w:line="117" w:lineRule="exact"/>
        <w:rPr>
          <w:rFonts w:ascii="Arial" w:cs="Arial" w:eastAsia="Arial" w:hAnsi="Arial"/>
          <w:sz w:val="18"/>
          <w:szCs w:val="18"/>
          <w:color w:val="auto"/>
        </w:rPr>
      </w:pPr>
    </w:p>
    <w:p>
      <w:pPr>
        <w:ind w:left="500" w:right="40" w:hanging="316"/>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notice requirements for nominations of candidates for election to our board of directors or for proposing matters that can be acted upon by our stockholders at stockholder meetings.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May 30, 2013, our stockholders ratified a three-year stockholders' rights agreement (the ''Rights Agreement'') entered into on March 26, 2013, between Euronet and Computershare Trust Company, N.A. as rights agent. The Rights Agreement replaces a previous rights agreement that expired on April 3, 2013. Pursuant to the Rights Agreement, holders of our Common Stock are entitled to purchase one one-hundredth (1/100) of a share (a ''Unit'') of Junior Preferred Stock at a price of $125.00 per Unit upon certain events (the "Right"). The purchase price is subject to appropriate adjustment for stock splits and other similar events. Generally, in the event a person or entity acquires, or initiates a tender offer to acquire, at least 20% of Euronet's then-outstanding Common Stock, the Rights will become exercisable for Common Stock having a value equal to two times the exercise price of the Right, or effectively at one-half of Euronet's then-current stock price. The existence of the Rights may discourage, delay or prevent a change of control or takeover attempt of our company by a third party that is opposed by our management and board of directors.</w:t>
      </w:r>
    </w:p>
    <w:p>
      <w:pPr>
        <w:spacing w:after="0" w:line="1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authorized to issue up to a total of 90 million shares of Common Stock, potentially diluting equity ownership of current holders and the share price of our Common Stock.</w:t>
      </w:r>
    </w:p>
    <w:p>
      <w:pPr>
        <w:spacing w:after="0" w:line="16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believe that it is necessary to maintain a sufficient number of available authorized shares of our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use in additional stock incentive programs and (iv) other bona fide purposes. Our Board of Directors may issue the available authorized shares of Common Stock without notice to, or further action by, our stockholders, unless stockholder approval is required by law or the rules of the NASDAQ Global Select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16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An additional 15.3 million shares of Common Stock, representing 30% of the shares outstanding as of December 31, 2014, could be added to our total Common Stock outstanding through the exercise of options or the issuance of additional shares of our Common Stock pursuant to existing convertible debt and other agreements. Once issued, these shares of Common Stock could be traded into the market and result in a decrease in the market price of our Common Stock.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31, 2014, we had 3.8 million and 0.7 million options and restricted stock awards outstanding, respectively, held by our directors, officers and employees, which entitle these holders to acquire an equal number of shares of our Common Stock. Of this amount, 1.8 million options are vested and exercisable as of December 31, 2014. Approximately 5.2 million additional shares of our Common Stock may be issued in connection with our stock incentive and employee stock purchase plans.</w:t>
      </w:r>
    </w:p>
    <w:p>
      <w:pPr>
        <w:spacing w:after="0" w:line="18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Accordingly, based on current trading prices of our Common Stock, approximately 2.6 million shares could potentially be added to our total current Common Stock outstanding through the exercise of options and the vesting of restricted stock, which could adversely impact the trading price for our stock.</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4.5 million total options and restricted stock awards outstanding, an aggregate of 3.0 million options and restricted shares are held by persons who may be deemed to be our affiliates and who would be subject to Rule 144. Thus, upon exercise of their options or sale of shares for which restrictions have lapsed, these affiliates' shares would be subject to the trading restrictions imposed by Rule 144. The remainder of the common shares issuable under option and restricted stock arrangements would be freely tradable in the public market. Over the course of time, all of the issued shares have the potential to be publicly traded, perhaps in large blocks.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Upon the occurrence of certain events, another 5.6 million shares of Common Stock could be issued upon conversion of the Company's convertible notes issued in October 2014; in certain situations, the number of shares issuable could be higher. However, we have stated that we intend to settle any conversion of these notes by issuing cash for the principal value of the notes and issuing shares of Common Stock for the conversion value in excess of the principal, which would significantly reduce the number of shares issued upon conversion.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Our competition in the EFT Processing Segment, epay Segment and Money Transfer Segment includes large, well-financed companies and financial institutions larger than us with earlier entry into the market. As a result, we may lack the financial resources and access to capital needed to capture increased market share.</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EFT Processing Segment </w:t>
      </w:r>
      <w:r>
        <w:rPr>
          <w:rFonts w:ascii="Arial" w:cs="Arial" w:eastAsia="Arial" w:hAnsi="Arial"/>
          <w:sz w:val="17"/>
          <w:szCs w:val="17"/>
          <w:color w:val="auto"/>
        </w:rPr>
        <w:t>- Our principal EFT Processing competitors include ATM networks owned by banks and national switches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consortiums of local banks that provide outsourcing and transaction services only to banks and independent ATM deployers in that country. Large, well-financed companies offer ATM network and outsourcing services that compete with us in various markets. In some cases, these companies also sell a broader range of card and processing services than we do, and are, in some cases, willing to discount ATM services to obtain large contracts covering a broad range of services. Competitive factors in our EFT Processing Segment include network availability and response time, breadth of service offering, price to both the bank and to its customers, ATM location and access to other networks.</w:t>
      </w:r>
    </w:p>
    <w:p>
      <w:pPr>
        <w:spacing w:after="0" w:line="17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epay Segment </w:t>
      </w:r>
      <w:r>
        <w:rPr>
          <w:rFonts w:ascii="Arial" w:cs="Arial" w:eastAsia="Arial" w:hAnsi="Arial"/>
          <w:sz w:val="17"/>
          <w:szCs w:val="17"/>
          <w:color w:val="auto"/>
        </w:rPr>
        <w:t>- We face competition in the epay business in all of our markets. A few multinational companies operate in several of our markets, and we</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compete with them in a number of countries. In other markets, our competition is from smaller, local companies. Major retailers with high volumes are in a position to demand a larger share of commissions or to negotiate directly with the mobile phone operators, which may compress our margins. Additionally, certain of our content providers, including mobile phone operators have entered into direct contracts with retailers and/or have developed processing technology that diminishes or eliminates the need for intermediate processors and distributors.</w:t>
      </w:r>
    </w:p>
    <w:p>
      <w:pPr>
        <w:spacing w:after="0" w:line="16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b w:val="1"/>
          <w:bCs w:val="1"/>
          <w:color w:val="auto"/>
        </w:rPr>
        <w:t xml:space="preserve">Money Transfer Segment - </w:t>
      </w:r>
      <w:r>
        <w:rPr>
          <w:rFonts w:ascii="Arial" w:cs="Arial" w:eastAsia="Arial" w:hAnsi="Arial"/>
          <w:sz w:val="16"/>
          <w:szCs w:val="16"/>
          <w:color w:val="auto"/>
        </w:rPr>
        <w:t>Our primary competitors in the money transfer and bill payment business include other large money transfer companies and</w:t>
      </w:r>
      <w:r>
        <w:rPr>
          <w:rFonts w:ascii="Arial" w:cs="Arial" w:eastAsia="Arial" w:hAnsi="Arial"/>
          <w:sz w:val="16"/>
          <w:szCs w:val="16"/>
          <w:b w:val="1"/>
          <w:bCs w:val="1"/>
          <w:color w:val="auto"/>
        </w:rPr>
        <w:t xml:space="preserve"> </w:t>
      </w:r>
      <w:r>
        <w:rPr>
          <w:rFonts w:ascii="Arial" w:cs="Arial" w:eastAsia="Arial" w:hAnsi="Arial"/>
          <w:sz w:val="16"/>
          <w:szCs w:val="16"/>
          <w:color w:val="auto"/>
        </w:rPr>
        <w:t>electronic money transmitters, as well as certain major national and regional banks, financial institutions and independent sales organizations. Our competitors include The Western Union Company and MoneyGram International Inc., both of which are larger than we and have greater resources and access to capital for expansion than we have. This may allow them to offer better pricing terms to customers, which may result in a loss of our current or potential customers or could force us to lower our prices. Either of these actions could have an adverse impact on our revenues. In addition, our competitors may have the ability to devote more financial and operational resources than we can to the development of new technologies that provide improved functionality and features to their product and service offerings. If successful, their development efforts could render our product and services offerings less desirable, resulting in the loss of customers or a reduction in the price we could demand for our services. In addition to traditional money payment services, new technologies are emerging that may effectively compete with traditional money payment services, such as stored-value cards, debit networks, web-based services and digital currencies. Our continued growth depends upon our ability to compete effectively with these alternative technologies.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processing fees and commissions in our epay business continue to decline, our financial results may be adversely affected.</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epay Segment derives revenues based on processing fees and commissions from mobile phone operators and other content providers. Growth in our prepaid mobile business in any given market is driven by a number of factors, including the overall pace of growth in the prepaid mobile phone market which is impacted by competing postpaid services, our market share of the retail distribution capacity, the level of commission that is paid to the various intermediaries in the prepaid mobile airtime distribution chain, and the value provided to the retailers through the types of products offered and the level of integration with their systems. Also, competition among prepaid mobile distributors results in retailer churn and the reduction of commissions paid by prepaid content providers, although a portion of such reductions can be passed along to retailers. In recent years, processing fees and commissions per transaction have declined in most markets, and we expect that trend to continue. We have generally been able to mitigate that trend due to substantial growth in the number of transactions, driven by acquisitions and organic growth. If we cannot continue to increase our transaction levels and per-transaction fees and commissions continue to decline, the combined impact of these factors could adversely impact our financial results.</w:t>
      </w:r>
    </w:p>
    <w:p>
      <w:pPr>
        <w:spacing w:after="0" w:line="16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epay and money transfer businesses may be susceptible to fraud and/or credit risks occurring at the retailer, correspondent and/or consumer level, which could adversely affect our results of operations.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our epay Segment, we contract with retailers that accept payment on our behalf, which we then transfer to a trust or other operating account for payment to content providers. In the event a retailer does not transfer to us payments that it receives for prepaid content sales, whether as a result of fraud, insolvency, billing delays or otherwise, we are responsible to the content provider for the cost of the product sold. We can provide no assurance that retailer fraud or insolvency will not increase in the future or that any proceeds we receive under our credit enhancement or insurance policies will be adequate to cover losses resulting from retailer fraud, which could have a material adverse effect on our business,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With respect to our Ria money transfer business, we conduct the majority of our business through our agent network, which provides money transfer services directly to consumers at retail locations. Our agents collect funds directly from consumers and in turn, we collect from the agents the proceeds due to us resulting from the money transfer transactions. In addition, we advance funds to our correspondent banks to pay out money transfers and they may hold our funds for several days or more pending payment to beneficiaries. Therefore, we have credit exposure to our agents and correspondents. Additionally, our Company-owned stores transact a significant amount of business in cash. Although we have safeguards in place, cash transactions have a higher exposure to fraud and theft than other types of transactions. The failure of agents owing us significant amounts to remit funds to us or to repay such amounts, or the loss of cash in our stores could have a material adverse effect our business, financial condition and results of operations.</w:t>
      </w:r>
    </w:p>
    <w:p>
      <w:pPr>
        <w:spacing w:after="0" w:line="163"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Because we typically enter into short-term contracts with content providers and retailers, our epay business is subject to the risk of non-renewal of those contracts, or renewal under less favorable terms.</w:t>
      </w:r>
    </w:p>
    <w:p>
      <w:pPr>
        <w:spacing w:after="0" w:line="166"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contracts with content providers to distribute and process content, including prepaid mobile airtime top-up services, typically have terms of less than three years. Many of those contracts may be canceled by either party upon three months' notice. Our contracts with content providers are not exclusive, so these providers may enter into contracts with other service providers. In addition, our service contracts with major retailers typically have terms of one to three years, and our contracts with smaller retailers typically may be canceled by either party upon three to six months' notice. The cancellation or non-renewal of one or more of our significant content provider or retail contracts, or of a large enough group of our contracts with smaller retailers, could have a material adverse effect on our business, financial condition and results of operations. The renewal of contracts under less favorable payment terms, commission terms or other terms could have a material adverse impact on our working capital requirements and/or results from operations. In addition, our contracts generally permit operators to reduce our fees at any time. Commission revenue or fee reductions by any of the content providers could also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growth and profitability of our epay business may be adversely affected by changes in state, federal or foreign laws, rules and regulations.</w:t>
      </w:r>
    </w:p>
    <w:p>
      <w:pPr>
        <w:spacing w:after="0" w:line="252"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As we continue to expand our electronic payment product offerings, certain of those products may become regulated by state, federal or foreign laws, rules and regulations, including the newly created U.S. Consumer Financial Protection Bureau ("CFPB"). New product offerings may be considered to be money transfer related products which would require licensure for entities distributing or processing such products. If such products become more highly regulated and ultimately require licensure, our epay business may be adversely affected. Further, if regulations regarding the expiration of gift vouchers change in the countries where we offer them, the revenue epay recognizes from unredeemed vouchers may be negatively affected.</w:t>
      </w:r>
    </w:p>
    <w:p>
      <w:pPr>
        <w:spacing w:after="0" w:line="1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The growth in our epay business may be adversely affected if we are unable to expand and differentiate our offering of new electronic payment products.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prepaid marketplace is currently experiencing high growth in the differentiation of product offerings. While our epay business is focused on expanding and differentiating its suite of prepaid product offerings on a global basis, there can be no assurance that we will be able to enter into relationships on favorable terms with additional content providers or renew or expand current relationships and contracts on favorable terms. Inability to continue to grow our suite of electronic payment product offerings could have a material adverse effect on our business, financial condition and results of operations.</w:t>
      </w:r>
    </w:p>
    <w:p>
      <w:pPr>
        <w:spacing w:after="0" w:line="150"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The stability and growth of our EFT Processing Segment may be adversely affected if we are unable to maintain our current card acceptance and ATM management agreements with banks and international card organizations, and to secure new arrangements for card acceptance and ATM management.</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stability and future growth of our EFT Processing Segment depends in part on our ability to sign card acceptance and ATM management agreements with banks and international card organizations. Card acceptance agreements allow our ATMs to accept credit and debit cards issued by banks and international card organizations. ATM management agreements generate service income from our management of ATMs for banks. These agreements are the primary source of revenues in our ATM business.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These agreements have expiration dates, and banks and international card organizations are generally not obligated to renew them. Our existing contacts generally have terms of five to seven years and a number of them expire or are up for renewal each year. In some cases, banks may terminate their contracts prior to the expiration of their terms. We cannot assure you that we will be able to continue to sign or maintain these agreements on terms and conditions acceptable to us or that international card organizations will continue to permit our ATMs to accept their credit and debit cards. The inability to continue to sign or maintain these agreements, or to continue to accept the credit and debit cards of local banks and international card organizations at our ATMs in the future, could have a material adverse effect on our business, growth, financial condition or results of operations.</w:t>
      </w:r>
    </w:p>
    <w:p>
      <w:pPr>
        <w:spacing w:after="0" w:line="161" w:lineRule="exact"/>
        <w:rPr>
          <w:sz w:val="20"/>
          <w:szCs w:val="20"/>
          <w:color w:val="auto"/>
        </w:rPr>
      </w:pPr>
    </w:p>
    <w:p>
      <w:pPr>
        <w:jc w:val="both"/>
        <w:ind w:right="380"/>
        <w:spacing w:after="0" w:line="289" w:lineRule="auto"/>
        <w:rPr>
          <w:sz w:val="20"/>
          <w:szCs w:val="20"/>
          <w:color w:val="auto"/>
        </w:rPr>
      </w:pPr>
      <w:r>
        <w:rPr>
          <w:rFonts w:ascii="Arial" w:cs="Arial" w:eastAsia="Arial" w:hAnsi="Arial"/>
          <w:sz w:val="17"/>
          <w:szCs w:val="17"/>
          <w:b w:val="1"/>
          <w:bCs w:val="1"/>
          <w:color w:val="auto"/>
        </w:rPr>
        <w:t>Our operating results depend, in part, on the volume of transactions on ATMs in our network and the fees we can collect from processing these transactions. We generally have little control over the ATM transaction fees established in the markets where we operate, and therefore, cannot control any potential reductions in these fees which may adversely affect our results of operations.</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Transaction fees from banks, customers and international card organizations for transactions processed on our ATMs have historically accounted for a substantial portion of our revenues. These fees are set by agreement among all banks in a particular market. The future operating results of our ATM business depend on the following factors:</w:t>
      </w:r>
    </w:p>
    <w:p>
      <w:pPr>
        <w:spacing w:after="0" w:line="181" w:lineRule="exact"/>
        <w:rPr>
          <w:sz w:val="20"/>
          <w:szCs w:val="20"/>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issuance of credit and debit cards;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acceptance of our ATM processing and management services in our target markets;</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maintenance of the level of transaction fees we receive;</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continued use of our ATMs by credit and debit cardholders; and</w:t>
      </w:r>
    </w:p>
    <w:p>
      <w:pPr>
        <w:spacing w:after="0" w:line="225" w:lineRule="exact"/>
        <w:rPr>
          <w:rFonts w:ascii="Arial" w:cs="Arial" w:eastAsia="Arial" w:hAnsi="Arial"/>
          <w:sz w:val="18"/>
          <w:szCs w:val="18"/>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generate revenues from interchange fees and from other value added services, including dynamic currency conversion.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amount of fees we receive per transaction is set in various ways in the markets in which we do business. We have card acceptance agreements or ATM management agreements with some banks under which fees are set. However, we derive the majority of our revenues in many markets from interchange fees, surcharges or cash withdrawal related services that are set by the central ATM processing switch or various card organizations. The banks that participate in these switches or the card organizations that enable the services or transactions set the interchange fee and/or establish the rules regarding the services allowed, and we are not in a position in any market to greatly influence these fees or rules, which may change over time. A significant decrease in the interchange fee, or limitations placed on our ability to offer value added services via our ATM network, in any market could adversely affect our results in that market.</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Although we believe that the volume of transactions in developing countries may increase due to growth in the number of cards being issued by banks in these markets, we anticipate that transaction levels on any given ATM in developing markets will not increase significantly. We can attempt to improve the levels of transactions on our ATM network overall by acquiring good sites for our ATMs, eliminating poor locations, entering new, less-developed markets and adding new transactions, including new value added services, to the sets of transactions that are available on our ATMs. However, we may not be successful in materially increasing transaction levels through these measures. Per-transaction fees paid by international card organizations have declined in certain markets in the past and competitive factors have required us to reduce the transaction fees we charge customers. If we cannot continue to increase our transaction levels and per-transaction fees generally decline, our results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Tightening of regulations may adversely affect our results.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evolving regulatory environment may change the competitive landscape across various jurisdictions and adversely affect our financial results. If governments implement new laws or regulations, or organizations such as Visa and MasterCard issue new rules, that effectively limit our ability to provide DCC or set fees and/or foreign currency exchange spreads, then our business, financial condition and results of operations could be materially and adversely affected. In addition, changes in regulatory interpretations or practices could increase the risk of regulatory enforcement actions, fines and penalties and such changes may be replicated across multiple jurisdictions.</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125"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Developments in electronic financial transactions could materially reduce our transaction levels and revenues.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developments in the field of electronic financial transactions may reduce the need for ATMs, prepaid mobile phone POS terminals and money transfer agents. These developments may reduce the transaction levels that we experience on our networks in the markets where they occur. Financial institutions, retailers and agents could elect to increase fees to their customers for using our services, which may cause a decline in the use of our services and have an adverse effect on our revenues. If transaction levels over our existing network of ATMs, POS terminals, agents and other distribution methods do not increase, growth in our revenues will depend primarily on increased capital investment for new sites and developing new markets, which reduces the margin we realize from our revenues.</w:t>
      </w:r>
    </w:p>
    <w:p>
      <w:pPr>
        <w:spacing w:after="0" w:line="19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mobile phone industry is a rapidly evolving area, in which technological developments, in particular the development of new billing models (such as "all you can eat" plans) and distribution methods or services, may affect the demand for other services in a dramatic way. The development of any new models or technology that reduces the need or demand for prepaid mobile airtime could materially and adversely affect our business.</w:t>
      </w:r>
    </w:p>
    <w:p>
      <w:pPr>
        <w:spacing w:after="0" w:line="162"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In some cases, we are dependent upon international card organizations and national transaction processing switches to provide assistance in obtaining settlement from card issuers of funds relating to transactions on our ATMs, and any failure by them to provide the required cooperation could result in our inability to obtain settlement of funds relating to transactions.</w:t>
      </w:r>
    </w:p>
    <w:p>
      <w:pPr>
        <w:spacing w:after="0" w:line="180"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Our ATMs dispense cash relating to transactions on credit and debit cards issued by banks. We have in place arrangements for the settlement to us of all of those transactions, but in some cases, we do not have a direct relationship with the card-issuing bank and rely for settlement on the application of rules that are administered by international card associations (such as Visa or MasterCard) or national transaction processing switching networks. If a bankcard association fails to settle transactions in accordance with those rules, we are dependent upon cooperation from such organizations or switching networks to enforce our right of settlement against such banks or card associations. Failure by such organizations or switches to provide the required cooperation could result in our inability to obtain settlement of funds relating to transactions and adversely affect our business. Moreover, international card associations and issuers of their cards (and, in the case of Visa, member banks) have the ability to change or apply their rules in ways that could negatively impact our business. As an example, DCC is not permitted on certain cards in certain geographic territories, and the scope of such restrictions could be extended. Any such change or application of the rules of international card association rules could materially and adversely affect our business.</w:t>
      </w:r>
    </w:p>
    <w:p>
      <w:pPr>
        <w:spacing w:after="0" w:line="163"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Because our business is highly dependent on the proper operation of our computer network and telecommunications connections, significant technical disruptions to these systems would adversely affect our revenues and financial results.</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business involves the operation and maintenance of a sophisticated computer network and telecommunications connections with financial institutions, mobile phone operators, retailers and agents. This, in turn, requires the maintenance of computer equipment and infrastructure, including telecommunications and electrical systems, and the integration and enhancement of complex software applications. Our ATM business also uses a satellite-based system that is susceptible to the risk of satellite failure. There are operational risks inherent in this type of business that can result in the temporary shutdown of part or all of our processing systems, such as failure of electrical supply, failure of computer hardware, security breaches and software errors. Transactions in the EFT Processing Segment are processed through our Budapest, Beijing, Mumbai and Karachi processing centers. Transactions in the epay Segment are processed through our London, Martinsried, Milan and Kansas City, Missouri processing centers. Transactions in our Money Transfer Segment are processed through our Buena Park, California, Windsor, U.K. and Auckland, New Zealand processing centers. Any operational problem in these centers may have a significant adverse impact on the operation of our networks. Even with disaster recovery procedures in place, these risks cannot be eliminated entirely, and any technical failure that prevents operation of our systems for a significant period of time will prevent us from processing transactions during that period of time and will directly and adversely affect our revenues and financial results.</w:t>
      </w:r>
    </w:p>
    <w:p>
      <w:pPr>
        <w:spacing w:after="0" w:line="179"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are subject to to security breaches of our systems. Any such breach may cause us to incur financial losses, liability, harm to our reputation, litigation, regulatory enforcement actions and limitations on our ability to conduct our businesses.</w:t>
      </w:r>
    </w:p>
    <w:p>
      <w:pPr>
        <w:spacing w:after="0" w:line="16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capture, transmit, handle and store sensitive information in conducting and managing electronic, financial and mobile transactions, such as card information, PIN numbers and personal information of various types. These businesses involve certain inherent security risks, in particular: the risk of electronic interception and theft of the information for use in fraudulent or other card transactions by persons outside the Company or by our own employees; and the use of fraudulent cards on our network of owned or outsourced ATMs and POS devices. We incorporate industry-standard encryption technology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processing methodology into our systems and software, and maintain controls and procedures regarding access to our computer systems by employees and others, to maintain high levels of security. Although this technology and methodology decreases security risks, they cannot be eliminated entirely as criminal elements apply increasingly sophisticated technology to attempt to obtain unauthorized access to the information handled by ATM and electronic financial transaction networks. In addition, the cost and timeframes required for implementation of new technology may result in a time lag between availability of such technology and our adoption of it. Further, our controls, procedures and technology may not be able to detect when there is a breach, causing a delay in our ability to mitigate it. As previously disclosed in our SEC filings, we have been the subject of a computer security breach, and we cannot exclude the possibility of additional breaches in the future.</w:t>
      </w:r>
    </w:p>
    <w:p>
      <w:pPr>
        <w:spacing w:after="0" w:line="18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Any breach in our security systems could result in the perpetration of fraudulent financial transactions for which we may bear the liability. We are insured against various risks, including theft and negligence, but such insurance coverage is subject to deductibles, exclusions and limits that may leave us bearing some or all of any losses arising from security breaches.</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also collect, transfer and retain personal data as part of our money transfer business. These activities are subject to certain privacy laws and regulations in the U.S. and in other jurisdictions where our money transfer services are offered. We maintain technical and operational safeguards designed to comply with applicable legal requirements. Despite these safeguards, there remains a risk that these safeguards could be breached resulting in improper access to, and disclosure of, sensitive customer information. Breaches of our security policies or applicable legal requirements resulting in a compromise of customer data could expose us to regulatory enforcement action, subject us to litigation, limit our ability to provide money transfer services and/or cause harm to our reputation.</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to electronic fraud issues and breaches of our systems, the possible theft and vandalism of ATMs present risks for our ATM business. We install ATMs at high-traffic sites and consequently our ATMs are exposed to theft and vandalism. Although we are insured against such risks, deductibles, exclusions or limitations in such insurance may leave us bearing some or all of any losses arising from theft or vandalism of ATMs. In addition, we have experienced increases in claims under our insurance, which has increased our insurance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incur substantial losses if one of the third party depository institutions we use in our operations were to fail.</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part of our business operations, we maintain cash balances at third party depository institutions. We could incur substantial losses if a financial institution in which we have significant deposits fails.</w:t>
      </w:r>
    </w:p>
    <w:p>
      <w:pPr>
        <w:spacing w:after="0" w:line="166"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We are required under certain national laws and the rules of financial transaction switching networks in all of our markets to have ''sponsors'' to operate ATMs and switch ATM transactions. Our failure to secure ''sponsor'' arrangements in any of our markets could prevent us from doing business in that market.</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laws of some countries, only a licensed financial institution may operate ATMs. Because we are not a licensed financial institution we are required to have a ''sponsor'' bank to conduct ATM operations in those countries. In addition, in all of our markets, our ATMs are connected to national financial transaction switching networks owned or operated by banks, and to other international financial transaction switching networks operated by organizations such as Citibank, Visa and MasterCard. The rules governing these switching networks require any company sending transactions through these switches to be a bank or a technical service processor that is approved and monitored by a bank. As a result, the operation of our ATM network in many of our markets depends on our ability to secure these ''sponsor'' arrangements with financial institutions.</w:t>
      </w:r>
    </w:p>
    <w:p>
      <w:pPr>
        <w:spacing w:after="0" w:line="178"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To date, we have been successful in reaching contractual arrangements that have permitted us to operate in all of our target markets. However, we cannot assure you that we will continue to be successful in reaching these arrangements, and it is possible that our current arrangements will not continue to be renewed. If we are unable to secure “sponsor” arrangements in any market, we could be prevented from doing business in that market.</w:t>
      </w:r>
    </w:p>
    <w:p>
      <w:pPr>
        <w:spacing w:after="0" w:line="14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We rely on third party financial institutions to provide us with the majority of the cash required to operate our ATM networks in certain countries. If these institutions were unable or unwilling to provide us with the cash necessary to operate our ATM networks, we would be required to locate additional alternative sources of cash to operate these networks.</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our EFT Processing Segment, we primarily rely on third party financial institutions in certain countries in Europe and Asia Pacific to provide us with the cash required to operate our ATM networks. Under our agreements with these providers, we pay fees or interest, which is generally variable and could increase, based on the total amount of cash we are using from such provider at a given time, as well as other costs such as bank fees and cash transportation costs. As of December 31, 2014, the amount of cash used in our ATM networks under these supply agreements was approximately $471 million. Before the cash is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25" w:right="2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disbursed to ATM customers, beneficial ownership of the cash is generally retained by the cash providers, and we have no access or proprietary rights to the cash.</w:t>
      </w:r>
    </w:p>
    <w:p>
      <w:pPr>
        <w:spacing w:after="0" w:line="17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existing agreements with cash providers are generally multi-year agreements that expire at various times. However, each provider may have the right to demand the return of all or any portion of its cash at any time upon the occurrence of certain events beyond our control, including certain bankruptcy events affecting us or our subsidiaries, or a breach of the terms of our cash provider agreements.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any of our cash supply providers were to demand return of their cash or terminate their agreements with us and remove their cash from our ATM devices, or if they fail to provide us with the cash our operations require, our ability to operate the ATM networks to which the provider supplies cash would be jeopardized, and we would need to locate additional alternative sources of cash, including, potentially the increased use of our own cash. Under those circumstances, the terms and conditions of the new or renewed agreements could potentially be less favorable to us, which would negatively impact our results of operations. Furthermore, restrictions on our access to cash to supply our ATMs could severely restrict our ability to keep our ATMs operating, which could subject us to performance penalties under our contracts with our customers.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already encountered difficulty in obtaining cash supply arrangements in certain of our markets, and have begun providing cash for our ATM transactions in those markets. While the amounts involved are currently well within our capabilities given our cash flows and available financing, any failure to renew a major cash supply arrangement could require that we commit significant financial resources to the supply of cash to our ATM networks, which could adversely impact our results of operations.</w:t>
      </w:r>
    </w:p>
    <w:p>
      <w:pPr>
        <w:spacing w:after="0" w:line="18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Competition in our EFT Processing Segment has increased over the last several years, increasing the risk that certain of our long-term bank outsourcing contracts may be terminated or not renewed upon expiration.</w:t>
      </w:r>
    </w:p>
    <w:p>
      <w:pPr>
        <w:spacing w:after="0" w:line="16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 developing markets in which we have done business have matured over the years, resulting in increasing competition. In addition, as consolidation of financial institutions in Central and Eastern Europe continues, certain of our customers have established or are establishing internal ATM management and processing capabilities. As a result of these developments, negotiations regarding renewal of contracts have become increasingly challenging and in certain cases we have reduced fees to extend contracts beyond their original terms. In certain other cases, contracts have been, and in the future may be, terminated by financial institutions resulting in a substantial reduction in revenue. Contract termination payments, if any, may be inadequate to replace revenues and operating income associated with these contracts. Although we have historically considered the risk of non-renewal of major contracts to be relatively low because of complex interfaces and operational procedures established for those contracts, the risk of non-renewal or early termination is increasing.</w:t>
      </w:r>
    </w:p>
    <w:p>
      <w:pPr>
        <w:spacing w:after="0" w:line="16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Our operating results in the money transfer business may be harmed if there are adverse changes in worker immigration patterns, our ability to expand our share of the existing electronic market and to expand into new markets and our ability to continue complying with regulations issued by the Office of Foreign Assets Control (“OFAC”), Bank Secrecy Act (“BSA”), Financial Crimes Enforcement Network (“FINCEN”), PATRIOT Act regulations or any other existing or future regulations that impact any aspect of our money transfer business.</w:t>
      </w:r>
    </w:p>
    <w:p>
      <w:pPr>
        <w:spacing w:after="0" w:line="16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Our Ria money transfer business primarily focuses on workers who migrate to foreign countries in search of employment and then send a portion of their earnings to family members in their home countries. Changes in U.S. and foreign government policies or enforcement toward immigration may have a negative effect on immigration in the U.S. and other countries, which could also have an adverse impact on our money transfer revenues.</w:t>
      </w:r>
    </w:p>
    <w:p>
      <w:pPr>
        <w:spacing w:after="0" w:line="14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Both U.S. and foreign regulators have become increasingly aggressive in the enforcement of the various regulatory regimes applicable to our businesses and the imposition of fines and penalties in the event of violations. Our ability to continue complying with the requirements of OFAC, BSA, FINCEN, the PATRIOT Act and other regulations (both U.S. and foreign) is important to our success in achieving growth and an inability to do this could have an adverse impact on our revenues and earnings. Anti-money laundering regulations require us to be responsible for the compliance by agents with such regulations. Although we have training and compliance programs in place, we cannot be certain our agents will comply with such regulations and we may be held responsible for their failure to comply, resulting in fines and penalties.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Future growth and profitability depend upon expansion within the markets in which we currently operate and the development of new markets for our money transfer services. Our expansion into new markets is dependent upon our ability to successfully apply our existing technology or to develop new applications to satisfy market demand. We may not have adequate financial and technological resources to expand our distribution channels and product applications to satisfy these demands, which may have an adverse impact on our ability to achieve expected growth in revenues and earnings.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state, federal or foreign laws, rules and regulations could impact the money transfer industry, making it more difficult for our customers to initiate money transfers which would harm our money transfer business.</w:t>
      </w:r>
    </w:p>
    <w:p>
      <w:pPr>
        <w:spacing w:after="0" w:line="16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money transfer services are subject to regulation by the U.S. states in which we operate, by the U.S. federal government and by the governments of the other countries in which we operate. Changes in the laws, rules and regulations of these governmental entities, and our ability to obtain or retain required licensure, could have a material adverse impact on our results of operations, financial condition and cash flow.</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Changes in banking industry regulation and practice could make it more difficult for us and our agents to maintain depository accounts with banks, which would harm our business.</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banking industry, in light of increased regulatory oversight, is continually examining its business relationships with companies that offer money transfer services and with retail agents that collect and remit cash collected from end consumers. Certain major national and international banks have already withdrawn from providing service to money service bureaus ("MSBs"). Should our own banks decide to not offer depository services to companies engaged in processing money transfer transactions, or to retail agents that collect and remit cash from end customers, our ability to complete money transfers, and to administer and collect fees from money transfer transactions, could be adversely impacted.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maintain our money transfer agent and correspondent networks, our business may be adversely affected.</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Ria money transfer based revenues are primarily generated through the use of our agent and correspondent networks. If agents or correspondents decide to leave our network or if we are unable to sign new agents or correspondents, our revenue and profit growth rates may be adversely affected. Our agents and correspondents are also subject to a wide variety of laws and regulations that vary significantly, depending on the legal jurisdiction. Changes in these laws and regulations could adversely affect our ability to maintain the networks or the cost of providing money transfer services. In addition, agents may generate fewer transactions or less revenue due to various factors, including increased competition. Because our agents and correspondents are third parties that may sell products and provide services in addition to our money transfer services, they may encounter business difficulties unrelated to the provision of our services, which may cause the agents or correspondents to reduce their number of locations or hours of operation, or cease doing business altogether.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consumer confidence in our money transfer business or brands declines, our business may be adversely affected.</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money transfer business relies on customer confidence in our brands and our ability to provide efficient and reliable money transfer services. A decline in customer confidence in our business or brands, or in traditional money transfer providers as a means to transfer money, may adversely impact transaction volumes which would, in turn, be expected to adversely impact our business and possibly result in recording charges for the impairment of goodwill and/or other long-lived assets.</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Our money transfer service offerings are dependent on financial institutions to provide such offerings, and any adverse change in such offerings would harm our money transfer business.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money transfer business involves transferring funds internationally and is dependent upon foreign and domestic financial institutions, including our competitors, to execute funds transfers and foreign currency transactions. Changes to existing regulations of financial institution operations, such as those designed to combat terrorism or money laundering, could require us to alter our operating procedures in a manner that increases our cost of doing business or to terminate certain product offerings. In addition, as a result of existing regulations and/or changes to those regulations, financial institutions could decide to cease providing the services on which we depend, requiring us to terminate certain product offerings.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could have an adverse effect on our ability to hedge risks associated with our business.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Dodd-Frank Act establishes federal oversight and regulation of the over-the-counter derivatives market and entities that participate in that market. The act requires the U.S. Commodity Futures Trade Commission ("CFTC") to institute broad new position limits for futures and options traded on regulated exchanges. As the law favors exchange trading and clearing, the Dodd-Frank Act also may require us to move certain derivatives transactions to exchanges where no trade credit is provided and also comply with margin requirements in connection with our derivatives activities that are not exchange traded, although the application of those provisions to us is uncertain at this time. The Dodd-Frank Act also requires many counterparties to our derivatives instruments to spin off some of their derivatives activities to a separate entity, which may not be as creditworthy as the current counterparty, or cause the entity to comply with the capital requirements, which could result in increased costs to counterparties such as us. The Dodd-Frank Act and any new regulations could (i) significantly increase the cost of derivative contracts (including requirements to post collateral, which could adversely affect our available liquidity); (ii) reduce the availability of derivatives to protect against risks we encounter; and (iii) reduce the liquidity of foreign currency related derivatives.</w:t>
      </w:r>
    </w:p>
    <w:p>
      <w:pPr>
        <w:spacing w:after="0" w:line="19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If we reduce our use of derivatives as a result of the legislation and regulations, our results of operations may become more volatile and our cash flows may be less predictable, which could adversely affect our ability to plan for and fund capital expenditures. Increased volatility may make us less attractive to certain types of investors. Any of these consequences could have a material adverse effect on our financial condition and results of operations.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executive offices are located in Leawood, Kansas. As of December 31, 2014, we also have 30 principal offices in Europe, 11 in Asia Pacific, seven in North America, three in the Middle East, two in South America and one in Africa. Our office leases generally provide for initial terms ranging from two to twelve years.</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processing centers for the EFT Processing Segment are located in Budapest, Hungary; Beijing, China; Mumbai, India; and Karachi, Pakistan. Processing centers we operate for the epay Segment are located in Martinsried, Germany; Kansas City, Missouri; and Milan, Italy. Our processing centers for the Money Transfer Segment are located in Buena Park, California, Windsor, U.K. and Auckland, New Zealand.</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of our processing centers are leased and have off-site real time backup processing centers that are capable of providing full or partial processing services in the event of failure of the primary processing centers.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discussion regarding litigation in Part II, Item 8 - Financial Statements and Supplementary Data and Note 19, Litigation and Contingencies, to the Consolidated Financial Statements included elsewhere in this report is incorporated herein by reference.</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Currently, there are no other legal or regulatory proceedings that management believes, either individually or in the aggregate, would have a material adverse effect upon the consolidated financial statements of the Company.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Common Stock, $0.02 par value per share (“Common Stock”), is quoted on the NASDAQ Global Select Market under the symbol EEFT. The following table sets forth the high and low daily sales prices during the quarters indicated for our Common Stock:</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2013</w:t>
            </w:r>
          </w:p>
        </w:tc>
        <w:tc>
          <w:tcPr>
            <w:tcW w:w="700" w:type="dxa"/>
            <w:vAlign w:val="bottom"/>
            <w:tcBorders>
              <w:bottom w:val="single" w:sz="8" w:color="auto"/>
            </w:tcBorders>
          </w:tcPr>
          <w:p>
            <w:pPr>
              <w:spacing w:after="0"/>
              <w:rPr>
                <w:sz w:val="16"/>
                <w:szCs w:val="16"/>
                <w:color w:val="auto"/>
              </w:rPr>
            </w:pPr>
          </w:p>
        </w:tc>
      </w:tr>
      <w:tr>
        <w:trPr>
          <w:trHeight w:val="264"/>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For the quarters ended</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High</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Low</w:t>
            </w: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31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39.28</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54.66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45.30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39.98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31.91</w:t>
            </w:r>
          </w:p>
        </w:tc>
      </w:tr>
      <w:tr>
        <w:trPr>
          <w:trHeight w:val="27"/>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25.91</w:t>
            </w:r>
          </w:p>
        </w:tc>
      </w:tr>
      <w:tr>
        <w:trPr>
          <w:trHeight w:val="24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March 31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48.54</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36.05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26.48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22.94</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Since our inception, no dividends have been paid on our Common Stock or Preferred Stock. We do not intend to distribute dividends for the foreseeable future. Certain of our credit facilities contain restrictions on the payment of dividends without lender consent.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At December 31, 2014, we had 57 stockholders of record of our Common Stock, and none of our Preferred Stock was outstanding. This figure does not include an estimate of the indeterminate number of beneficial holders whose shares may be held of record by brokerage firms and clearing agencies.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 and Issuances of Equity</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2014, we did not issue any equity securities that were not registered under the Securities Act of 1933, which have not been previously reported in a Quarterly Report on Form 10-Q or a Current Report on Form 8-K.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Set forth below is a graph comparing the total cumulative return on our Common Stock from December 31, 2009 through December 31, 2014 with the Total Returns Index for U.S. companies traded on the NASDAQ Global Select Market (the “Market Group”) and an index group of peer companies, the Total Returns Index for U.S. NASDAQ Financial Stocks (the “Peer Group”). Returns are based on monthly changes in price and assume reinvested dividends. These calculations assume the value of an investment in the Common Stock, the Market Group and the Peer Group was $100 on December 31, 2009.</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performance graph and related text are being furnished to and not filed with the SEC, and will not be deemed to be “soliciting material” or subject to Regulation 14A or 14C under the Exchange Act or to the liabilities of Section 18 of the Exchange Act and will not be deemed to be incorporated by reference into any filing under the Securities Act of 1933 or the Exchange Act, except to the extent we specifically incorporate such information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556895</wp:posOffset>
            </wp:positionV>
            <wp:extent cx="5814695" cy="3129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469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NOTE: Derived from CRSP NASDAQ Stock Market (US Companies) and CRSP NASDAQ Financial Index, Center for Research in Security Prices (CRSP®), Graduate School of Business, The University of Chicago. Copyright 2014. Used with permission.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table below sets forth information with respect to shares of Common Stock that may be issued under our equity compensation plans as of December 31,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(b)</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449"/>
        </w:trPr>
        <w:tc>
          <w:tcPr>
            <w:tcW w:w="8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Outstanding Options and</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Plans (Excluding Securities</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Options and Rights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Reflected in Column (a))(1)</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43"/>
              <w:spacing w:after="0"/>
              <w:rPr>
                <w:sz w:val="20"/>
                <w:szCs w:val="20"/>
                <w:color w:val="auto"/>
              </w:rPr>
            </w:pPr>
            <w:r>
              <w:rPr>
                <w:rFonts w:ascii="Arial" w:cs="Arial" w:eastAsia="Arial" w:hAnsi="Arial"/>
                <w:sz w:val="18"/>
                <w:szCs w:val="18"/>
                <w:color w:val="auto"/>
              </w:rPr>
              <w:t>5,207,624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56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Stock option awards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3,787,044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Restricted stock unit awards</w:t>
            </w:r>
          </w:p>
        </w:tc>
        <w:tc>
          <w:tcPr>
            <w:tcW w:w="1800" w:type="dxa"/>
            <w:vAlign w:val="bottom"/>
          </w:tcPr>
          <w:p>
            <w:pPr>
              <w:jc w:val="right"/>
              <w:ind w:right="40"/>
              <w:spacing w:after="0"/>
              <w:rPr>
                <w:sz w:val="20"/>
                <w:szCs w:val="20"/>
                <w:color w:val="auto"/>
              </w:rPr>
            </w:pPr>
            <w:r>
              <w:rPr>
                <w:rFonts w:ascii="Arial" w:cs="Arial" w:eastAsia="Arial" w:hAnsi="Arial"/>
                <w:sz w:val="18"/>
                <w:szCs w:val="18"/>
                <w:color w:val="auto"/>
              </w:rPr>
              <w:t>747,316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1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4,534,360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19.30</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8"/>
                <w:szCs w:val="18"/>
                <w:color w:val="auto"/>
              </w:rPr>
              <w:t>5,207,624</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3013"/>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vMerge w:val="restart"/>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40" w:firstLine="8"/>
        <w:spacing w:after="0" w:line="261"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this column is 0.4 million shares remaining under our employee stock purchase plan. During 2014, Euronet issued 50,470 shares to employees under the employee stock purchase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December 31, 2014.</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Total Number of</w:t>
            </w:r>
          </w:p>
        </w:tc>
        <w:tc>
          <w:tcPr>
            <w:tcW w:w="1540" w:type="dxa"/>
            <w:vAlign w:val="bottom"/>
          </w:tcPr>
          <w:p>
            <w:pPr>
              <w:jc w:val="center"/>
              <w:ind w:right="81"/>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5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Total 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Average Price Paid</w:t>
            </w:r>
          </w:p>
        </w:tc>
        <w:tc>
          <w:tcPr>
            <w:tcW w:w="1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5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Shares Purchased</w:t>
            </w:r>
          </w:p>
        </w:tc>
        <w:tc>
          <w:tcPr>
            <w:tcW w:w="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Programs (1)</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October 1 - October 31, 2014</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1,206,500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w w:val="99"/>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6"/>
              <w:spacing w:after="0"/>
              <w:rPr>
                <w:sz w:val="20"/>
                <w:szCs w:val="20"/>
                <w:color w:val="auto"/>
              </w:rPr>
            </w:pPr>
            <w:r>
              <w:rPr>
                <w:rFonts w:ascii="Arial" w:cs="Arial" w:eastAsia="Arial" w:hAnsi="Arial"/>
                <w:sz w:val="18"/>
                <w:szCs w:val="18"/>
                <w:color w:val="auto"/>
              </w:rPr>
              <w:t>53.47</w:t>
            </w:r>
          </w:p>
        </w:tc>
        <w:tc>
          <w:tcPr>
            <w:tcW w:w="100" w:type="dxa"/>
            <w:vAlign w:val="bottom"/>
          </w:tcPr>
          <w:p>
            <w:pPr>
              <w:spacing w:after="0"/>
              <w:rPr>
                <w:sz w:val="21"/>
                <w:szCs w:val="21"/>
                <w:color w:val="auto"/>
              </w:rPr>
            </w:pPr>
          </w:p>
        </w:tc>
        <w:tc>
          <w:tcPr>
            <w:tcW w:w="1980" w:type="dxa"/>
            <w:vAlign w:val="bottom"/>
            <w:gridSpan w:val="3"/>
          </w:tcPr>
          <w:p>
            <w:pPr>
              <w:ind w:left="1420"/>
              <w:spacing w:after="0"/>
              <w:rPr>
                <w:sz w:val="20"/>
                <w:szCs w:val="20"/>
                <w:color w:val="auto"/>
              </w:rPr>
            </w:pPr>
            <w:r>
              <w:rPr>
                <w:rFonts w:ascii="Arial" w:cs="Arial" w:eastAsia="Arial" w:hAnsi="Arial"/>
                <w:sz w:val="18"/>
                <w:szCs w:val="18"/>
                <w:color w:val="auto"/>
              </w:rPr>
              <w:t>—   $</w:t>
            </w: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November 1 - November 30, 2014</w:t>
            </w: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43"/>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December 1 - December 31, 2014</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80" w:type="dxa"/>
            <w:vAlign w:val="bottom"/>
            <w:gridSpan w:val="3"/>
          </w:tcPr>
          <w:p>
            <w:pPr>
              <w:ind w:left="14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1,206,500</w:t>
            </w:r>
          </w:p>
        </w:tc>
        <w:tc>
          <w:tcPr>
            <w:tcW w:w="4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53.47</w:t>
            </w:r>
          </w:p>
        </w:tc>
        <w:tc>
          <w:tcPr>
            <w:tcW w:w="100" w:type="dxa"/>
            <w:vAlign w:val="bottom"/>
            <w:shd w:val="clear" w:color="auto" w:fill="CCEEFF"/>
          </w:tcPr>
          <w:p>
            <w:pPr>
              <w:spacing w:after="0"/>
              <w:rPr>
                <w:sz w:val="22"/>
                <w:szCs w:val="22"/>
                <w:color w:val="auto"/>
              </w:rPr>
            </w:pPr>
          </w:p>
        </w:tc>
        <w:tc>
          <w:tcPr>
            <w:tcW w:w="1980" w:type="dxa"/>
            <w:vAlign w:val="bottom"/>
            <w:gridSpan w:val="3"/>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8"/>
        <w:spacing w:after="0" w:line="297"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September 2013, the Board of Directors authorized a stock repurchase program allowing Euronet to repurchase up to $100 million in value or 5 million shares of its Common Stock through September 19, 2015. Repurchases may take place in the open market or in privately negotiated transactions, including derivative transactions, and may be made under a Rule 10b5-1 plan. Euronet did not repurchase any shares of Common Stock under this program during the fourth quarter of 2014. As of December 31, 2014, the maximum number of shares that could be purchased by of Euronet under the program was $100 million in value or 5 million shares. Through February 25, 2015, there were no repurchases of Common Stock under the program.</w:t>
      </w:r>
    </w:p>
    <w:p>
      <w:pPr>
        <w:spacing w:after="0" w:line="158" w:lineRule="exact"/>
        <w:rPr>
          <w:rFonts w:ascii="Arial" w:cs="Arial" w:eastAsia="Arial" w:hAnsi="Arial"/>
          <w:sz w:val="16"/>
          <w:szCs w:val="16"/>
          <w:color w:val="auto"/>
        </w:rPr>
      </w:pPr>
    </w:p>
    <w:p>
      <w:pPr>
        <w:ind w:right="320" w:firstLine="8"/>
        <w:spacing w:after="0" w:line="274"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September 2014, the Board of Directors authorized a separate stock repurchase in conjunction with the issuance of convertible notes. The Company exercised this authorization in October 2014 and purchased 1,206,500 shares of Common Stock in the open market for $64.5 million.</w:t>
      </w:r>
    </w:p>
    <w:p>
      <w:pPr>
        <w:spacing w:after="0"/>
        <w:rPr>
          <w:rFonts w:ascii="Arial" w:cs="Arial" w:eastAsia="Arial" w:hAnsi="Arial"/>
          <w:sz w:val="17"/>
          <w:szCs w:val="17"/>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should be read in conjunction with Item 7 - Management's Discussion and Analysis of Financial Condition and Results of Operations and our Consolidated Financial Statements and accompanying notes contained in Item 8 - Financial Statements and Supplementary Data in this report. The historical results are not necessarily indicative of the results to be expected in any future period.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 except per share amounts)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2010</w:t>
            </w: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1,664,150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1,413,169</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1,267,601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1,161,304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1,038,269</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expenses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1,433,964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1,229,705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1,145,429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1,021,710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975,504</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60,457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57,496</w:t>
            </w:r>
          </w:p>
        </w:tc>
      </w:tr>
      <w:tr>
        <w:trPr>
          <w:trHeight w:val="27"/>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 (1)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Other expenses,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(21,748)</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1,461</w:t>
            </w:r>
          </w:p>
        </w:tc>
      </w:tr>
      <w:tr>
        <w:trPr>
          <w:trHeight w:val="209"/>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 before income</w:t>
            </w: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20"/>
              <w:spacing w:after="0"/>
              <w:rPr>
                <w:sz w:val="20"/>
                <w:szCs w:val="20"/>
                <w:color w:val="auto"/>
              </w:rPr>
            </w:pPr>
            <w:r>
              <w:rPr>
                <w:rFonts w:ascii="Arial" w:cs="Arial" w:eastAsia="Arial" w:hAnsi="Arial"/>
                <w:sz w:val="18"/>
                <w:szCs w:val="18"/>
                <w:color w:val="auto"/>
              </w:rPr>
              <w:t>taxes</w:t>
            </w: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141,503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115,085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47,334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62,792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(15,018)</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(22,899)</w:t>
            </w:r>
          </w:p>
        </w:tc>
      </w:tr>
      <w:tr>
        <w:trPr>
          <w:trHeight w:val="297"/>
        </w:trPr>
        <w:tc>
          <w:tcPr>
            <w:tcW w:w="20" w:type="dxa"/>
            <w:vAlign w:val="bottom"/>
          </w:tcPr>
          <w:p>
            <w:pPr>
              <w:spacing w:after="0"/>
              <w:rPr>
                <w:sz w:val="24"/>
                <w:szCs w:val="24"/>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101,488</w:t>
            </w:r>
          </w:p>
        </w:tc>
        <w:tc>
          <w:tcPr>
            <w:tcW w:w="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87,353</w:t>
            </w:r>
          </w:p>
        </w:tc>
        <w:tc>
          <w:tcPr>
            <w:tcW w:w="4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20,397</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38,088</w:t>
            </w:r>
          </w:p>
        </w:tc>
        <w:tc>
          <w:tcPr>
            <w:tcW w:w="10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(37,917)</w:t>
            </w:r>
          </w:p>
        </w:tc>
      </w:tr>
      <w:tr>
        <w:trPr>
          <w:trHeight w:val="237"/>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Earnings (loss) per share from continuing operations: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26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Balance sheet data </w:t>
            </w:r>
            <w:r>
              <w:rPr>
                <w:rFonts w:ascii="Arial" w:cs="Arial" w:eastAsia="Arial" w:hAnsi="Arial"/>
                <w:sz w:val="14"/>
                <w:szCs w:val="14"/>
                <w:b w:val="1"/>
                <w:bCs w:val="1"/>
                <w:color w:val="auto"/>
              </w:rPr>
              <w:t>(at period end)</w:t>
            </w: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1,598,190</w:t>
            </w:r>
          </w:p>
        </w:tc>
        <w:tc>
          <w:tcPr>
            <w:tcW w:w="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1,551,640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1,506,430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1,409,856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Debt obligations, long-term portion</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410,368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188,510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286,703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161,694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286,105</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Capital lease obligations, long-term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2,363</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b w:val="1"/>
                <w:bCs w:val="1"/>
                <w:color w:val="auto"/>
              </w:rPr>
              <w:t>Summary network data</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Number of operational ATMs at end of period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18,311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EFT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794</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Number of operational prepaid processing POS terminals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end of period (rounded)</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681,000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665,000</w:t>
            </w: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615,000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563,000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5"/>
              </w:rPr>
              <w:t>Prepaid processing transactions during the period (millions)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891</w:t>
            </w: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Money transfer transactions during the period (millions)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w:t>
            </w:r>
          </w:p>
        </w:tc>
      </w:tr>
      <w:tr>
        <w:trPr>
          <w:trHeight w:val="21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___________________</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ind w:left="400" w:right="180" w:hanging="378"/>
        <w:spacing w:after="0" w:line="321" w:lineRule="auto"/>
        <w:tabs>
          <w:tab w:leader="none" w:pos="4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results of 2013, 2012, and 2010 include non-cash charges related to impairment of goodwill and acquired intangible assets of $18.4 million, $28.7 million and $70.9 million, respectively. Additionally, 2013 results include a $19.3 million non-cash acquisition-related contingent consideration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and global money transfer services. We operate in the following three segments:</w:t>
      </w:r>
    </w:p>
    <w:p>
      <w:pPr>
        <w:spacing w:after="0" w:line="63" w:lineRule="exact"/>
        <w:rPr>
          <w:sz w:val="20"/>
          <w:szCs w:val="20"/>
          <w:color w:val="auto"/>
        </w:rPr>
      </w:pPr>
    </w:p>
    <w:p>
      <w:pPr>
        <w:ind w:left="980" w:right="240" w:hanging="648"/>
        <w:spacing w:after="0" w:line="27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EFT Processing Segment, which processes transactions for a network of 20,364 ATMs and approximately 69,000 POS terminals across Europe, the Middle East and Asia Pacific. We provide comprehensive electronic payment solutions consisting of ATM cash withdrawal and deposit services, ATM network participation, outsourced ATM and POS management solutions, credit and debit card outsourcing, dynamic currency conversion, and other value added services. Through this segment, we also offer a suite of integrated electronic financial transaction software solutions for electronic payment and transaction delivery systems.</w:t>
      </w:r>
    </w:p>
    <w:p>
      <w:pPr>
        <w:spacing w:after="0" w:line="64" w:lineRule="exact"/>
        <w:rPr>
          <w:rFonts w:ascii="Arial" w:cs="Arial" w:eastAsia="Arial" w:hAnsi="Arial"/>
          <w:sz w:val="17"/>
          <w:szCs w:val="17"/>
          <w:color w:val="auto"/>
        </w:rPr>
      </w:pPr>
    </w:p>
    <w:p>
      <w:pPr>
        <w:ind w:left="980" w:right="80" w:hanging="648"/>
        <w:spacing w:after="0" w:line="259"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epay Segment, which provides distribution and collection services for prepaid mobile airtime and other electronic payment products. We operate a network of approximately 681,000 POS terminals providing electronic processing of prepaid mobile airtime top-up services and other electronic payment products in Europe, the Middle East, Asia Pacific, the United States and South America. We also provide vouchers and physical gift fulfillment services in Europe.</w:t>
      </w:r>
    </w:p>
    <w:p>
      <w:pPr>
        <w:spacing w:after="0" w:line="78" w:lineRule="exact"/>
        <w:rPr>
          <w:rFonts w:ascii="Arial" w:cs="Arial" w:eastAsia="Arial" w:hAnsi="Arial"/>
          <w:sz w:val="18"/>
          <w:szCs w:val="18"/>
          <w:color w:val="auto"/>
        </w:rPr>
      </w:pPr>
    </w:p>
    <w:p>
      <w:pPr>
        <w:ind w:left="980" w:right="120" w:hanging="648"/>
        <w:spacing w:after="0" w:line="270"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Money Transfer Segment, which provides global consumer-to-consumer money transfer services, primarily under the brand name Ria and global account-to-account money transfer services under the brand name HiFX. We offer services under the brand name Ria through a network of sending agents, Company-owned stores (primarily in North America and Europe) and our Ria website (riamoneytransfer.com), disbursing money transfers through a worldwide correspondent network that includes approximately 243,000 locations. We offer services under the brand name HiFX through our HiFX websites (www.hifx.co.uk and www.hifx.com.au) and HiFX customer service representatives.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mobile top-up. Through our HiFM brand, we offer cash management solutions and foreign currency risk management services to small-to-medium sized businesses.</w:t>
      </w:r>
    </w:p>
    <w:p>
      <w:pPr>
        <w:spacing w:after="0" w:line="7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five processing centers in Europe, four in Asia Pacific and two in North America. We have 30 principal offices in Europe, 11 in Asia Pacific, seven in North America, three in the Middle East, two in South America and one in Africa. Our executive offices are located in Leawood, Kansas, USA. With approximately 74% of our revenues denominated in currencies other than the U.S. dollar, any significant changes in foreign currency exchange rates will likely have a significant impact on our results of operations (for a further discussion, see Item 1A - Risk Factors and Item 7A - Quantitative and Qualitative Disclosures About Market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Euronet primarily earns revenues and income from ATM management fees, transaction fees, commissions and foreign currency exchange margin. Each operating segment’s sources of revenues are described below.</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22% of total consolidated revenues for the year</w:t>
      </w:r>
      <w:r>
        <w:rPr>
          <w:rFonts w:ascii="Arial" w:cs="Arial" w:eastAsia="Arial" w:hAnsi="Arial"/>
          <w:sz w:val="17"/>
          <w:szCs w:val="17"/>
          <w:i w:val="1"/>
          <w:iCs w:val="1"/>
          <w:color w:val="auto"/>
        </w:rPr>
        <w:t xml:space="preserve"> </w:t>
      </w:r>
      <w:r>
        <w:rPr>
          <w:rFonts w:ascii="Arial" w:cs="Arial" w:eastAsia="Arial" w:hAnsi="Arial"/>
          <w:sz w:val="17"/>
          <w:szCs w:val="17"/>
          <w:color w:val="auto"/>
        </w:rPr>
        <w:t>ended December 31, 2014,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dynamic currency conversion transactions, and other value added services such as advertising, prepaid telecommunication recharges, bill payment, and money transfers provided over ATMs. Revenues in this segment are also derived from license fees, professional services and maintenance fees for proprietary application software and sales of related hardware.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47% of total consolidated revenues for the year ended December 31, 2014,</w:t>
      </w:r>
      <w:r>
        <w:rPr>
          <w:rFonts w:ascii="Arial" w:cs="Arial" w:eastAsia="Arial" w:hAnsi="Arial"/>
          <w:sz w:val="16"/>
          <w:szCs w:val="16"/>
          <w:i w:val="1"/>
          <w:iCs w:val="1"/>
          <w:color w:val="auto"/>
        </w:rPr>
        <w:t xml:space="preserve"> </w:t>
      </w:r>
      <w:r>
        <w:rPr>
          <w:rFonts w:ascii="Arial" w:cs="Arial" w:eastAsia="Arial" w:hAnsi="Arial"/>
          <w:sz w:val="16"/>
          <w:szCs w:val="16"/>
          <w:color w:val="auto"/>
        </w:rPr>
        <w:t>are primarily derived from commissions or processing fees received from mobile phone operators for the processing and distribution of prepaid mobile airtime and commissions earned from the distribution of other electronic payment products, vouchers, and physical gifts. Due to certain provisions in our mobile phone operator agreements, the operators have the ability to reduce the overall commission paid on top-up transactions.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 reduction in commissions to the retailers. In certain markets, retailers may negotiate directly with the mobile phone operators and prepaid content providers for their own commission rates, which also limits our ability to pass through reductions in commissions. Agreements with mobile operators and prepaid content providers are important to the success of our business. These agreements permit us to distribute prepaid mobile airtime and other electronic payment products to the end consumer. Other electronic payment products offered by this segment include prepaid long distance calling card plans, prepaid Internet plans, prepaid debit cards, gift cards, vouchers, transport payments, lottery payments, bill payment, money transfer and digital content such as music, games and software.</w:t>
      </w:r>
    </w:p>
    <w:p>
      <w:pPr>
        <w:spacing w:after="0" w:line="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31% of total consolidated revenues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2014,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and Europe, and our websites www.riamoneytransfer.com, www.hifx.co.uk and www.hifx.com.au,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8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Corporate Services, Eliminations and Other — In addition to operating in our principal operating segments described above, our “Corporate Services, 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eight primary areas:</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number of ATMs in our independent ATM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transactions processed on our network of owned and operated ATMs and POS devices;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signing new outsourced ATM and POS terminal management contracts;</w:t>
      </w:r>
    </w:p>
    <w:p>
      <w:pPr>
        <w:spacing w:after="0" w:line="117" w:lineRule="exact"/>
        <w:rPr>
          <w:rFonts w:ascii="Arial" w:cs="Arial" w:eastAsia="Arial" w:hAnsi="Arial"/>
          <w:sz w:val="18"/>
          <w:szCs w:val="18"/>
          <w:color w:val="auto"/>
        </w:rPr>
      </w:pPr>
    </w:p>
    <w:p>
      <w:pPr>
        <w:ind w:left="980" w:right="500" w:hanging="648"/>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value added services in our EFT Processing Segment, including the sale of dynamic currency conversion services to banks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epay processing network and portfolio of electronic payment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money transfer services, cross-currency payments products and bill payment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expanding our cash management solutions and foreign currency risk management services;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developing our credit and debit card outsourcing business.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demand for our ATM outsourcing services in our current target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products or services, including value added services, to drive increases in transactions and revenues;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expansion of our various business lines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entry into additional card acceptance and ATM management agreements with banks;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required licenses in markets we intend to enter or expand services;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enter into and renew ATM network cash supply agreements with financial institutions;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 for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efficiently install ATMs contracted under newly awarded outsourcing agreements;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renew existing contracts at profitable rates;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pricing at current levels or mitigate price reductions in certain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reductions in ATM interchange fees;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expand and sign additional customers for the cross-border merchant processing and acquiring business;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several months.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Software products are an integral part of our product lines, and our investment in research, development, delivery and customer support reflects our ongoing commitment to an expanded customer base.</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 xml:space="preserve">epay Segment </w:t>
      </w:r>
      <w:r>
        <w:rPr>
          <w:rFonts w:ascii="Arial" w:cs="Arial" w:eastAsia="Arial" w:hAnsi="Arial"/>
          <w:sz w:val="18"/>
          <w:szCs w:val="18"/>
          <w:color w:val="auto"/>
        </w:rPr>
        <w:t>— The continued expansion and development of the epay Segment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980" w:right="22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renew existing agreements, and to negotiate new agreements in additional markets with mobile operators, content providers, agent financial institutions and retailers;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use existing expertise and relationships with mobile operators, content providers and retailers to our advantage;</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continued use of third-party providers such as ourselves to supply electronic processing solutions for existing and additional content;</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development of mobile phone networks in the markets in which we do business and the increase in the number of mobile phone users;</w:t>
      </w:r>
    </w:p>
    <w:p>
      <w:pPr>
        <w:spacing w:after="0" w:line="140" w:lineRule="exact"/>
        <w:rPr>
          <w:rFonts w:ascii="Arial" w:cs="Arial" w:eastAsia="Arial" w:hAnsi="Arial"/>
          <w:sz w:val="16"/>
          <w:szCs w:val="16"/>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overall pace of growth in the prepaid mobile phone market, including consumer shifts between prepaid and postpaid services;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market share of the retail distribution capacity;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POS distribution of prepaid mobile airtime and other products;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commission that is paid to the various intermediaries in the electronic payment distribution chain;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fully recover monies collected by retailers;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add new and differentiated products in addition to those offered by mobile operators;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develop and effectively market additional value added services;</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EFT Processing and Money Transfer Segments, including providing money transfer services through our distribution network; and</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all of the markets in which we operate, we are experiencing significant competition which will impact the rate at which we grow organically. Competition among prepaid mobile airtime distributors results in the increase of commissions paid to retailers and increases in retailer attrition rates. To grow, we must capture market share from other prepaid mobile airtime distributors, offer a superior product offering and demonstrate the value of a global network. In certain markets in which we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125" w:right="31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operate, many of the factors that may contribute to rapid growth (growth in electronic payment products, expansion of our network of retailers and access to all mobile operators' products) remain present.</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continued expansion and development of our Money Transfer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continued growth in worker migration and employment opportunities;</w:t>
      </w:r>
    </w:p>
    <w:p>
      <w:pPr>
        <w:spacing w:after="0" w:line="117"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62" w:lineRule="exact"/>
        <w:rPr>
          <w:rFonts w:ascii="Arial" w:cs="Arial" w:eastAsia="Arial" w:hAnsi="Arial"/>
          <w:sz w:val="18"/>
          <w:szCs w:val="18"/>
          <w:color w:val="auto"/>
        </w:rPr>
      </w:pPr>
    </w:p>
    <w:p>
      <w:pPr>
        <w:ind w:left="980" w:right="6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the trend of increased use of electronic money transfer and bill payment services among high-income individuals, immigrant workers and the unbanked population in our markets;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agent and correspondent networks;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offer our products and services or develop new products and services at competitive prices to drive increases in transactions;</w:t>
      </w:r>
    </w:p>
    <w:p>
      <w:pPr>
        <w:spacing w:after="0" w:line="128" w:lineRule="exact"/>
        <w:rPr>
          <w:rFonts w:ascii="Arial" w:cs="Arial" w:eastAsia="Arial" w:hAnsi="Arial"/>
          <w:sz w:val="17"/>
          <w:szCs w:val="17"/>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technologies that may compete with our money transfer network;</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expansion of our services in markets where we operate and in new markets;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strengthen our brands;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fund working capital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recover from agents funds collected from customers and our ability to recover advances made to correspondents;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17"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take advantage of cross-selling opportunities with our epay Segment, including providing prepaid services through Ria’s stores and agents worldwide;</w:t>
      </w:r>
    </w:p>
    <w:p>
      <w:pPr>
        <w:spacing w:after="0" w:line="62"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leverage our banking and merchant/retailer relationships to expand money transfer corridors to Europe, Asia and Africa, including high growth corridors to Central and Eastern European countries;</w:t>
      </w:r>
    </w:p>
    <w:p>
      <w:pPr>
        <w:spacing w:after="0" w:line="62"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financing for further expansion;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maintain banking relationships necessary for us to service our customers; and</w:t>
      </w:r>
    </w:p>
    <w:p>
      <w:pPr>
        <w:spacing w:after="0" w:line="117" w:lineRule="exact"/>
        <w:rPr>
          <w:rFonts w:ascii="Arial" w:cs="Arial" w:eastAsia="Arial" w:hAnsi="Arial"/>
          <w:sz w:val="18"/>
          <w:szCs w:val="18"/>
          <w:color w:val="auto"/>
        </w:rPr>
      </w:pPr>
    </w:p>
    <w:p>
      <w:pPr>
        <w:ind w:left="980" w:right="8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expand our agent network in Europe using our payment institution licenses under the Payment Services Directive and in the United States.</w:t>
      </w:r>
    </w:p>
    <w:p>
      <w:pPr>
        <w:spacing w:after="0" w:line="27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accounting policies of each segment are the same as those referenced in the summary of significant accounting policies (see Note 3, Summary of Significant Accounting Policies and Practices, to the Consolidated Financial Statements).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Revenues and Operating Income For The Years Ended December 31, 2014, 2013 and 2012</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Operating Income (Expense)</w:t>
            </w:r>
          </w:p>
        </w:tc>
        <w:tc>
          <w:tcPr>
            <w:tcW w:w="820" w:type="dxa"/>
            <w:vAlign w:val="bottom"/>
            <w:tcBorders>
              <w:bottom w:val="single" w:sz="8" w:color="auto"/>
            </w:tcBorders>
          </w:tcPr>
          <w:p>
            <w:pPr>
              <w:spacing w:after="0"/>
              <w:rPr>
                <w:sz w:val="16"/>
                <w:szCs w:val="16"/>
                <w:color w:val="auto"/>
              </w:rPr>
            </w:pPr>
          </w:p>
        </w:tc>
      </w:tr>
      <w:tr>
        <w:trPr>
          <w:trHeight w:val="264"/>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296,240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237,948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91,321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44,408</w:t>
            </w: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783,781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748,680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714,125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61,070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39,461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19,501</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523,150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370,365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316,135</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42,741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31,095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24,623</w:t>
            </w:r>
          </w:p>
        </w:tc>
      </w:tr>
      <w:tr>
        <w:trPr>
          <w:trHeight w:val="237"/>
        </w:trPr>
        <w:tc>
          <w:tcPr>
            <w:tcW w:w="32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1,665,567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1,415,285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1,268,208</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195,132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151,906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88,532</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3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57"/>
        </w:trPr>
        <w:tc>
          <w:tcPr>
            <w:tcW w:w="3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(30,527)</w:t>
            </w:r>
          </w:p>
        </w:tc>
      </w:tr>
      <w:tr>
        <w:trPr>
          <w:trHeight w:val="257"/>
        </w:trPr>
        <w:tc>
          <w:tcPr>
            <w:tcW w:w="32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1,664,150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1,413,169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1,267,601</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158,731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118,411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58,005</w:t>
            </w:r>
          </w:p>
        </w:tc>
      </w:tr>
      <w:tr>
        <w:trPr>
          <w:trHeight w:val="20"/>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annual consolidated revenues increased by 18% for 2014 compared to 2013 and by 11% for 2013 compared to 2012.</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increase in revenues for 2014 was primarily due to the launch of the Walmart-2-Walmart money transfer service in April 2014 and growth in the number of money transfers processed by the core Ria business in our Money Transfer Segment, an increase in the number of ATMs under management, along with an increase in demand for dynamic currency conversion ("DCC") and other value added services, in our EFT Processing Segment, the impact of the acquisition of HiFX in May 2014, and an increase in the number of transactions processed by our epay subsidiaries in Germany. These increases were partly offset by a decrease in the number of prepaid transactions processed by our epay subsidiaries in Brazil and Australia.</w:t>
      </w:r>
    </w:p>
    <w:p>
      <w:pPr>
        <w:spacing w:after="0" w:line="5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increase in revenues for 2013 was primarily due to an increase in the number of ATMs under management, along with an increase in demand for DCC and other value added services, in our EFT Processing Segment, an increase in the number of transactions processed by our epay subsidiaries in the U.S. and Germany, an increase in the number of money transfers processed and the impact of the results of the acquired businesses of ezi-pay Limited ("ezi-pay") since November 2012 and Pure Commerce Pty Limited ("Pure Commerce") since January 2013. These increases were partly offset by a decrease in the number of prepaid transactions processed in Australia and the U.K. and a decrease in the average commission earned per prepaid transaction in Brazil.</w:t>
      </w:r>
    </w:p>
    <w:p>
      <w:pPr>
        <w:spacing w:after="0" w:line="5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income for 2013 and 2012 includes non-cash goodwill and intangible asset impairment charges of $18.4 million and $28.7 million, respectively, as discussed in Note 8, Goodwill and Acquired Intangible Assets, Net, to the Consolidated Financial Statements. Additionally, operating income for 2013 includes a $19.3 million acquisition-related contingent consideration gain, as discussed in Note 17, Financial Instruments and Fair Value Measurements, to the Consolidated Financial Statements. Excluding the impairment charges and the contingent consideration gain, our operating income increased by 35% for 2014 compared to 2013 and 35% for 2013 compared to 2012.</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Excluding the impairment charges and contingent consideration gain in 2013, the increase for 2014 was primarily due to the increase in ATMs under management, along with the increase in demand for DCC and other value added services, the contributions from HiFX after its acquisition, the increase in the number of money transfer transactions processed, particularly in the U.S., and the increase in the number of prepaid transactions processed in Germany. These increases were partly offset by the decrease in earnings at our epay subsidiaries in the U.S. and the U.K.</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Excluding the impairment charges and contingent consideration gain, the remaining increase for 2013 was primarily due to the increase in ATMs under management, along with the increase in demand for DCC and other value added services, the increase in the number of prepaid transactions processed in the U.S. and Germany, the increase in the number of money transfer transactions processed and the acquisition of ezi-pay. These increases were partly offset by the decrease in revenues at our epay subsidiary in Australia.</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Net income attributable to Euronet for 2014, 2013 and 2012 was $101.6 million, or $1.89 per diluted share, $88.0 million, or $1.69 per diluted share, and $20.5 million, or $0.40 per diluted share, respectively.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therefore, amounts we earn outside the U.S. are negatively impacted by the stronger U.S. dollar and positively impacted by the weaker U.S. dollar. Considering the results by country and the associated functional currency, our consolidated operating income for 2014 and 2013 were not significantly influenced by the changes in foreign currency exchange rates when compared to the immediately prior year. If significant, in our discussion we will refer to the impact of fluctuations in foreign currency exchange rates in our comparison of operating segment results. To provide further perspective on the impact of foreign currency exchange rates, the following table shows the changes in values relative to the U.S. dollar during 2014 and 2013, of the currencies of the countries in which we have our most significant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Average Translation Rate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2014 Increase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2013 Increase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(Decrease)</w:t>
            </w: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Currency</w:t>
            </w:r>
          </w:p>
        </w:tc>
        <w:tc>
          <w:tcPr>
            <w:tcW w:w="100" w:type="dxa"/>
            <w:vAlign w:val="bottom"/>
            <w:vMerge w:val="restart"/>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center"/>
              <w:ind w:right="252"/>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2012</w:t>
            </w:r>
          </w:p>
        </w:tc>
        <w:tc>
          <w:tcPr>
            <w:tcW w:w="12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jc w:val="center"/>
              <w:ind w:left="35"/>
              <w:spacing w:after="0"/>
              <w:rPr>
                <w:sz w:val="20"/>
                <w:szCs w:val="20"/>
                <w:color w:val="auto"/>
              </w:rPr>
            </w:pPr>
            <w:r>
              <w:rPr>
                <w:rFonts w:ascii="Arial" w:cs="Arial" w:eastAsia="Arial" w:hAnsi="Arial"/>
                <w:sz w:val="14"/>
                <w:szCs w:val="14"/>
                <w:b w:val="1"/>
                <w:bCs w:val="1"/>
                <w:color w:val="auto"/>
                <w:w w:val="89"/>
              </w:rPr>
              <w:t>Percent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Australian dollar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0.9020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Brazilian real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0.4263</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0.4654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0.5143</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British pound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1.6474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1.5852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euro</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1.3286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1.3284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1.2862</w:t>
            </w:r>
          </w:p>
        </w:tc>
        <w:tc>
          <w:tcPr>
            <w:tcW w:w="126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Hungarian forint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0.0043</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0.0045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0.0045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440" w:type="dxa"/>
            <w:vAlign w:val="bottom"/>
            <w:gridSpan w:val="2"/>
          </w:tcPr>
          <w:p>
            <w:pPr>
              <w:ind w:left="20"/>
              <w:spacing w:after="0"/>
              <w:rPr>
                <w:sz w:val="20"/>
                <w:szCs w:val="20"/>
                <w:color w:val="auto"/>
              </w:rPr>
            </w:pPr>
            <w:r>
              <w:rPr>
                <w:rFonts w:ascii="Arial" w:cs="Arial" w:eastAsia="Arial" w:hAnsi="Arial"/>
                <w:sz w:val="18"/>
                <w:szCs w:val="18"/>
                <w:color w:val="auto"/>
              </w:rPr>
              <w:t>Indian rupee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0.0164</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0.0172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0.0188</w:t>
            </w: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Polish zloty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0.3177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0.3170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0.3080</w:t>
            </w:r>
          </w:p>
        </w:tc>
        <w:tc>
          <w:tcPr>
            <w:tcW w:w="12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Years Ended December 31, 2014, 2013 and 2012 - By Operating Segment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6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358,636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296,240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62,396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163,590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141,381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22,209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47,148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40,150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6,998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25,730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100" w:type="dxa"/>
            <w:vAlign w:val="bottom"/>
          </w:tcPr>
          <w:p>
            <w:pPr>
              <w:jc w:val="right"/>
              <w:ind w:right="99"/>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30,847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29,537</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61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267,315</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214,890</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52,425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91,321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81,350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9,971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20,364</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18,311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19,247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17,764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1,483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revenues for 2014 increased when compared to 2013, primarily due to an increase in the number of ATMs under management, an increase in demand for DCC and other valued added services on both our ATMs and POS devices under management, and growth in revenues from debit and credit card outsourcing services in Greece.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Average monthly revenues per ATM were $1,553 for 2014 compared to $1,390 for 2013. Revenues per transaction were $0.28 for 2014 compared to $0.25 for 2013. These increases were primarily the result of revenue growth from DCC and other value added services, both of which earn higher revenues per transaction than other ATM services.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offer DCC over our Independent ATM Deployed networks, over ATM networks that we operate on an outsourced basis for banks, and over ATM networks or POS devices as a stand-alone service. On ATMs or POS devices that are operated for banks, or where we offer DCC as a stand-alone service to banks or merchants, we share the foreign exchange margin. The foreign exchange margin on a DCC transaction can substantially increase the amount Euronet earns from the underlying ATM or POS transaction and increase the profitability of those ATMs on which DCC is offered.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data center operations-related personnel costs, the processing centers’ facility-related costs and other processing center-related expenses, as well as commissions paid to retail merchants, banks and card processors involved with POS DCC transactions. Direct operating costs increased for 2014 compared to 2013 primarily due to the increase in the number of ATMs under management, an increase in demand for DCC on POS devices, and increased costs relating to the growth in debit and credit card outsourcing services in Greece.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$195.0 million for 2014 compared to $154.9 million for 2013. This increase was primarily due to the growth in revenues from DCC, growth in debit and credit card outsourcing services in Greece, and an increase in the number of transactions processed in Poland and India. Gross profit as a percentage of revenues (“gross margin”) increased to 54.4% for 2014 from 52.3% for 2013, primarily due to the increase in revenues from DCC and other value added services discussed above, both of which earn a higher gross profit than other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increase in salaries and benefits for 2014 compared to 2013 was primarily due to adding employees to support the growth in ATMs and POS devices under management. As a percentage of revenues, these costs decreased to 13.1% for 2014 from 13.6% for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increase in selling, general and administrative expenses for 2014 compared to 2013 was primarily due to increased costs incurred to support the growth in ATMs under management and growth in DCC transactions on POS devices. As a percentage of revenues, selling, general and administrative expenses decreased to 7.2% for 2014 from 7.8% for 2013, primarily due to the increase in revenues from DCC and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 gain</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the third quarter of 2013, Euronet adjusted to fair value the acquisition-related contingent consideration liability related to Pure Commerce, based on its assessment that the performance targets for gross profit and EBITDA would not be met. The change in fair value resulted in the recognition of a $19.3 million gain (see further discussion in Note 17, Financial Instruments and Fair Value Measurements, to the Consolidated Financial Statements).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Depreciation and amortization expense increased for 2014 compared to 2013 primarily due to the increase in ATMs under management discussed above, partly offset by certain software assets becoming fully amortized during 2013. As a percentage of revenues, depreciation and amortization expense decreased to 8.6% for 2014 from 10.0% for 2013, primarily due to the increase in revenues from DCC and other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Operating income increased for 2014 compared to 2013, primarily due to an increase in the number of ATMs under management, growth in revenues earned from DCC and other value added services, and growth in revenues from debit and credit card management services in Greece, partly offset by the 2013 acquisition-related contingent consideration gain.</w:t>
      </w:r>
    </w:p>
    <w:p>
      <w:pPr>
        <w:sectPr>
          <w:pgSz w:w="11900" w:h="16838" w:orient="portrait"/>
          <w:cols w:equalWidth="0" w:num="1">
            <w:col w:w="11420"/>
          </w:cols>
          <w:pgMar w:left="240" w:top="125" w:right="239" w:bottom="1440" w:gutter="0" w:footer="0" w:header="0"/>
        </w:sect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Excluding the acquisition-related contingent consideration gain, operating income as a percentage of revenues (“operating margin”) for 2014 was 25.5% compared to 20.9% for 2013 and operating income per transaction increased to $0.07 for 2014 from $0.05 for 2013. These increases were primarily due to the growth in revenues earned from DCC and other value added services on our ATMs under management.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EFT Processing Segment for the years ended December 31, 2013 and 2012:</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18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55"/>
              <w:spacing w:after="0" w:line="153" w:lineRule="exact"/>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vMerge w:val="restart"/>
          </w:tcPr>
          <w:p>
            <w:pPr>
              <w:jc w:val="right"/>
              <w:ind w:right="202"/>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296,240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237,948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58,292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141,381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26,555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40,150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32,784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7,366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23,141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20,628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Acquisition-related contingent consideration 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(19,319)</w:t>
            </w:r>
          </w:p>
        </w:tc>
        <w:tc>
          <w:tcPr>
            <w:tcW w:w="220" w:type="dxa"/>
            <w:vAlign w:val="bottom"/>
          </w:tcPr>
          <w:p>
            <w:pPr>
              <w:spacing w:after="0"/>
              <w:rPr>
                <w:sz w:val="21"/>
                <w:szCs w:val="21"/>
                <w:color w:val="auto"/>
              </w:rPr>
            </w:pPr>
          </w:p>
        </w:tc>
        <w:tc>
          <w:tcPr>
            <w:tcW w:w="1100" w:type="dxa"/>
            <w:vAlign w:val="bottom"/>
          </w:tcPr>
          <w:p>
            <w:pPr>
              <w:jc w:val="right"/>
              <w:ind w:right="10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29,537</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214,890</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193,540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21,350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81,350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44,408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36,942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1,188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1,164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ATMs as of December 31</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18,311</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17,600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Average ATMs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17,764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16,692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1,072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6040" w:type="dxa"/>
            <w:vAlign w:val="bottom"/>
            <w:gridSpan w:val="2"/>
          </w:tcPr>
          <w:p>
            <w:pPr>
              <w:spacing w:after="0"/>
              <w:rPr>
                <w:sz w:val="20"/>
                <w:szCs w:val="20"/>
                <w:color w:val="auto"/>
              </w:rPr>
            </w:pPr>
            <w:r>
              <w:rPr>
                <w:rFonts w:ascii="Arial" w:cs="Arial" w:eastAsia="Arial" w:hAnsi="Arial"/>
                <w:sz w:val="18"/>
                <w:szCs w:val="18"/>
                <w:color w:val="auto"/>
              </w:rPr>
              <w:t>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Our revenues for 2013 increased when compared to 2012 primarily due to an increase in the number of ATMs under management, an increase in transactions processed on brown label ATMs in India, an increase in demand for DCC and other valued added services on our ATMs under management and the impact of DCC revenues earned on POS devices from our acquisition of Pure Commerce in January 2013.</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Average monthly revenues per ATM were $1,390 for 2013 compared to $1,188 for 2012. Revenues per transaction were $0.25 for 2013 compared to $0.20 for 2012. These increases were primarily the result of revenue growth from DCC and other value added services, both of which earn higher revenues per transaction than other ATM services and the cancellation of an ATM driving and managed services contract in India. The revenues per ATM and per transaction earned under the canceled contract were significantly lower than other ATM services.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Direct operating costs increased for 2013 compared to 2012 primarily due to the increase in the number of ATMs under management, the acquisition of Pure Commerce and the increase in the number of transactions processed on brown label ATMs.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Gross profit was $154.9 million for 2013 compared to $123.1 million for 2012. This increase was primarily due to growth in revenues from DCC and other value added services, including revenues from DCC earned on POS devices related to our acquisition of Pure Commerce and the increase in ATMs under management. Gross margin increased to 52.3% for 2013 from 51.7% for 2012, primarily due to the increase in revenues from DCC and other value added services discussed above, both of which earn a higher gross profit than other services.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increase in salaries and benefits for 2013 compared to 2012 was primarily due to adding employees to support the growth in ATMs under management, along with the impact of our acquisition of Pure Commerce. As a percentage of revenues, these costs decreased slightly to 13.6% for 2013 from 13.8% for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selling, general and administrative expenses for 2013 compared to 2012 was primarily due to the impact of our acquisition of Pure Commerce and costs incurred to support the growth in ATMs under management. As a percentage of revenues, selling, general and administrative expenses decreased to 7.8% for 2013 from 8.7% for 2012, primarily due to the increase in revenues from DCC and value added services discussed above, which require minimal incremental support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contingent consideration gain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the third quarter of 2013, Euronet adjusted to fair value the acquisition-related contingent consideration liability related to Pure Commerce, based on its assessment that the performance targets for gross profit and EBITDA would not be met. The change in fair value resulted in the recognition of a $19.3 million gain.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Depreciation and amortization expense increased for 2013 compared to 2012 primarily due to the amortization of acquired intangible assets related to Pure Commerce and the increase in ATMs under management discussed above, partly offset by certain software assets becoming fully amortized during 2013. As a percentage of revenues, depreciation and amortization expense decreased to 10.0% for 2013 from 10.6% for 2012, primarily due to the increase in revenues from DCC and other value added services discussed above, which require minimal incremental support costs.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Operating income increased for 2013 compared to 2012, primarily due to the acquisition-related contingent consideration gain, an increase in the number of ATMs under management, an increase in the number of transactions processed on brown label ATMs in India and growth in revenues earned from DCC and other value added services, partly offset by the increase in amortization expense. Excluding the acquisition-related contingent consideration gain, operating margin for 2013 was 20.9% compared to 18.7% for 2012 and operating income per transaction increased to $0.05 for 2013 from $0.04 for 2012. These increases were primarily due to the growth in revenues earned from DCC and other value added services on our ATMs under management, partly offset by the increase in amortization expense.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783,781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748,680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35,101</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607,866</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575,787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32,079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56,402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57,251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1,542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18,425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21"/>
                <w:szCs w:val="21"/>
                <w:color w:val="auto"/>
              </w:rPr>
            </w:pPr>
          </w:p>
        </w:tc>
        <w:tc>
          <w:tcPr>
            <w:tcW w:w="1140" w:type="dxa"/>
            <w:vAlign w:val="bottom"/>
          </w:tcPr>
          <w:p>
            <w:pPr>
              <w:jc w:val="right"/>
              <w:ind w:right="164"/>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15,901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16,756</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722,711</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709,219</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13,492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61,070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39,461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21,609</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129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The increase in revenues for 2014 compared to 2013 was primarily due to increased demand for non-mobile products in Germany. These increases were partly offset by revenue declines in Brazil, Australia and the U.S. The decrease in Brazil was due to the continued impact of changes in certain mobile operators' distribution strategies, which limited our ability to distribute certain products within certain markets in Brazil. The decreases in transactions processed in Australia and the U.S. were caused by increased competitive pressures.</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currently expect most of our future revenue growth to be derived from: (i) additional electronic payment products sold over the base of POS terminals, (ii) valued added services, (iii) developing markets or markets in which there is organic growth in the electronic top-up sector overall, and (iv) acquisitions, if available and commercially appropriate.</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Revenues per transaction were $0.63 for 2014 and $0.67 for 2013. This decrease was primarily due to growth in the number of prepaid mobile transactions processed in India where revenues per transaction are considerably lower than average. The decrease in revenues per transaction was partly offset by the increase in the number of non-mobile transactions processed in Germany, for which we generally earn higher revenues per transaction than mobile transactions.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costs in the epay Segment include the commissions we pay to retail merchants for the distribution and sale of prepaid mobile airtime and other prepaid products, expenses required to operate POS terminals and the cost of vouchers sold and physical gifts fulfilled. The increase in direct operating costs was primarily due to the increase in non-mobile transactions processed in Germany, partly offset by the decrease in the number of transactions processed in Brazil, Australia and the U.S.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Gross profit, which represents revenues less direct costs, was $175.9 million for 2014 compared to $172.9 million for 2013. The increase in gross profit was primarily due to the growth in non-mobile transactions processed in Germany, partly offset by the decrease in revenues in Brazil. Gross margin decreased to 22.4% for 2014 from 23.1% for 2013 and gross profit per transaction decreased to $0.14 for 2014 from $0.16 for 2013. These decreases were primarily due to the decrease in the revenues in Brazil, partly offset by the increase in non-mobile transactions processed in Germany discussed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decrease in salaries and benefits for 2014 compared to 2013 was primarily due to lower headcount in Australia and Brazil in response to the decrease in the number of transactions processed, largely offset by the increase in headcount in Germany to support the increase in revenues discussed above. As a percentage of revenues, salaries and benefits decreased to 7.2% for 2014 from 7.6% for 2013.</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selling, general and administrative expenses for 2014 compared to 2013 was primarily due to an increase in marketing and bad debt expenses. As a percentage of revenues, these expenses decreased slightly to 5.4% for 2014 from 5.5% for 2013, primarily due to the increases in revenues in Germany discussed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 impairment</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During the fourth quarter of 2013, epay Australia and epay Spain recorded non-cash charges for impairment of goodwill of $12.3 million and $6.1 million, respectively (see further discussion below in "2013 Compared to 2012" and in Note 8, Goodwill and Acquired Intangible Assets, Net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Depreciation and amortization expense primarily represents amortization of acquired intangible assets and the depreciation of POS terminals we install in retail stores. Depreciation and amortization expense decreased for 2014 compared to 2013 mainly due to certain acquired intangible assets becoming fully amortized during the first quarter of 2013. As a percentage of revenues, these expenses decreased to 2.0% for 2014 from 2.2% for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income for 2013 includes non-cash goodwill and intangible asset impairment charges of $18.4 million. Excluding the impairment charges, operating income was $61.1 million for 2014 and $57.9 million for 2013. This increase was primarily due to the increase in gross profit discussed above, along with decreases in salaries and benefits and depreciation and amortization expenses, partly offset by increases in marketing and bad debt expenses. Excluding the 2013 impairment charges, operating margin was 7.8% for 2014 compared to 7.7% for 2013 and operating income per transaction was $0.05 for both 2014 and 2013.</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epay Segment for the years ended December 31, 2013 and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224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3"/>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748,680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714,125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34,555</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575,787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548,390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27,397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57,251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53,399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3,852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44,496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18,425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28,740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(10,315)</w:t>
            </w:r>
          </w:p>
        </w:tc>
        <w:tc>
          <w:tcPr>
            <w:tcW w:w="220" w:type="dxa"/>
            <w:vAlign w:val="bottom"/>
          </w:tcPr>
          <w:p>
            <w:pPr>
              <w:spacing w:after="0"/>
              <w:rPr>
                <w:sz w:val="21"/>
                <w:szCs w:val="21"/>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16,756</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19,599</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608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709,219</w:t>
            </w: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694,624</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14,595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39,461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19,501</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19,960</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ind w:right="16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_____________________</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revenues for 2013 compared to 2012 was primarily due to an increase in the number of prepaid mobile transactions processed in the U.S., increased demand for non-mobile products in Germany, an increase in voucher redemptions and physical gift fulfillments at our cadooz subsidiary and the impact of our acquisition of ezi-pay in November 2012. These increases were partly offset by revenue declines in Australia, Brazil and the U.K. The decrease in revenues for Australia and the U.K. were the result of increased competitive pressures and certain mobile operators modifying their distribution strategies to drive consumer demand for top-up services to on-line or mobile device channels. The decrease in revenues for Brazil was primarily due to a decrease in the average commission earned per transaction.</w:t>
      </w:r>
    </w:p>
    <w:p>
      <w:pPr>
        <w:spacing w:after="0" w:line="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Revenues per transaction were $0.67 for 2013 and $0.64 for 2012. This increase was primarily due to an increase in revenues at our cadooz subsidiary, where revenues are recorded at gross value, in contrast to our other electronic payment products which are recorded at net value, and the impact of a decrease in the number transactions processed at our ATX subsidiary. This increase was partly offset by growth in the number of transactions processed in India, where revenues per transaction are considerably lower than average, and a decrease in the average commission earned in Brazil. At our ATX subsidiary, we provide only transaction processing services without significant direct costs and other operating costs related to installing and managing terminals. Therefore, the revenues we recognize from these transactions are a fraction of those recognized on average transactions, but with strong contribution to gross profit.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increase in direct operating costs for 2013 compared to 2012 was primarily due to the growth in transactions processed in the U.S. and Germany, increased voucher redemptions and physical gifts fulfilled at our cadooz subsidiary, increased commissions costs in Brazil and the impact of our acquisition of ezi-pay. These increases were partly offset by the decrease in the number of transactions processed in Australia and the U.K.</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Gross profit was $172.9 million for 2013 compared to $165.7 million for 2012. The increase in gross profit was primarily due to the increase in transactions processed in Germany (mainly from increased demand for non-mobile products), the U.S. and at our cadooz subsidiary, along with the impact of our acquisition of ezi-pay. These increases were partly offset by the decrease in transactions processed in Australia and the U.K., and the increase in commission costs in Brazil, as a result of a larger percentage of transactions being conducted through large retailers. Gross margin decreased slightly to 23.1% for 2013 from 23.2% for 2012. Gross profit per transaction increased to $0.16 for 2013 from $0.15 for 2012, primarily due to the increase of non-mobile transactions discussed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salaries and benefits for 2013 compared to 2012 was primarily due to an increase in staff in Germany and the U.S. to support the increases in transactions processed, the impact of our acquisition of ezi-pay and the full year impact of costs in Russia and Turkey. These increases were partly offset by a decrease in salaries and benefits in Australia and Brazil in response to a decrease in revenues. As a percentage of revenues, salaries and benefits increased slightly to 7.6% for 2013 from 7.5% for 2012.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decrease in selling, general and administrative expenses for 2013 compared to 2012 was primarily due to a decrease in professional fees and bad debt expense, partly offset by the impact of our acquisition of ezi-pay. As a percentage of revenues, these expenses decreased to 5.5% for 2013 from 6.2% for 2012, primarily due to decreased costs related to the decreases in revenues in Australia, Brazil, and the U.K., along with the decrease in professional fees and bad debt expense.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 impairment</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fourth quarter of 2013, epay Australia and epay Spain recorded non-cash charges for impairment of goodwill of $12.3 million and $6.1 million, respectively.</w:t>
      </w:r>
    </w:p>
    <w:p>
      <w:pPr>
        <w:spacing w:after="0" w:line="6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goodwill impairment charge in Australia was the result of continuing declines in the demand for mobile top-up services, caused by certain large retailers (which have a significant share of the retail market) negotiating direct agreements with two mobile operators and certain mobile operators modifying their distribution strategies to drive consumer demand for top-up services to on-line or mobile device channels. In Spain, the goodwill impairment charge was the result of the longer term effect of poor economic conditions, including continued high levels of unemployment and increased competitive pressures. In response to the business challenges in Australia and Spain, we continued to sell additional products and services to mobile operators and develop strategies to increase the distribution of other prepaid products. However, in the fourth quarter of 2013, we concluded that while future cash flows from existing agreements with mobile operators and from the launch of new products would likely grow steadily over time, the growth would not add the level of cash flows previously forecasted. Based upon the revised future cash flow forecasts, we concluded that the resulting valuations were not sufficient to support the goodwill carrying values of epay Australia and epay Spain. Therefore, the impairment charges were recorded in the period.</w:t>
      </w:r>
    </w:p>
    <w:p>
      <w:pPr>
        <w:spacing w:after="0" w:line="5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the fourth quarter of 2012, epay Brazil recorded a non-cash charge for impairment of goodwill and acquired intangible assets (specifically customer relationship assets) of $23.5 million and $5.2 million, respectively (see further discussion in Note 8, Goodwill and Acquired Intangible Assets, Net to the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Depreciation and amortization expense decreased for 2013 compared to 2012. As a percentage of revenues, these expenses decreased to 2.2% for 2013 from 2.7% for 2012. These decreases were the result of certain acquired intangible assets becoming fully amortized during 2012 and the first quarter of 2013, partly offset by the impact of our acquisition of ezi-pay.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Operating income for 2013 and 2012 includes non-cash goodwill and intangible asset impairment charges of $18.4 million and $28.7 million, respectively. Excluding the impairment charges, operating income was $57.9 million for 2013 and $48.2 million for 2012. This increase was primarily due to the growth in transactions processed in Germany, the U.S., and at our cadooz subsidiary, along with the operating income from the acquisition of ezi-pay and the decrease in amortization expense, professional fees and bad debt expense. These increases were partly offset by declines in revenues and transactions processed in Australia and increased commission costs in Brazil. Excluding the impairment charges, operating margin was 7.7% for 2013 compared to 6.8% for 2012 and operating income per transaction was $0.05 for 2013 compared to $0.04 for 2012. These increases were primarily due to the increases in revenues discussed above, along with the decrease in amortization expense, professional fees, and bad debt expense, partly offset by increased commission costs in Brazil.</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operations for our Money Transfer Segment for the years ended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6"/>
                <w:szCs w:val="16"/>
                <w:color w:val="auto"/>
              </w:rPr>
            </w:pPr>
          </w:p>
        </w:tc>
        <w:tc>
          <w:tcPr>
            <w:tcW w:w="216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2"/>
              </w:rPr>
              <w:t>Increase Percent</w:t>
            </w:r>
          </w:p>
        </w:tc>
        <w:tc>
          <w:tcPr>
            <w:tcW w:w="0" w:type="dxa"/>
            <w:vAlign w:val="bottom"/>
          </w:tcPr>
          <w:p>
            <w:pPr>
              <w:spacing w:after="0"/>
              <w:rPr>
                <w:sz w:val="1"/>
                <w:szCs w:val="1"/>
                <w:color w:val="auto"/>
              </w:rPr>
            </w:pPr>
          </w:p>
        </w:tc>
      </w:tr>
      <w:tr>
        <w:trPr>
          <w:trHeight w:val="192"/>
        </w:trPr>
        <w:tc>
          <w:tcPr>
            <w:tcW w:w="5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523,150</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370,365</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152,785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263,253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177,783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85,470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115,419</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88,222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27,197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77,305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54,870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22,435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24,432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6,037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9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480,409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339,270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141,139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97"/>
        </w:trPr>
        <w:tc>
          <w:tcPr>
            <w:tcW w:w="614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42,741</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31,095</w:t>
            </w:r>
          </w:p>
        </w:tc>
        <w:tc>
          <w:tcPr>
            <w:tcW w:w="2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11,646</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48.5</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5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increase in revenues for 2014 compared to 2013 was primarily due to an increase in the number of transactions processed, largely driven by the 2014 launch of our Walmart money transfer product in the U.S., growth in our agent and correspondent payout networks in foreign markets and the impact of our May 2014 acquisition of EIM (FX) Limited, which owns subsidiaries that operate under the brand name HiFX.</w:t>
      </w:r>
    </w:p>
    <w:p>
      <w:pPr>
        <w:spacing w:after="0" w:line="5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HiFX facilitates account-to-account foreign exchange solutions, primarily cross-border, cross-currency transactions, for small-to-medium sized businesses and individuals. The majority of HiFX's revenues are earned from foreign currency exchange margin derived from purchasing currencies at wholesale exchange rates and selling currencies to customers at retail exchange rates, which enables customers to make cross-currency payments. In addition, HiFX writes foreign currency forward and cross-currency swap contracts for customers to facilitate future payments.</w:t>
      </w:r>
    </w:p>
    <w:p>
      <w:pPr>
        <w:spacing w:after="0" w:line="1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Revenues per transaction increased to $10.79 for 2014 from $10.52 for 2013. The increase was primarily due to the impact of our acquisition of HiFX, partly offset by the launch of our Walmart money transfer product during the second quarter of 2014, which earns lower revenues per transaction than other money transfer services.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9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Direct operating costs in the Money Transfer Segment primarily represent commissions paid to agents who originate money transfers on our behalf and correspondent agents who disburse funds to the customers’ destination beneficiaries, together with less significant costs, such as bank depository fees and cash handling costs. The increase in direct operating costs in 2014 compared to 2013 was primarily due to the growth in the number of money transfer transactions processed in both the U.S. and non-U.S. locations.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Gross profit, which represents revenues less direct costs, was $259.9 million for 2014 compared to $192.6 million for 2013. The increase in gross profit was primarily due to the growth in the number of money transfer transactions processed in both the U.S. and foreign markets and the impact of our acquisition of HiFX. Gross margin was 49.7% for 2014 compared to 52.0% for 2013. This decrease was primarily due to the launch of our Walmart money transfer product in the U.S., which earns a lower gross profit per transaction than other money transfer services, partly offset by the impact of our acquisition of HiFX, which has higher margin transactions.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increase in salaries and benefits for 2014 compared to 2013 was primarily due to the impact of our acquisition of HiFX and an increase in headcount as a result of the launch of our Walmart money transfer product, the development of our online money transfer service and expansion of our operations in foreign markets. As a percentage of revenues, salaries and benefits decreased to 22.1% for 2014 from 23.8% for 2013, primarily due to increased revenues related to the increase in the number of money transfers processed in the U.S., which did not require similar increases in support costs.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Selling, general and administrative expenses increased for 2014 compared to 2013, primarily due to the impact of our acquisition of HiFX, an increase in professional fees, including acquisition-related costs, an increase in bad debt expense, expenses incurred to support the expansion of our money transfer products in both the U.S. and foreign markets and the write-down of certain customer acquisition costs. As a percentage of revenues, selling, general and administrative expenses remained at 14.8% for 2014 and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Depreciation and amortization primarily represents amortization of acquired intangible assets and depreciation of money transfer terminals, computers and software, leasehold improvements and office equipment. For 2014, depreciation and amortization expense increased compared to 2013 primarily due to the amortization of intangible assets related to the acquisition of HiFX. As a percentage of revenues, depreciation and amortization expense decreased to 4.7% for 2014 from 5.0% for 2013, primarily due to the revenues earned from our Walmart money transfer product, which required less capital investment than other money transfer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Operating income increased by $11.6 million for 2014 compared to 2013, primarily due to the growth in transactions processed and the impact of our acquisition of HiFX, partly offset by an increase in professional fees, bad debt expense, salaries and benefits related to development of our online money transfer service and the write-down of certain customer acquisition costs. As a result, operating margin decreased slightly to 8.2% for 2014 from 8.4% for 2013 and operating income per transaction remained at $0.88 for both 2014 and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Compared to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years ended December 31, 2013 and 2012 for the Money Transfer Segment.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48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341"/>
        </w:trPr>
        <w:tc>
          <w:tcPr>
            <w:tcW w:w="5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right"/>
              <w:ind w:right="37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vMerge w:val="restart"/>
          </w:tcPr>
          <w:p>
            <w:pPr>
              <w:jc w:val="right"/>
              <w:ind w:right="37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Increase</w:t>
            </w:r>
          </w:p>
        </w:tc>
        <w:tc>
          <w:tcPr>
            <w:tcW w:w="2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(Decrease)Amount</w:t>
            </w:r>
          </w:p>
        </w:tc>
        <w:tc>
          <w:tcPr>
            <w:tcW w:w="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5"/>
              </w:rPr>
              <w:t>(Decrease)Percent</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370,365</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316,135</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54,230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177,783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149,397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28,386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88,222</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75,540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12,682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54,870</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47,673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7,197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18,395</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18,902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339,270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291,512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47,758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31,095</w:t>
            </w:r>
          </w:p>
        </w:tc>
        <w:tc>
          <w:tcPr>
            <w:tcW w:w="2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24,623</w:t>
            </w:r>
          </w:p>
        </w:tc>
        <w:tc>
          <w:tcPr>
            <w:tcW w:w="2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6,472</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35.2</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5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increase in revenues for 2013 compared to 2012 was primarily due to an increase in the number of transactions processed and growth in revenues from other products such as mobile top-up, check cashing, bill payment and money order transactions. The increase in transactions processed was driven by a 17% increase in money transfers, including a 19% increase in transfers from the U.S. and 14% increase in transfers from non-U.S. markets for 2013 compared to 2012. The increase in the number of money transfers processed from both the U.S. and non-U.S. markets was due to the expansion of our agent and correspondent payout networks.</w:t>
      </w:r>
    </w:p>
    <w:p>
      <w:pPr>
        <w:spacing w:after="0" w:line="8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Revenues per transaction increased to $10.52 for 2013 from $10.30 for 2012. The increase was primarily due to the growth rate of money transfer transactions, which earn higher revenues per transaction than non-money transfer services and the impact of the euro strengthening against the U.S. dollar, partly offset by a shift in the percentage of transactions processed to U.S. locations, which earn lower revenues per transaction than non-U.S. locations.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direct operating costs in 2013 compared to 2012 was primarily due to the growth in the number of transactions processed.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Gross profit was $192.6 million for 2013 compared to $166.7 million for 2012. The increase in gross profit was primarily due to the growth in money transfer transactions and other services such as mobile top-up, check cashing, bill payment and money order transactions. Gross margin was 52.0% for 2013 compared to 52.7% for 2012. This decrease was primarily due to an increase in the percentage of money transfer transactions processed at U.S. locations during 2013, which earn lower revenues and gross profit per transaction than non-U.S. locations.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increase in salaries and benefits for 2013 compared to 2012 was primarily due to an increase in headcount to support the expansion of our operations both in the U.S and internationally and support costs incurred to launch our online money transfer service. As a percentage of revenues, salaries and benefits decreased slightly to 23.8% for 2013 from 23.9% for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Selling, general and administrative expenses increased for 2013 compared to 2012, primarily due to an increase in professional fees and legal expenses and increased expenditures we incurred to support expansion of our operations and products, both in the U.S. and internationally. As a percentage of revenues, selling, general and administrative expenses decreased slightly to 14.8% for 2013 from 15.1% for 2012. This decrease was primarily due to the growth of money transfer revenues exceeding the incremental required support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For 2013, depreciation and amortization expense decreased compared to 2012 as the impact of the increased capital expenditures was more than offset by certain acquired intangible assets becoming fully amortized during the first quarter of 2013. As a percentage of revenues, depreciation and amortization expense decreased to 5.0% for 2013 from 6.0% for 2012, primarily due to the decrease in amortization expense combined with the increase in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Operating income increased by $6.5 million for 2013 compared to 2012, primarily due to the growth in transactions processed and the decrease in amortization expense. These increases were partly offset by the increase in professional fees and legal expenses. As a result, operating margin increased to 8.4% for 2013 from 7.8% for 2012 and operating income per transaction increased to $0.88 for 2013 from $0.80 for 2012. The increase in operating income per transaction was also due to the impact of the euro strengthening against the U.S. dollar.</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Corporate Services' operating expenses for 2014, 2013 and 2012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2014 Increase</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2013 Increase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Salaries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24,251</w:t>
            </w:r>
          </w:p>
        </w:tc>
        <w:tc>
          <w:tcPr>
            <w:tcW w:w="5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22,621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22,332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11,875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10,509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36,401</w:t>
            </w:r>
          </w:p>
        </w:tc>
        <w:tc>
          <w:tcPr>
            <w:tcW w:w="6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33,495</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30,527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w:t>
            </w: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Overall, operating expenses for Corporate Services increased 9% for 2014 compared to 2013, driven by an increase in salaries and benefits expense as well as selling, general and administrative expenses. The increase in salaries and benefits expense was due to increased headcount to support the growth in the Company and increased share-based and incentive compensation related to the improvement in Company results. The increase in selling, general and administrative expenses was primarily due to an increase in acquisition-related costs and the settlement of a dispute related to a prior period potential acquisition.</w:t>
      </w:r>
    </w:p>
    <w:p>
      <w:pPr>
        <w:spacing w:after="0" w:line="8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expenses for Corporate Services increased 10% for 2013 compared to 2012, primarily due to an increase in selling, general and administrative expenses. This increase was primarily due to an increase in professional fees and legal contingency accruals.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20" w:type="dxa"/>
            <w:vAlign w:val="bottom"/>
            <w:gridSpan w:val="2"/>
          </w:tcPr>
          <w:p>
            <w:pPr>
              <w:jc w:val="center"/>
              <w:ind w:left="136"/>
              <w:spacing w:after="0" w:line="153"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Pr>
          <w:p>
            <w:pPr>
              <w:spacing w:after="0"/>
              <w:rPr>
                <w:sz w:val="13"/>
                <w:szCs w:val="13"/>
                <w:color w:val="auto"/>
              </w:rPr>
            </w:pPr>
          </w:p>
        </w:tc>
        <w:tc>
          <w:tcPr>
            <w:tcW w:w="11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Increase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5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(12,330)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(10,139)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unconsolidated affiliates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942</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40"/>
              <w:spacing w:after="0"/>
              <w:rPr>
                <w:sz w:val="20"/>
                <w:szCs w:val="20"/>
                <w:color w:val="auto"/>
              </w:rPr>
            </w:pPr>
            <w:r>
              <w:rPr>
                <w:rFonts w:ascii="Arial" w:cs="Arial" w:eastAsia="Arial" w:hAnsi="Arial"/>
                <w:sz w:val="18"/>
                <w:szCs w:val="18"/>
                <w:color w:val="auto"/>
              </w:rPr>
              <w:t>Other (losses) gains, net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2,398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4,146</w:t>
            </w:r>
          </w:p>
        </w:tc>
        <w:tc>
          <w:tcPr>
            <w:tcW w:w="220" w:type="dxa"/>
            <w:vAlign w:val="bottom"/>
          </w:tcPr>
          <w:p>
            <w:pPr>
              <w:spacing w:after="0"/>
              <w:rPr>
                <w:sz w:val="21"/>
                <w:szCs w:val="21"/>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(loss) gain, net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57"/>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(17,228)</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220" w:type="dxa"/>
            <w:vAlign w:val="bottom"/>
          </w:tcPr>
          <w:p>
            <w:pPr>
              <w:spacing w:after="0"/>
              <w:rPr>
                <w:sz w:val="22"/>
                <w:szCs w:val="22"/>
                <w:color w:val="auto"/>
              </w:rPr>
            </w:pPr>
          </w:p>
        </w:tc>
        <w:tc>
          <w:tcPr>
            <w:tcW w:w="1320" w:type="dxa"/>
            <w:vAlign w:val="bottom"/>
            <w:gridSpan w:val="2"/>
          </w:tcPr>
          <w:p>
            <w:pPr>
              <w:ind w:left="620"/>
              <w:spacing w:after="0"/>
              <w:rPr>
                <w:sz w:val="20"/>
                <w:szCs w:val="20"/>
                <w:color w:val="auto"/>
              </w:rPr>
            </w:pPr>
            <w:r>
              <w:rPr>
                <w:rFonts w:ascii="Arial" w:cs="Arial" w:eastAsia="Arial" w:hAnsi="Arial"/>
                <w:sz w:val="18"/>
                <w:szCs w:val="18"/>
                <w:color w:val="auto"/>
              </w:rPr>
              <w:t>n/m</w:t>
            </w:r>
          </w:p>
        </w:tc>
        <w:tc>
          <w:tcPr>
            <w:tcW w:w="114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increase in interest income for 2014 was primarily due to the interest earned by HiFX on deposits collected from customers. The decrease in interest income for 2013 was primarily due to less interest earned in Australia and Brazil, as a result of holding less cash in interest earning bank accounts due to revenue declines and increased working capital requirements. The decrease for Brazil was also due to the U.S. dollar strengthening against the Brazilian real during 2013.</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interest expense for 2014 was primarily due to the non-cash accretion of the convertible notes issued in October 2014, along with slightly higher average levels of debt outstanding in 2014 compared to 2013. The decrease in interest expense for 2013 was primarily related to Euronet's repurchase of $167.9 million of our convertible debentures in October 2012, which was largely funded by borrowing under the credit facility, which had a significantly lower average effective interest rate than the convertible debentures.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Income from unconsolidated affiliates</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(Loss) Income from unconsolidated affiliates during 2014 primarily represents the equity in the losses of our 49% investment in Euronet ETT (China). Prior to 2014, it primarily represented our 40% equity investment in epay Malaysia and our 47% investment in Euronet Indonesia. The decreases in income for 2014 from 2013 and for 2013 from 2012 were primarily due to the sale of the Company's 40% equity investment in epay Malaysia in July 2013.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(losses) gains,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2014, we recorded a $1.8 million loss on a loan made to a start-up enterprise as it became probable that we would not be repaid.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2013, we completed the sale of our 40% equity method investment in epay Malaysia, which resulted in the recognition of a $2.8 million gain. Additionally, we recorded a $0.4 million impairment charge to a cost basis investment in an unconsolidated affiliate.</w:t>
      </w:r>
    </w:p>
    <w:p>
      <w:pPr>
        <w:spacing w:after="0" w:line="6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2012, our acquisition of the remaining 51% interest of Euronet Middle East W.L.L. resulted in Euronet obtaining control of the entity, which was considered a business combination. Accordingly, we valued the assets and liabilities at fair value, which resulted in a $4.4 million gain on the 49% interest previously owned. Additionally, we recorded an investment in marketable securities at fair value which resulted in a loss of $0.2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gain, net</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determining net income. The majority of our foreign currency exchange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exchange losses are generated on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recorded a net foreign currency exchange loss of $5.6 million and $0.1 million in 2014 and 2012, respectively, and a net foreign currency exchange gain of $2.2 million in 2013. These realized and unrealized foreign currency exchange gains and losses primarily reflect the respective weakening and strengthening of the U.S. dollar against the currencies of the countries in which we operate during the respective periods related to those assets and liabilities described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rates as reported and as adjusted are calculated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7"/>
              </w:rPr>
              <w:t>Year Ended December 31,</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50"/>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141,503</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115,085</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47,334</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(40,015)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(27,732)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(26,937)</w:t>
            </w:r>
          </w:p>
        </w:tc>
      </w:tr>
      <w:tr>
        <w:trPr>
          <w:trHeight w:val="27"/>
        </w:trPr>
        <w:tc>
          <w:tcPr>
            <w:tcW w:w="6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101,488</w:t>
            </w:r>
          </w:p>
        </w:tc>
        <w:tc>
          <w:tcPr>
            <w:tcW w:w="5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87,353</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20,397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141,503</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115,085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47,334</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Goodwill and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(18,425)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(28,740)</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Acquisition-related contingent consideration gain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19,319</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700" w:type="dxa"/>
            <w:vAlign w:val="bottom"/>
            <w:gridSpan w:val="2"/>
          </w:tcPr>
          <w:p>
            <w:pPr>
              <w:ind w:left="180"/>
              <w:spacing w:after="0"/>
              <w:rPr>
                <w:sz w:val="20"/>
                <w:szCs w:val="20"/>
                <w:color w:val="auto"/>
              </w:rPr>
            </w:pPr>
            <w:r>
              <w:rPr>
                <w:rFonts w:ascii="Arial" w:cs="Arial" w:eastAsia="Arial" w:hAnsi="Arial"/>
                <w:sz w:val="18"/>
                <w:szCs w:val="18"/>
                <w:color w:val="auto"/>
              </w:rPr>
              <w:t>Adjust: Other gains,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(1,755)</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2,398</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4,146</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Adjust: Foreign currency exchange (loss) gain,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(5,646)</w:t>
            </w:r>
          </w:p>
        </w:tc>
        <w:tc>
          <w:tcPr>
            <w:tcW w:w="2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2,211</w:t>
            </w:r>
          </w:p>
        </w:tc>
        <w:tc>
          <w:tcPr>
            <w:tcW w:w="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w:t>
            </w:r>
          </w:p>
        </w:tc>
      </w:tr>
      <w:tr>
        <w:trPr>
          <w:trHeight w:val="297"/>
        </w:trPr>
        <w:tc>
          <w:tcPr>
            <w:tcW w:w="6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Income before income taxes,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148,904</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109,582</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72,027</w:t>
            </w:r>
          </w:p>
        </w:tc>
      </w:tr>
      <w:tr>
        <w:trPr>
          <w:trHeight w:val="237"/>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(40,015)</w:t>
            </w:r>
          </w:p>
        </w:tc>
        <w:tc>
          <w:tcPr>
            <w:tcW w:w="5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(27,732)</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(26,937)</w:t>
            </w:r>
          </w:p>
        </w:tc>
      </w:tr>
      <w:tr>
        <w:trPr>
          <w:trHeight w:val="243"/>
        </w:trPr>
        <w:tc>
          <w:tcPr>
            <w:tcW w:w="6700" w:type="dxa"/>
            <w:vAlign w:val="bottom"/>
            <w:gridSpan w:val="2"/>
          </w:tcPr>
          <w:p>
            <w:pPr>
              <w:ind w:left="40"/>
              <w:spacing w:after="0"/>
              <w:rPr>
                <w:sz w:val="20"/>
                <w:szCs w:val="20"/>
                <w:color w:val="auto"/>
              </w:rPr>
            </w:pPr>
            <w:r>
              <w:rPr>
                <w:rFonts w:ascii="Arial" w:cs="Arial" w:eastAsia="Arial" w:hAnsi="Arial"/>
                <w:sz w:val="18"/>
                <w:szCs w:val="18"/>
                <w:color w:val="auto"/>
              </w:rPr>
              <w:t>Adjust: Income tax benefit attributable to acquired intangible assets impairment</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1,709</w:t>
            </w:r>
          </w:p>
        </w:tc>
      </w:tr>
      <w:tr>
        <w:trPr>
          <w:trHeight w:val="27"/>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Adjust: Income tax (expense) benefit attributable to foreign currency exchange gain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67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(303)</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w:t>
            </w:r>
          </w:p>
        </w:tc>
      </w:tr>
      <w:tr>
        <w:trPr>
          <w:trHeight w:val="297"/>
        </w:trPr>
        <w:tc>
          <w:tcPr>
            <w:tcW w:w="6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Income tax expense, as adjusted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(38,457)</w:t>
            </w:r>
          </w:p>
        </w:tc>
        <w:tc>
          <w:tcPr>
            <w:tcW w:w="2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(27,429)</w:t>
            </w:r>
          </w:p>
        </w:tc>
        <w:tc>
          <w:tcPr>
            <w:tcW w:w="2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(28,675)</w:t>
            </w:r>
          </w:p>
        </w:tc>
      </w:tr>
      <w:tr>
        <w:trPr>
          <w:trHeight w:val="251"/>
        </w:trPr>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Effective income tax rate, as adjusted</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calculate our effective income tax rate by dividing income tax expense by pre-tax book income. Our effective income tax rates were 28.3%, 24.1% and 56.9% for the years ended December 31, 2014, 2013 and 2012, respectively. The effective income tax rates were significantly influenced by the acquisition-related contingent consideration gain in 2013, the non-cash goodwill and acquired intangible asset impairment charges recorded in 2013 and 2012, other non-operating gains (losses) and the impact of foreign currency exchange gains (losses). Excluding these items from pre-tax income, as well as the related tax effects for these items, our effective income tax rates were 25.8%, 25.0% and 39.8% for the years ended December 31, 2014, 2013 and 2012, respectively.</w:t>
      </w:r>
    </w:p>
    <w:p>
      <w:pPr>
        <w:spacing w:after="0" w:line="5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effective income tax rate, as adjusted, for 2014 was lower than the applicable statutory income tax rate of 35% primarily because of our U.S. tax position and the realization of deferred tax benefits in various jurisdictions. For the fiscal years ended December 31, 2014, 2013 and 2012, we have recorded a valuation allowance against our U.S. federal tax net operating losses, as it is more likely than not that a tax benefit will not be realized. Accordingly, the federal income tax benefit associated with pre-tax book losses generated by our U.S. entities has not been recognized. During periods, such as 2014 and 2013, when the Company generates U.S. pre-tax book income, no income tax expense is recognized to the extent there are net operating loss carryforwards to offset pre-tax book income. There was no material change in the effective tax rate, as adjusted, for 2014 compared to 2013. The effective income tax rate, as adjusted, for 2013 was lower than that for 2012 because of our U.S. tax position and the realization of deferred tax benefits in various jurisdictions.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We determine income tax expense based upon enacted tax laws applicable in each of the taxing jurisdictions where we conduct business. Based on our interpretation of such laws, and considering the evidence of available facts and circumstances and baseline operating forecasts, we have accrued the estimated income tax effects of certain transactions, business ventures, contractual and organizational structures, and the estimated future reversal of timing differences. Should a taxing jurisdiction change its laws or dispute our conclusions, or should management become aware of new facts or other evidence that could alter our conclusions, the resulting impact to our estimates could have a material adverse effect on our results of operations and financial condition.</w:t>
      </w:r>
    </w:p>
    <w:p>
      <w:pPr>
        <w:spacing w:after="0" w:line="5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Income before income taxes, as adjusted, income tax expense, as adjusted and effective income tax rate, as adjusted are non-GAAP financial measures that management believes are useful for understanding why our effective income tax rates are significantly different than would be expected.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loss attributable to noncontrolling interests was $0.2 million, $0.6 million and $0.1 million for 2014, 2013 and 2012, respectively. The decrease in the loss attributable to noncontrolling interest in 2014 compared to 2013 and the increase in 2013 compared to 2012 was primarily due to the goodwill impairment charge recorded by our Movilcarga subsidiary in 2013. The 2013 increase was also affected by the acquisition of the remaining noncontrolling interests in ATX in January 2013. Noncontrolling interests represent the elimination of net income or loss attributable to the minority shareholders’ portion of the following consolidated subsidiaries that are not wholly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Percent</w:t>
            </w:r>
          </w:p>
        </w:tc>
        <w:tc>
          <w:tcPr>
            <w:tcW w:w="20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Segment - Country</w:t>
            </w:r>
          </w:p>
        </w:tc>
        <w:tc>
          <w:tcPr>
            <w:tcW w:w="0" w:type="dxa"/>
            <w:vAlign w:val="bottom"/>
          </w:tcPr>
          <w:p>
            <w:pPr>
              <w:spacing w:after="0"/>
              <w:rPr>
                <w:sz w:val="1"/>
                <w:szCs w:val="1"/>
                <w:color w:val="auto"/>
              </w:rPr>
            </w:pPr>
          </w:p>
        </w:tc>
      </w:tr>
      <w:tr>
        <w:trPr>
          <w:trHeight w:val="192"/>
        </w:trPr>
        <w:tc>
          <w:tcPr>
            <w:tcW w:w="7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 (1)</w:t>
            </w:r>
          </w:p>
        </w:tc>
        <w:tc>
          <w:tcPr>
            <w:tcW w:w="100" w:type="dxa"/>
            <w:vAlign w:val="bottom"/>
            <w:tcBorders>
              <w:bottom w:val="single" w:sz="8" w:color="CCEEFF"/>
            </w:tcBorders>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epay - Spain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 Pakistan</w:t>
            </w:r>
          </w:p>
        </w:tc>
        <w:tc>
          <w:tcPr>
            <w:tcW w:w="0" w:type="dxa"/>
            <w:vAlign w:val="bottom"/>
          </w:tcPr>
          <w:p>
            <w:pPr>
              <w:spacing w:after="0"/>
              <w:rPr>
                <w:sz w:val="1"/>
                <w:szCs w:val="1"/>
                <w:color w:val="auto"/>
              </w:rPr>
            </w:pPr>
          </w:p>
        </w:tc>
      </w:tr>
      <w:tr>
        <w:trPr>
          <w:trHeight w:val="243"/>
        </w:trPr>
        <w:tc>
          <w:tcPr>
            <w:tcW w:w="8060" w:type="dxa"/>
            <w:vAlign w:val="bottom"/>
            <w:gridSpan w:val="2"/>
          </w:tcPr>
          <w:p>
            <w:pPr>
              <w:ind w:left="40"/>
              <w:spacing w:after="0"/>
              <w:rPr>
                <w:sz w:val="20"/>
                <w:szCs w:val="20"/>
                <w:color w:val="auto"/>
              </w:rPr>
            </w:pPr>
            <w:r>
              <w:rPr>
                <w:rFonts w:ascii="Arial" w:cs="Arial" w:eastAsia="Arial" w:hAnsi="Arial"/>
                <w:sz w:val="18"/>
                <w:szCs w:val="18"/>
                <w:color w:val="auto"/>
              </w:rPr>
              <w:t>Universal Solutions Partners</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51%</w:t>
            </w:r>
          </w:p>
        </w:tc>
        <w:tc>
          <w:tcPr>
            <w:tcW w:w="100" w:type="dxa"/>
            <w:vAlign w:val="bottom"/>
          </w:tcPr>
          <w:p>
            <w:pPr>
              <w:spacing w:after="0"/>
              <w:rPr>
                <w:sz w:val="21"/>
                <w:szCs w:val="21"/>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EFT - UAE</w:t>
            </w:r>
          </w:p>
        </w:tc>
        <w:tc>
          <w:tcPr>
            <w:tcW w:w="0" w:type="dxa"/>
            <w:vAlign w:val="bottom"/>
          </w:tcPr>
          <w:p>
            <w:pPr>
              <w:spacing w:after="0"/>
              <w:rPr>
                <w:sz w:val="1"/>
                <w:szCs w:val="1"/>
                <w:color w:val="auto"/>
              </w:rPr>
            </w:pPr>
          </w:p>
        </w:tc>
      </w:tr>
      <w:tr>
        <w:trPr>
          <w:trHeight w:val="243"/>
        </w:trPr>
        <w:tc>
          <w:tcPr>
            <w:tcW w:w="7940" w:type="dxa"/>
            <w:vAlign w:val="bottom"/>
          </w:tcPr>
          <w:p>
            <w:pPr>
              <w:spacing w:after="0"/>
              <w:rPr>
                <w:sz w:val="20"/>
                <w:szCs w:val="20"/>
                <w:color w:val="auto"/>
              </w:rPr>
            </w:pPr>
            <w:r>
              <w:rPr>
                <w:rFonts w:ascii="Arial" w:cs="Arial" w:eastAsia="Arial" w:hAnsi="Arial"/>
                <w:sz w:val="18"/>
                <w:szCs w:val="18"/>
                <w:color w:val="auto"/>
              </w:rPr>
              <w:t>______________</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(1) Percent owned as of December 31, 2014.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Euronet</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Net income attributable to Euronet was $101.6 million, $88.0 million and $20.5 million for 2014, 2013 and 2012, respectively. As more fully discussed above, the increase of $13.6 million for 2014 as compared to 2013 includes a $19.3 million acquisition-related contingent consideration gain in 2013, partially offset by an $18.4 million non-cash impairment charge of goodwill in 2013. The increase in net income for 2014 is primarily due to a $41.2 million increase in operating income (excluding the contingent consideration gain and non-cash impairment charges) and an increase in interest income of $0.6 million. These increases were partly offset by an increase in income tax expense of $12.3 million, an increase in foreign currency exchange loss of $7.9 million, an increase in other non-operating losses of $4.2 million and an increase in interest expense of $2.2 million. Other non-operating items decreased net income by $0.7 million.</w:t>
      </w:r>
    </w:p>
    <w:p>
      <w:pPr>
        <w:spacing w:after="0" w:line="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increase of $67.5 million for 2013 as compared to 2012 includes the 2013 unusual items described above and a $28.7 million non-cash impairment charge of goodwill and acquired intangible assets in 2012. The remaining increase is primarily due to a $30.8 million increase in operating income (excluding the contingent consideration gain and non-cash impairment charges), a decrease in interest expense of $9.5 million and the increase in foreign currency exchange gain of $2.3 million. These increases were partly offset by an increase in income tax expense of $0.8 million, a decrease in other non-operating gains of $1.7 million and a decrease in interest income of $2.0 million. Other non-operating items decreased net income by $0.3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Translation Adjustment</w:t>
      </w:r>
    </w:p>
    <w:p>
      <w:pPr>
        <w:spacing w:after="0" w:line="229"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Translation gains and losses are the result of translating our foreign entities' balance sheets from local functional currency to the U.S. dollar reporting currency prior to consolidation and are recorded in comprehensive income. As required by U.S. GAAP, during this translation process, asset and liability accounts are translated at current foreign currency exchange rates and equity accounts are translated at historical rates. Historical rates represent the rates in effect when the balances in our equity accounts were originally created. By using this mix of rates to convert the balance sheet from functional currency to U.S. dollars, differences between current and historical exchange rates generate this translation adjustment.</w:t>
      </w:r>
    </w:p>
    <w:p>
      <w:pPr>
        <w:spacing w:after="0" w:line="17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recorded a net loss on translation adjustments of $87.7 million for 2014 and net gains of $0.8 million and $10.9 million for 2013 and 2012, respectively. During 2014, the U.S. dollar strengthened compared to most currencies, resulting in a translation loss which was recorded in comprehensive income. During 2013, the U.S. dollar weakened compared to certain currencies and strengthened compared to others and the net result was a translation gain, which was recorded in comprehensive income. During 2012, the U.S. dollar weakened against most European-based currencies, primarily the British pound, euro and Polish zloty, resulting in a net translation gain which was recorded in comprehensive income.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As of December 31, 2014, we had working capital of $257.0 million, which is calculated as the difference between total current assets and total current liabilities, compared to working capital of $108.4 million as of December 31, 2013. Our ratio of current assets to current liabilities was 1.30 as of December 31, 2014, compared to 1.15 as of December 31, 2013.</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require substantial working capital to finance operations. The Money Transfer Segment funds the payout of the majority of Ria's consumer-to-consumer money transfer services before receiving the benefit of amounts collected from customers by agents. Working capital needs increase due to weekends and international banking holidays. As a result, we may report more or less working capital for the Money Transfer Segment based solely upon the day on which the fiscal period ends. We expect that working capital needs will continue to increase as this business grows. The epay Segment produces positive working capital, but much of it is restricted in connection with the administration of its customer collection and vendor remittance activities. As of December 31, 2014, we had approximately $54.0 million of our own cash in use or designated for use in our ATM network, which is recorded in cash and cash equivalents on Euronet's Consolidated Balance Sheet.</w:t>
      </w:r>
    </w:p>
    <w:p>
      <w:pPr>
        <w:spacing w:after="0" w:line="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had cash and cash equivalents of $468.0 million as of December 31, 2014, of which $359.6 million was held outside of the United States and is expected to be indefinitely reinvested for continued use in foreign operations. Repatriation of these assets to the U.S. could have negative tax consequences.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identifies cash and cash equivalents provided by/(used in) our operating, investing and financing activities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2013 and 2012 (in thousands):</w:t>
      </w:r>
    </w:p>
    <w:p>
      <w:pPr>
        <w:spacing w:after="0" w:line="171" w:lineRule="exact"/>
        <w:rPr>
          <w:sz w:val="20"/>
          <w:szCs w:val="20"/>
          <w:color w:val="auto"/>
        </w:rPr>
      </w:pPr>
    </w:p>
    <w:p>
      <w:pPr>
        <w:ind w:left="85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37465</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235,027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169,332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184,695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218,081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(91,216)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(92,576)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258,184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24,108</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Cash flows provided by operating activities were $235.0 million for 2014 compared to $169.3 million for 2013. The increase was primarily due to a combination of improved operating results and fluctuations in working capital mainly associated with the timing of the settlement processes with content providers in the epay Segment and with correspondents in the Money Transfer Segment.</w:t>
      </w:r>
    </w:p>
    <w:p>
      <w:pPr>
        <w:spacing w:after="0" w:line="73"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Cash flows provided by operating activities were $169.3 million for 2013 compared to $184.7 million for 2012. The decrease was mainly due to fluctuations in working capital primarily associated with the timing of the settlement processes with content providers in the epay Segment and with correspondents in the Money Transfer Segment, partly offset by improved operating results.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flows used in investing activities were $153.0 million for 2014 compared to $69.5 million for 2013. Purchases of property and equipment were $63.1 million and $40.9 million for 2014 and 2013, respectively. Cash used for acquisitions in 2014 was $84.7 million compared to $30.8 million for 2013. Cash used for software development and long-term assets totaled $6.0 million for 2014 and $6.3 million for 2013. Additionally, we received $7.6 million of net proceeds from the sale of an equity investment during 2013. Other investing activities consist mainly of proceeds from the sale of property and equipment of $0.7 million and $0.9 million for 2014 and 2013, respectively.</w:t>
      </w:r>
    </w:p>
    <w:p>
      <w:pPr>
        <w:spacing w:after="0" w:line="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Cash flows used in investing activities were $69.5 million for 2013 compared to $69.2 million for 2012. Purchases of property and equipment were $40.9 million and $46.2 million for 2013 and 2012, respectively. Cash used for acquisitions in 2013 was $30.8 million compared to $22.3 million for 2012. Cash used for software development and long-term assets totaled $6.3 million for 2013 and $4.4 million for 2012. Additionally, we received $7.6 million of net proceeds from the sale of an equity investment during 2013. Other investing activities consist mainly of proceeds from the sale of property and equipment of $0.9 million and $3.8 million for 2013 and 2012,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Cash flows provided by financing activities were $218.1 million for 2014 compared to cash flows used in financing activities of $91.2 million for 2013. Our financing activities for 2014 consisted of $411.5 million of proceeds from the issuance of long-term debt, mainly from convertible notes. Net repayments of debt obligations were $128.3 million in 2014 compared to $96.2 million for 2013. We generally borrow amounts under our revolving credit facility several times each month to fund our independent ATM network and to support the short-term cash needs of our Money Transfer Segment in order to fund the correspondent network in advance of collecting remittance amounts from the agency network. These borrowings are repaid over a very short period of time, generally within a few days. As a result of this, along with the use of proceeds from the issuance of the convertible notes, during 2014 we had a total</w:t>
      </w:r>
    </w:p>
    <w:p>
      <w:pPr>
        <w:spacing w:after="0" w:line="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of $2,184.2 million in borrowings and $2,307.6 million in repayments under our revolving credit facility. During 2014, we used $4.8 million for repayments of long-term debt obligations compared to $10.1 million in 2013. Borrowings on short-term debt obligations were $4.3 million and $1.3 million in 2014 and 2013, respectively. Additionally, for 2014 and 2013, we paid $2.5 million and $2.6 million, respectively, for capital lease obligations. We used $64.5 million for the repurchase of shares during 2014. Debt issuance costs were $13.3 million in 2014 associated with the convertible notes issuance and the credit facility amendment described below. Further, we received proceeds of $9.2 million and $12.8 million during 2014 and 2013, respectively, for the issuance of stock options in connection with our Stock Incentive Plan. We used $7.9 million during 2013 for the acquisition of subsidiary shares from holders of noncontrolling interests. Other financing activities provided cash of $1.6 million and $1.3 million during 2014 and 2013, respectively.</w:t>
      </w:r>
    </w:p>
    <w:p>
      <w:pPr>
        <w:spacing w:after="0" w:line="61"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Cash flows used in financing activities were $91.2 million for 2013 compared to $92.6 million for 2012. Our financing activities for 2013 consisted of net repayments of debt obligations of $96.2 million compared to $44.2 million for 2012. During 2013, we had $86.1 million of net repayments under our revolving credit facility compared to $128.1 million of net borrowing during 2012. During 2013, we used $8.7 million for repayments of debt obligations compared to $172.4 million in 2012. The 2012 repayments mainly consisted of repurchases of $167.9 million of convertible debentures which were largely funded by borrowings under our revolving credit facility. We used $7.9 million and $3.3 million during 2013 and 2012, respectively, for the acquisition of subsidiary shares from holders of noncontrolling interests. Additionally, for 2013 and 2012, we paid $2.6 million and $2.9 million, respectively, for capital lease obligations. Further, we received proceeds of $12.8 million and $2.9 million during 2013 and 2012, respectively, for the issuance of stock options in connection with our Stock Incentive Plan. We used $42.9 million for the repurchase of shares during 2012. Other financing activities provided cash of $1.3 million in 2013 and used cash of $2.2 million during 2012.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125" w:right="2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As of December 31, 2014, we had a $675 million senior secured credit facility (the "Credit Facility") consisting of a $590 million revolving credit facility, a $10 million India revolving credit facility and an $75 million term loan ("Term Loan A"), which had been reduced to $72.2 million through principal amortization payments. The revolving credit facility allows for borrowings in U.S. dollars, euros, British pounds, Australian dollars and/or Indian rupees and contains a $200 million sublimit for the issuance of letters of credit and a $25 million sublimit for swingline loans. We use the revolving credit facility primarily to fund working capital requirements which are expected to increase as we expand the Money Transfer business and our independent ATM network. Based on our current projected working capital requirements, we anticipate that our revolving credit facility will be sufficient to fund our working capital needs.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252525"/>
        </w:rPr>
        <w:t xml:space="preserve">On April 9, 2014, we amended the Credit Agreement to, among other things, </w:t>
      </w:r>
      <w:r>
        <w:rPr>
          <w:rFonts w:ascii="Arial" w:cs="Arial" w:eastAsia="Arial" w:hAnsi="Arial"/>
          <w:sz w:val="18"/>
          <w:szCs w:val="18"/>
          <w:color w:val="000000"/>
        </w:rPr>
        <w:t>(i) increase Term Loan A from $66 million to $75 million, (ii) increase the</w:t>
      </w:r>
      <w:r>
        <w:rPr>
          <w:rFonts w:ascii="Arial" w:cs="Arial" w:eastAsia="Arial" w:hAnsi="Arial"/>
          <w:sz w:val="18"/>
          <w:szCs w:val="18"/>
          <w:color w:val="252525"/>
        </w:rPr>
        <w:t xml:space="preserve"> </w:t>
      </w:r>
      <w:r>
        <w:rPr>
          <w:rFonts w:ascii="Arial" w:cs="Arial" w:eastAsia="Arial" w:hAnsi="Arial"/>
          <w:sz w:val="18"/>
          <w:szCs w:val="18"/>
          <w:color w:val="000000"/>
        </w:rPr>
        <w:t>aggregate credit commitments under the Company’s revolving credit facility from $400 million to $600 million, (iii) reduce the margin over the London Inter-Bank Offered Rate ("LIBOR") and base rate by 12.5 basis points, and (iv) extend the expiration date of the Credit Agreement from August 18, 2016 to April 9, 2019.</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2014, fees and interest on borrowings varied based upon the Company's consolidated total leverage ratio (as defined in the Company's Amended and Restated Credit Agreement) (the "Credit Agreement") and are based, in the case of letter of credit fees, on a margin, and in the case of interest, on a margin over LIBOR or a margin over the base rate, as selected by us, with the applicable margin ranging from 1.375% to 2.375% for LIBOR loans and 0.375% to 1.375% for base rate loans.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December 31, 2014, we had borrowings of $72.2 million outstanding under the term loan. We had $5.3 million of borrowings and $63.6 million of stand-by letters of credit outstanding under the revolving credit facility as of December 31, 2014. The remaining $531.1 million under the revolving credit facility was available for borrowing. As of December 31, 2014, the weighted average interest rates under the revolving credit facility and Term Loan A were 11.3% and 1.5%, respectively, excluding amortization of deferred financing costs.</w:t>
      </w:r>
    </w:p>
    <w:p>
      <w:pPr>
        <w:spacing w:after="0" w:line="7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October 30, 2014, we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us to purchase their notes at par on October 1, 2020, and have additional options to require us to purchase their notes at par on October 1, 2024, 2029, 2034, and 2039, or upon a change in control of the Company. In connection with the issuance of the Convertible Notes, we recorded $10.7 million in debt issuance costs, which are being amortized through October 1, 2020.</w:t>
      </w:r>
    </w:p>
    <w:p>
      <w:pPr>
        <w:spacing w:after="0" w:line="1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proceeds from the issuance of the Convertible Notes were used to repay borrowings on the revolving credit facility and for general working capital purposes.</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u w:val="single" w:color="auto"/>
          <w:color w:val="auto"/>
        </w:rPr>
        <w:t>Short-term debt obligations</w:t>
      </w:r>
      <w:r>
        <w:rPr>
          <w:rFonts w:ascii="Arial" w:cs="Arial" w:eastAsia="Arial" w:hAnsi="Arial"/>
          <w:sz w:val="18"/>
          <w:szCs w:val="18"/>
          <w:color w:val="auto"/>
        </w:rPr>
        <w:t xml:space="preserve"> — Short-term debt obligations at December 31, 2014 were primarily comprised of $5.2 million of payments due in 2015 under the term loan. Certain of our subsidiaries also have available credit lines and overdraft facilities to supplement short-term working capital requirements, when necessary. As of December 31, 2014 there was $6.0 million outstanding under these arrangements.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2014 were $65.1 million. These capital expenditures were primarily for the purchase of ATMs to meet contractual requirements in Poland and India, the purchase and installation of ATMs in key under-penetrated markets, the purchase of POS terminals for the epay and Money Transfer Segments, and office, data center and company store computer equipment and software. Total capital expenditures for 2015 are currently estimated to be approximately $50 million to $60 million.</w:t>
      </w:r>
    </w:p>
    <w:p>
      <w:pPr>
        <w:spacing w:after="0" w:line="7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 contingent acquisition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plan</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September 2013, our Board of Directors authorized a stock repurchase program ("2013 Program") allowing us to repurchase up to $100 million in value or 5 million shares of our Common Stock through September 19, 2015. Repurchases under the 2013 Program may take place in the open market or in privately negotiated transactions, including derivative transactions, and may be made under a Rule 10b5-1 plan. There were no repurchases of Common Stock under the 2013 Program during 2014. In September 2014, our Board of Directors authorized a separate stock repurchase in conjunction with the issuance of convertible notes. We exercised this authorization in October 2014 and purchased 1.2 million shares of Common Stock for $64.5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HiFX Acquisition</w:t>
      </w:r>
      <w:r>
        <w:rPr>
          <w:rFonts w:ascii="Arial" w:cs="Arial" w:eastAsia="Arial" w:hAnsi="Arial"/>
          <w:sz w:val="18"/>
          <w:szCs w:val="18"/>
          <w:color w:val="auto"/>
        </w:rPr>
        <w:t xml:space="preserve"> - On May 20, 2014, we completed the acquisition of all of the capital stock of EIM (FX) Limited and TBK (FM) Limited, each a United Kingdom limited company, which own subsidiaries that operate under the brand names HiFX and HiFM, respectively. Under the terms of the Purchase Agreement, the sellers received purchase consideration (the "Purchase Consideration") of £111.8 million in cash ($188.0 million), including working capital adjustments finalized in the third quarter of 2014,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have certain significant off balance sheet items described below, in the following section, “Contractual Obligations” and in Note 20, Commitments, to the Consolidated Financial Statements.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To date, we are not aware of any significant claims made by the indemnified parties or parties to whom we have provided guarantees on behalf of our subsidiaries and, accordingly, no liabilities have been recorded as of December 31,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3-5 years</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5"/>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obligations, including interest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12,912</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31,045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407,028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Obligations under operating leases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186,666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54,174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77,397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41,352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Obligations under capital leases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721,491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75,775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112,390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112,255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421,071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computation of interest for debt obligations with variable interest rates reflects interest rates in effect at December 31, 2014. For additional information on debt obligations, see Note 10, Debt Obligations, to the Consolidated Financial Statements.</w:t>
      </w:r>
    </w:p>
    <w:p>
      <w:pPr>
        <w:spacing w:after="0" w:line="6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additional information on capital and operating lease obligations, see Note 12, Leases, to the Consolidated Financial Statements. Purchase obligations primarily consist of ATM maintenance and services as well as telecommunications services and professional fees.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total liability for uncertain tax positions under Accounting Standards Codification ("ASC") 740-10-25 and -30 was $15.0 million as of December 31, 2014. 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our consolidated financial statements. At this time, it is not possible to estimate the range of change due to the uncertainty of potential outcomes.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preparation of financial statements and related disclosures in conformity with U.S. GAAP requires management to make judgments, assumptions, and estimates, often as a result of the need to make estimates of matters that are inherently uncertain and for which the actual results will emerge over time. These judgments, assumptions and estimates affect the amounts of assets, liabilities, revenues and expenses reported in the Consolidated Financial Statements and accompanying notes. Note 3, Summary of Significant Accounting Policies and Practices, to the Consolidated financial statements describes the significant accounting policies and methods used in the preparation of the Consolidated Financial Statements. Our most critical estimates and assumptions are used for computing income taxes, contingent purchase price consideration, estimating the useful lives and potential impairment of long-lived assets and goodwill, as well as allocating the purchase price to assets acquired and liabilities assumed in acquisitions, and revenue recognition.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The following descriptions of critical accounting policies and estimates are forward-looking statements and are impacted significantly by estimates and should be read in conjunction with Item 1A - Risk Factors. Actual results could differ materially from the results anticipated by these forward-looking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deferred income tax effects of transactions reported in different periods for financial reporting and income tax return purposes are recorded under the liability method. This method gives consideration to the future tax consequences of deferred income or expense items and immediately recognizes changes in income tax laws upon enactment. The statement of income effect is generally derived from changes in deferred income taxes, net of valuation allowances, on the balance sheet as measured by differences in the book and tax bases of our assets and liabilities.</w:t>
      </w:r>
    </w:p>
    <w:p>
      <w:pPr>
        <w:spacing w:after="0" w:line="6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We have significant tax loss carryforwards, and other temporary differences, which are recorded as deferred tax assets and liabilities. Deferred tax assets realizable in future periods are recorded net of a valuation allowance based on an assessment of each entity's, or group of entities', ability to generate sufficient taxable income within an appropriate period, in a specific tax jurisdiction.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 assessing the recognition of deferred tax assets, we consider whether it is more likely than not that some portion or all of the deferred tax assets will be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realized. As more fully described in Note 13, Taxes, to the Consolidated Financial Statements, gross deferred tax assets were $104.1 million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partially offset by a valuation allowance of $49.4 million. The ultimate realization of deferred tax assets is dependent upon the 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future taxable income during the periods in which those temporary differences become deductible. We make judgments and estimates on the scheduled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reversal of deferred tax liabilities, historical and projected future taxable income in each country in which we operate, and tax planning strategies in making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assessment.</w:t>
      </w:r>
    </w:p>
    <w:p>
      <w:pPr>
        <w:spacing w:after="0" w:line="103"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Based upon the level of historical taxable income and current projections for future taxable income over the periods in which the deferred tax assets are deductible, we believe it is more likely than not that we will realize the benefits of these deductible differences, net of the existing valuation allowance at December 31, 2014. If we have a history of generating taxable income in a certain country in which we operate, and baseline forecasts project continued taxable income in this country, we will reduce the valuation allowance for those deferred tax assets that we expect to realize.</w:t>
      </w:r>
    </w:p>
    <w:p>
      <w:pPr>
        <w:spacing w:after="0" w:line="4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Additionally, we follow the provisions of ASC 740-10-25 and -30 to account for uncertainty in income tax positions. Applying the standard requires substantial management judgment and use of estimates in determining whether the impact of a tax position is “more likely than not” of being sustained on audit by the relevant taxing authority. We consider many factors when evaluating and estimating our tax positions, which may require periodic adjustments and which may not accurately anticipate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actual outcomes. It is reasonably possible that amounts reserved for potential exposure could change significantly as a result of the conclusion of tax examinations and, accordingly, materially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we allocate the acquisition purchase price to the tangible and intangible assets acquired and liabilities assumed based on their estimated fair values. The excess purchase price over those fair values is recorded as goodwill. The fair value assigned to intangible assets acquired is supported by valuations using estimates and assumptions provided by management. For larger or more complex acquisitions, management engages an appraiser to assist in the valuation. Intangible assets with finite lives are amortized over their estimated useful lives. As of December 31, 2014, the Consolidated Balance Sheet includes goodwill of $599.9 million and acquired intangible assets, net of accumulated amortization, of $158.3 million.</w:t>
      </w:r>
    </w:p>
    <w:p>
      <w:pPr>
        <w:spacing w:after="0" w:line="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accordance with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on an annual basis, and whenever events or circumstances dictate, we test for impairment. Impairment tests are performed annually during the fourth quarter and are performed at the reporting unit level. Generally, fair value represents discounted projected future cash flows and market multiple of earnings and potential impairment is indicated when the carrying value of a reporting unit, including goodwill, exceeds its estimated fair value. If the potential for impairment exists, the fair value of the reporting unit is subsequently measured against the fair value of its underlying assets and liabilities, excluding goodwill, to estimate an implied fair value of the reporting unit's goodwill. An impairment loss is recognized for any excess of the carrying value of the reporting unit's goodwill over the implied fair value. Our annual impairment test for the year ended December 31, 2014 indicated that there were no impairments. As a result of our annual impairment test for the years ended December 31, 2013 and 2012, we recorded non-cash goodwill impairment charges of $18.4 million and $23.5 million, respectively. See Note 8, Goodwill and Acquired Intangible Assets, Net, to the Consolidated Financial Statements for additional information regarding these charges. Determining the fair value of reporting units requires significant management judgment in estimating future cash flows and assessing potential market and economic conditions. It is reasonably possible that our operations will not perform as expected, or that estimates or assumptions could change, which may result in the recording of additional material non-cash impairment charges during the year in which these determinations take place.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or disposal of long-lived assets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accordance with ASC Topic 350, long-lived assets, such as property and equipment and intangible assets subject to amortization are reviewed for impairment whenever events or changes in circumstances indicate that the carrying amount of an asset may not be recoverable. Factors that are considered important which could trigger an impairment review include the following: significant underperformance relative to expected historical or projected future operating results; significant changes in the manner of use of the acquired assets or the strategy for the overall business; and significant negative industry or economic trends. Recoverability of assets to be held and used is measured by a comparison of the carrying amount of an asset to estimated undiscounted future cash flows expected to be generated by the respective asset. The same estimates are also used in planning for our long- and short-range business planning and forecasting. We assess the reasonableness of the inputs and outcomes of our discounted cash flow analysis against available comparable market data. If the carrying amount of an asset exceeds its estimated future cash flows, an impairment charge is recognized by the amount by which the carrying amount exceeds the fair value of the respective asset. Assets to be disposed are required to be separately presented in the balance sheet and reported at the lower of the carrying amount or fair value less costs to sell, and are no longer depreciated. The assets and liabilities of a disposal group classified as held for sale are required to be presented separately in the appropriate asset and liability sections of the balance sheet. Reviewing long-lived assets for impairment requires considerable judgment. Estimating the future cash flows requires significant judgment. If future cash flows do not materialize as expected or there is a future adverse change in market conditions, we may be unable to recover the carrying amount of an asset, resulting in future impairment losses. For the year ended December 31, 2012, we recorded a $5.2 million non-cash impairment charge for acquired intangible assets, specifically related to customer relationship assets in Brazil. See Note 8, Goodwill and Acquired Intangible Assets, Net, to the Consolidated Financial Statements for additional information regarding these charges.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In accordance with U.S. GAAP, we recognize revenue when persuasive evidence of an arrangement exists, delivery has occurred or services have been rendered, the price is fixed or determinable and collection is reasonably assured. The majority of our revenues are comprised of monthly recurring management fees and transaction-based fees that are recognized when the transactions are processed or the services are performed. When determining the proper revenue recognition for monthly management fees and transaction-based fees, we consider the guidance in Staff Accounting Bulletin (“SAB”) 101, “Revenue Recognition in Financial Statements,” as amended by SAB 104, “Revenue Recognition,” ASC 605-45, ASC 605-25 and various other interpretations.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Certain of our noncancelable customer contracts provide for the receipt of up-front fees paid to or received from the customer and/or decreasing or increasing fee schedules over the agreement term for substantially the same level of services provided by Euronet. As prescribed by SAB 101 and SAB 104, we recognize revenue under these contracts based on proportional performance of services over the term of the contract, which generally results in “straight-line” revenue recognition of the contracts' total cash flows, including any up-front payment.</w:t>
      </w:r>
    </w:p>
    <w:p>
      <w:pPr>
        <w:spacing w:after="0" w:line="6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 management judgment and estimation is required in determining the proper revenue recognition methodology for our various revenue-producing activities, as well as the proper and consistent application of our determined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requires an entity to recognize the amount of revenue to which it expects to be entitled for the transfer of promised goods</w:t>
      </w:r>
      <w:r>
        <w:rPr>
          <w:rFonts w:ascii="Arial" w:cs="Arial" w:eastAsia="Arial" w:hAnsi="Arial"/>
          <w:sz w:val="17"/>
          <w:szCs w:val="17"/>
          <w:i w:val="1"/>
          <w:iCs w:val="1"/>
          <w:color w:val="auto"/>
        </w:rPr>
        <w:t xml:space="preserve"> </w:t>
      </w:r>
      <w:r>
        <w:rPr>
          <w:rFonts w:ascii="Arial" w:cs="Arial" w:eastAsia="Arial" w:hAnsi="Arial"/>
          <w:sz w:val="17"/>
          <w:szCs w:val="17"/>
          <w:color w:val="auto"/>
        </w:rPr>
        <w:t>or services to customers. ASU 2014-09 will replace most existing revenue recognition guidance in U.S. GAAP when it becomes effective. The new standard will become effective for the Company on January 1, 2017 and early adoption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has it determined the effect of the standard on its ongoing financial reporting.</w:t>
      </w:r>
    </w:p>
    <w:p>
      <w:pPr>
        <w:spacing w:after="0" w:line="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July 2013, the FASB issued Accounting Standards Update No. 2013-11, </w:t>
      </w:r>
      <w:r>
        <w:rPr>
          <w:rFonts w:ascii="Arial" w:cs="Arial" w:eastAsia="Arial" w:hAnsi="Arial"/>
          <w:sz w:val="16"/>
          <w:szCs w:val="16"/>
          <w:i w:val="1"/>
          <w:iCs w:val="1"/>
          <w:color w:val="auto"/>
        </w:rPr>
        <w:t>Presentation of an Unrecognized Tax Benefit When a Net Operating Loss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Carryforward, a Similar Tax Loss, or a Tax Credit Carryforward Exists </w:t>
      </w:r>
      <w:r>
        <w:rPr>
          <w:rFonts w:ascii="Arial" w:cs="Arial" w:eastAsia="Arial" w:hAnsi="Arial"/>
          <w:sz w:val="16"/>
          <w:szCs w:val="16"/>
          <w:color w:val="auto"/>
        </w:rPr>
        <w:t>("ASU 2013-11"). The amendments in ASU 2013-11 provide guidance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 presentation of an unrecognized tax benefit when a net operating loss carryforward, a similar tax loss, or a tax credit carryforward exists. We adopted ASU 2013-11 as of January 1, 2014, and its adoption did not have a material impact on our results of operations, cash flows or financial position.</w:t>
      </w:r>
    </w:p>
    <w:p>
      <w:pPr>
        <w:spacing w:after="0" w:line="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(“Exchange Act”). All statements other than statements of historical facts included in this document are forward-looking statements, including, but not limited to, statements regarding the following:</w:t>
      </w:r>
    </w:p>
    <w:p>
      <w:pPr>
        <w:spacing w:after="0" w:line="73" w:lineRule="exact"/>
        <w:rPr>
          <w:sz w:val="20"/>
          <w:szCs w:val="20"/>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 plans and financing plans and requirements;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repay indebtedness;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estimated capital expenditures;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outcome of loss contingencies;</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color w:val="auto"/>
        </w:rPr>
      </w:pPr>
    </w:p>
    <w:p>
      <w:pPr>
        <w:ind w:left="980" w:hanging="648"/>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projected costs and revenues.</w:t>
      </w:r>
    </w:p>
    <w:p>
      <w:pPr>
        <w:spacing w:after="0" w:line="33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economic conditions in specific countries and regions; technological developments affecting the market for our products and services; our ability to successfully introduce new products; foreign currency exchange rate fluctuations; the effects of any future security breaches;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requirements; changes in laws and regulations affecting our business, including immigration laws, changes in our relationships with, or in fees charged by, our business partners, competition, the outcome of claims and other loss contingencies affecting Euronet and those referred to above and as set forth and more fully described in Part I, Item 1A — Risk Factors. Any forward-looking statements made in this Form 10-K speak only as of the date of this report. We do not intend, and do not undertake, any obligation to update any forward looking statements to reflect future events or circumstances after the date of such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2014, our total debt outstanding was $421.5 million. Of this amount, $338.0 million, or 80% of our total debt obligations, relates to contingent convertible notes having a fixed coupon rate. Our $402.5 million principal amount of contingent convertible notes, issued in October 2014, accrue cash interest at a rate of 1.50% of the principal amount per annum. Based on quoted market prices, as of December 31, 2014, the fair value of our fixed rate convertible notes was $408.0 million, compared to a carrying value of $338.0 million. Interest expense for these notes, including accretion and amortization of deferred debt issuance costs, has a weighted average interest rate of 4.7% annually. Additionally, $77.5 million, or 18% of our total debt obligations, relates to borrowings under our Credit Facility. If we were to maintain these borrowings for one year and maximize the potential borrowings available under the revolving credit facility for one year, a 1% increase in the applicable interest rate would result in additional interest expense to the Company of approximately $6.1 million.</w:t>
      </w:r>
    </w:p>
    <w:p>
      <w:pPr>
        <w:spacing w:after="0" w:line="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remaining $6.0 million, or 2% of our total debt obligations, is related to borrowings by certain subsidiaries to fund, from time to time, working capital requirements. These arrangements generally are due within one year and accrue interest at variable rates.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Additionally, as of December 31, 2014, we had approximately $4.4 million of capitalized leases with fixed payment and interest terms that expire between the years of 2015 and 2019 and bear interest at rates between 2.2% and 14.4%.</w:t>
      </w:r>
    </w:p>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the years ended December 31, 2014 and 2013, 74% and 76% of our revenues, respectively, were generated in non-U.S. dollar countries. We expect to continue generating a significant portion of our revenues in countries with currencies other than the U.S. dollar. We are particularly vulnerable to fluctuations in exchange rates of the U.S. dollar to the currencies of countries in which we have significant operations, primarily the euro, British pound, Australian dollar, Polish zloty, Brazilian real and Indian rupee. As of December 31, 2014, we estimate that a 10% fluctuation in these foreign currency exchange rates would have the combined annualized effect on reported net income and working capital of approximately $55 million to $60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$65 million to $75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As of December 31, 2014, we had foreign currency derivative contracts outstanding with a notional value of $845 million, primarily in Australian dollars, British pounds, Canadian dollars, euros and Mexican pesos, that were not designated as hedges and mature within the next twelve months. See Note 11, Derivative Instruments and Hedging Activities to our Consolidated Financial Statements for additional information.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Index to Consolidated Financial Statements</w:t>
            </w:r>
          </w:p>
        </w:tc>
        <w:tc>
          <w:tcPr>
            <w:tcW w:w="1480" w:type="dxa"/>
            <w:vAlign w:val="bottom"/>
            <w:gridSpan w:val="5"/>
          </w:tcPr>
          <w:p>
            <w:pPr>
              <w:spacing w:after="0"/>
              <w:rPr>
                <w:sz w:val="17"/>
                <w:szCs w:val="17"/>
                <w:color w:val="auto"/>
              </w:rPr>
            </w:pPr>
          </w:p>
        </w:tc>
        <w:tc>
          <w:tcPr>
            <w:tcW w:w="6380" w:type="dxa"/>
            <w:vAlign w:val="bottom"/>
          </w:tcPr>
          <w:p>
            <w:pPr>
              <w:spacing w:after="0"/>
              <w:rPr>
                <w:sz w:val="17"/>
                <w:szCs w:val="17"/>
                <w:color w:val="auto"/>
              </w:rPr>
            </w:pPr>
          </w:p>
        </w:tc>
        <w:tc>
          <w:tcPr>
            <w:tcW w:w="360" w:type="dxa"/>
            <w:vAlign w:val="bottom"/>
            <w:tcBorders>
              <w:bottom w:val="single" w:sz="8" w:color="0000FF"/>
            </w:tcBorders>
            <w:gridSpan w:val="3"/>
          </w:tcPr>
          <w:p>
            <w:pPr>
              <w:jc w:val="right"/>
              <w:spacing w:after="0"/>
              <w:rPr>
                <w:sz w:val="20"/>
                <w:szCs w:val="20"/>
                <w:color w:val="auto"/>
              </w:rPr>
            </w:pPr>
            <w:r>
              <w:rPr>
                <w:rFonts w:ascii="Arial" w:cs="Arial" w:eastAsia="Arial" w:hAnsi="Arial"/>
                <w:sz w:val="18"/>
                <w:szCs w:val="18"/>
                <w:color w:val="0000FF"/>
                <w:w w:val="80"/>
              </w:rPr>
              <w:t>Page</w:t>
            </w:r>
          </w:p>
        </w:tc>
      </w:tr>
      <w:tr>
        <w:trPr>
          <w:trHeight w:val="466"/>
        </w:trPr>
        <w:tc>
          <w:tcPr>
            <w:tcW w:w="4220" w:type="dxa"/>
            <w:vAlign w:val="bottom"/>
            <w:gridSpan w:val="20"/>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Report of Independent Registered Public Accounting Firm</w:t>
              </w:r>
            </w:hyperlink>
          </w:p>
        </w:tc>
        <w:tc>
          <w:tcPr>
            <w:tcW w:w="400" w:type="dxa"/>
            <w:vAlign w:val="bottom"/>
          </w:tcPr>
          <w:p>
            <w:pPr>
              <w:spacing w:after="0"/>
              <w:rPr>
                <w:sz w:val="24"/>
                <w:szCs w:val="24"/>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68</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20" w:type="dxa"/>
            <w:vAlign w:val="bottom"/>
            <w:gridSpan w:val="20"/>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Balance Sheets</w:t>
              </w:r>
            </w:hyperlink>
          </w:p>
        </w:tc>
        <w:tc>
          <w:tcPr>
            <w:tcW w:w="400" w:type="dxa"/>
            <w:vAlign w:val="bottom"/>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500" w:type="dxa"/>
            <w:vAlign w:val="bottom"/>
            <w:gridSpan w:val="12"/>
          </w:tcPr>
          <w:p>
            <w:pPr>
              <w:spacing w:after="0"/>
              <w:rPr>
                <w:rFonts w:ascii="Arial" w:cs="Arial" w:eastAsia="Arial" w:hAnsi="Arial"/>
                <w:sz w:val="18"/>
                <w:szCs w:val="18"/>
                <w:color w:val="0000EE"/>
                <w:w w:val="86"/>
              </w:rPr>
            </w:pPr>
            <w:hyperlink w:anchor="page69">
              <w:r>
                <w:rPr>
                  <w:rFonts w:ascii="Arial" w:cs="Arial" w:eastAsia="Arial" w:hAnsi="Arial"/>
                  <w:sz w:val="18"/>
                  <w:szCs w:val="18"/>
                  <w:color w:val="0000EE"/>
                  <w:w w:val="86"/>
                </w:rPr>
                <w:t>Consolidated Statements of Income</w:t>
              </w:r>
            </w:hyperlink>
          </w:p>
        </w:tc>
        <w:tc>
          <w:tcPr>
            <w:tcW w:w="2120" w:type="dxa"/>
            <w:vAlign w:val="bottom"/>
            <w:gridSpan w:val="9"/>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70</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40" w:type="dxa"/>
            <w:vAlign w:val="bottom"/>
            <w:gridSpan w:val="18"/>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Comprehensive Income</w:t>
              </w:r>
            </w:hyperlink>
          </w:p>
        </w:tc>
        <w:tc>
          <w:tcPr>
            <w:tcW w:w="88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71</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740" w:type="dxa"/>
            <w:vAlign w:val="bottom"/>
            <w:gridSpan w:val="18"/>
          </w:tcPr>
          <w:p>
            <w:pPr>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Consolidated Statements of Changes in Equity</w:t>
              </w:r>
            </w:hyperlink>
          </w:p>
        </w:tc>
        <w:tc>
          <w:tcPr>
            <w:tcW w:w="880" w:type="dxa"/>
            <w:vAlign w:val="bottom"/>
            <w:gridSpan w:val="3"/>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72</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340" w:type="dxa"/>
            <w:vAlign w:val="bottom"/>
            <w:gridSpan w:val="17"/>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Statements of Cash Flows</w:t>
              </w:r>
            </w:hyperlink>
          </w:p>
        </w:tc>
        <w:tc>
          <w:tcPr>
            <w:tcW w:w="1280" w:type="dxa"/>
            <w:vAlign w:val="bottom"/>
            <w:gridSpan w:val="4"/>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74</w:t>
              </w:r>
            </w:hyperlink>
          </w:p>
        </w:tc>
      </w:tr>
      <w:tr>
        <w:trPr>
          <w:trHeight w:val="20"/>
        </w:trPr>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Notes to Consolidated Financial Statements</w:t>
              </w:r>
            </w:hyperlink>
          </w:p>
        </w:tc>
        <w:tc>
          <w:tcPr>
            <w:tcW w:w="67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(1)</w:t>
              </w:r>
            </w:hyperlink>
          </w:p>
        </w:tc>
        <w:tc>
          <w:tcPr>
            <w:tcW w:w="2780" w:type="dxa"/>
            <w:vAlign w:val="bottom"/>
            <w:gridSpan w:val="14"/>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Organization</w:t>
              </w:r>
            </w:hyperlink>
          </w:p>
        </w:tc>
        <w:tc>
          <w:tcPr>
            <w:tcW w:w="1480" w:type="dxa"/>
            <w:vAlign w:val="bottom"/>
            <w:gridSpan w:val="5"/>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(2)</w:t>
              </w:r>
            </w:hyperlink>
          </w:p>
        </w:tc>
        <w:tc>
          <w:tcPr>
            <w:tcW w:w="4260" w:type="dxa"/>
            <w:vAlign w:val="bottom"/>
            <w:gridSpan w:val="19"/>
          </w:tcPr>
          <w:p>
            <w:pPr>
              <w:ind w:left="20"/>
              <w:spacing w:after="0"/>
              <w:rPr>
                <w:rFonts w:ascii="Arial" w:cs="Arial" w:eastAsia="Arial" w:hAnsi="Arial"/>
                <w:sz w:val="18"/>
                <w:szCs w:val="18"/>
                <w:color w:val="0000EE"/>
              </w:rPr>
            </w:pPr>
            <w:hyperlink w:anchor="page76">
              <w:r>
                <w:rPr>
                  <w:rFonts w:ascii="Arial" w:cs="Arial" w:eastAsia="Arial" w:hAnsi="Arial"/>
                  <w:sz w:val="18"/>
                  <w:szCs w:val="18"/>
                  <w:color w:val="0000EE"/>
                </w:rPr>
                <w:t>Basis of Preparation</w:t>
              </w:r>
            </w:hyperlink>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76">
              <w:r>
                <w:rPr>
                  <w:rFonts w:ascii="Arial" w:cs="Arial" w:eastAsia="Arial" w:hAnsi="Arial"/>
                  <w:sz w:val="18"/>
                  <w:szCs w:val="18"/>
                  <w:color w:val="0000EE"/>
                  <w:w w:val="90"/>
                </w:rPr>
                <w:t>(3)</w:t>
              </w:r>
            </w:hyperlink>
          </w:p>
        </w:tc>
        <w:tc>
          <w:tcPr>
            <w:tcW w:w="4260" w:type="dxa"/>
            <w:vAlign w:val="bottom"/>
            <w:gridSpan w:val="19"/>
          </w:tcPr>
          <w:p>
            <w:pPr>
              <w:ind w:left="20"/>
              <w:spacing w:after="0"/>
              <w:rPr>
                <w:rFonts w:ascii="Arial" w:cs="Arial" w:eastAsia="Arial" w:hAnsi="Arial"/>
                <w:sz w:val="18"/>
                <w:szCs w:val="18"/>
                <w:color w:val="0000EE"/>
                <w:w w:val="91"/>
              </w:rPr>
            </w:pPr>
            <w:hyperlink w:anchor="page76">
              <w:r>
                <w:rPr>
                  <w:rFonts w:ascii="Arial" w:cs="Arial" w:eastAsia="Arial" w:hAnsi="Arial"/>
                  <w:sz w:val="18"/>
                  <w:szCs w:val="18"/>
                  <w:color w:val="0000EE"/>
                  <w:w w:val="91"/>
                </w:rPr>
                <w:t>Summary of Significant Accounting Policies and Practices</w:t>
              </w:r>
            </w:hyperlink>
          </w:p>
        </w:tc>
        <w:tc>
          <w:tcPr>
            <w:tcW w:w="6740" w:type="dxa"/>
            <w:vAlign w:val="bottom"/>
            <w:gridSpan w:val="4"/>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1">
              <w:r>
                <w:rPr>
                  <w:rFonts w:ascii="Arial" w:cs="Arial" w:eastAsia="Arial" w:hAnsi="Arial"/>
                  <w:sz w:val="18"/>
                  <w:szCs w:val="18"/>
                  <w:color w:val="0000EE"/>
                  <w:w w:val="90"/>
                </w:rPr>
                <w:t>(4)</w:t>
              </w:r>
            </w:hyperlink>
          </w:p>
        </w:tc>
        <w:tc>
          <w:tcPr>
            <w:tcW w:w="4260" w:type="dxa"/>
            <w:vAlign w:val="bottom"/>
            <w:gridSpan w:val="19"/>
          </w:tcPr>
          <w:p>
            <w:pPr>
              <w:ind w:left="20"/>
              <w:spacing w:after="0"/>
              <w:rPr>
                <w:rFonts w:ascii="Arial" w:cs="Arial" w:eastAsia="Arial" w:hAnsi="Arial"/>
                <w:sz w:val="18"/>
                <w:szCs w:val="18"/>
                <w:color w:val="0000EE"/>
              </w:rPr>
            </w:pPr>
            <w:hyperlink w:anchor="page81">
              <w:r>
                <w:rPr>
                  <w:rFonts w:ascii="Arial" w:cs="Arial" w:eastAsia="Arial" w:hAnsi="Arial"/>
                  <w:sz w:val="18"/>
                  <w:szCs w:val="18"/>
                  <w:color w:val="0000EE"/>
                </w:rPr>
                <w:t>Stockholders' Equity</w:t>
              </w:r>
            </w:hyperlink>
          </w:p>
        </w:tc>
        <w:tc>
          <w:tcPr>
            <w:tcW w:w="6740" w:type="dxa"/>
            <w:vAlign w:val="bottom"/>
            <w:gridSpan w:val="4"/>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(5)</w:t>
              </w:r>
            </w:hyperlink>
          </w:p>
        </w:tc>
        <w:tc>
          <w:tcPr>
            <w:tcW w:w="4260" w:type="dxa"/>
            <w:vAlign w:val="bottom"/>
            <w:gridSpan w:val="19"/>
          </w:tcPr>
          <w:p>
            <w:pPr>
              <w:ind w:left="20"/>
              <w:spacing w:after="0"/>
              <w:rPr>
                <w:rFonts w:ascii="Arial" w:cs="Arial" w:eastAsia="Arial" w:hAnsi="Arial"/>
                <w:sz w:val="18"/>
                <w:szCs w:val="18"/>
                <w:color w:val="0000EE"/>
              </w:rPr>
            </w:pPr>
            <w:hyperlink w:anchor="page83">
              <w:r>
                <w:rPr>
                  <w:rFonts w:ascii="Arial" w:cs="Arial" w:eastAsia="Arial" w:hAnsi="Arial"/>
                  <w:sz w:val="18"/>
                  <w:szCs w:val="18"/>
                  <w:color w:val="0000EE"/>
                </w:rPr>
                <w:t>Acquisitions</w:t>
              </w:r>
            </w:hyperlink>
          </w:p>
        </w:tc>
        <w:tc>
          <w:tcPr>
            <w:tcW w:w="6740" w:type="dxa"/>
            <w:vAlign w:val="bottom"/>
            <w:gridSpan w:val="4"/>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5">
              <w:r>
                <w:rPr>
                  <w:rFonts w:ascii="Arial" w:cs="Arial" w:eastAsia="Arial" w:hAnsi="Arial"/>
                  <w:sz w:val="18"/>
                  <w:szCs w:val="18"/>
                  <w:color w:val="0000EE"/>
                  <w:w w:val="90"/>
                </w:rPr>
                <w:t>(6)</w:t>
              </w:r>
            </w:hyperlink>
          </w:p>
        </w:tc>
        <w:tc>
          <w:tcPr>
            <w:tcW w:w="4260" w:type="dxa"/>
            <w:vAlign w:val="bottom"/>
            <w:gridSpan w:val="19"/>
          </w:tcPr>
          <w:p>
            <w:pPr>
              <w:ind w:left="20"/>
              <w:spacing w:after="0"/>
              <w:rPr>
                <w:rFonts w:ascii="Arial" w:cs="Arial" w:eastAsia="Arial" w:hAnsi="Arial"/>
                <w:sz w:val="18"/>
                <w:szCs w:val="18"/>
                <w:color w:val="0000EE"/>
              </w:rPr>
            </w:pPr>
            <w:hyperlink w:anchor="page85">
              <w:r>
                <w:rPr>
                  <w:rFonts w:ascii="Arial" w:cs="Arial" w:eastAsia="Arial" w:hAnsi="Arial"/>
                  <w:sz w:val="18"/>
                  <w:szCs w:val="18"/>
                  <w:color w:val="0000EE"/>
                </w:rPr>
                <w:t>Restricted Cash</w:t>
              </w:r>
            </w:hyperlink>
          </w:p>
        </w:tc>
        <w:tc>
          <w:tcPr>
            <w:tcW w:w="6740" w:type="dxa"/>
            <w:vAlign w:val="bottom"/>
            <w:gridSpan w:val="4"/>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(7)</w:t>
              </w:r>
            </w:hyperlink>
          </w:p>
        </w:tc>
        <w:tc>
          <w:tcPr>
            <w:tcW w:w="4260" w:type="dxa"/>
            <w:vAlign w:val="bottom"/>
            <w:gridSpan w:val="19"/>
          </w:tcPr>
          <w:p>
            <w:pPr>
              <w:ind w:left="20"/>
              <w:spacing w:after="0"/>
              <w:rPr>
                <w:rFonts w:ascii="Arial" w:cs="Arial" w:eastAsia="Arial" w:hAnsi="Arial"/>
                <w:sz w:val="18"/>
                <w:szCs w:val="18"/>
                <w:color w:val="0000EE"/>
              </w:rPr>
            </w:pPr>
            <w:hyperlink w:anchor="page86">
              <w:r>
                <w:rPr>
                  <w:rFonts w:ascii="Arial" w:cs="Arial" w:eastAsia="Arial" w:hAnsi="Arial"/>
                  <w:sz w:val="18"/>
                  <w:szCs w:val="18"/>
                  <w:color w:val="0000EE"/>
                </w:rPr>
                <w:t>Property and Equipment, Net</w:t>
              </w:r>
            </w:hyperlink>
          </w:p>
        </w:tc>
        <w:tc>
          <w:tcPr>
            <w:tcW w:w="67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6">
              <w:r>
                <w:rPr>
                  <w:rFonts w:ascii="Arial" w:cs="Arial" w:eastAsia="Arial" w:hAnsi="Arial"/>
                  <w:sz w:val="18"/>
                  <w:szCs w:val="18"/>
                  <w:color w:val="0000EE"/>
                  <w:w w:val="90"/>
                </w:rPr>
                <w:t>(8)</w:t>
              </w:r>
            </w:hyperlink>
          </w:p>
        </w:tc>
        <w:tc>
          <w:tcPr>
            <w:tcW w:w="4260" w:type="dxa"/>
            <w:vAlign w:val="bottom"/>
            <w:gridSpan w:val="19"/>
          </w:tcPr>
          <w:p>
            <w:pPr>
              <w:ind w:left="20"/>
              <w:spacing w:after="0"/>
              <w:rPr>
                <w:rFonts w:ascii="Arial" w:cs="Arial" w:eastAsia="Arial" w:hAnsi="Arial"/>
                <w:sz w:val="18"/>
                <w:szCs w:val="18"/>
                <w:color w:val="0000EE"/>
              </w:rPr>
            </w:pPr>
            <w:hyperlink w:anchor="page86">
              <w:r>
                <w:rPr>
                  <w:rFonts w:ascii="Arial" w:cs="Arial" w:eastAsia="Arial" w:hAnsi="Arial"/>
                  <w:sz w:val="18"/>
                  <w:szCs w:val="18"/>
                  <w:color w:val="0000EE"/>
                </w:rPr>
                <w:t>Goodwill and Acquired Intangible, Net</w:t>
              </w:r>
            </w:hyperlink>
          </w:p>
        </w:tc>
        <w:tc>
          <w:tcPr>
            <w:tcW w:w="674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60" w:type="dxa"/>
            <w:vAlign w:val="bottom"/>
            <w:gridSpan w:val="2"/>
          </w:tcPr>
          <w:p>
            <w:pPr>
              <w:ind w:left="140"/>
              <w:spacing w:after="0"/>
              <w:rPr>
                <w:rFonts w:ascii="Arial" w:cs="Arial" w:eastAsia="Arial" w:hAnsi="Arial"/>
                <w:sz w:val="18"/>
                <w:szCs w:val="18"/>
                <w:color w:val="0000EE"/>
                <w:w w:val="90"/>
              </w:rPr>
            </w:pPr>
            <w:hyperlink w:anchor="page88">
              <w:r>
                <w:rPr>
                  <w:rFonts w:ascii="Arial" w:cs="Arial" w:eastAsia="Arial" w:hAnsi="Arial"/>
                  <w:sz w:val="18"/>
                  <w:szCs w:val="18"/>
                  <w:color w:val="0000EE"/>
                  <w:w w:val="90"/>
                </w:rPr>
                <w:t>(9)</w:t>
              </w:r>
            </w:hyperlink>
          </w:p>
        </w:tc>
        <w:tc>
          <w:tcPr>
            <w:tcW w:w="4260" w:type="dxa"/>
            <w:vAlign w:val="bottom"/>
            <w:gridSpan w:val="19"/>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Accrued Expenses and Other Current Liabilities</w:t>
              </w:r>
            </w:hyperlink>
          </w:p>
        </w:tc>
        <w:tc>
          <w:tcPr>
            <w:tcW w:w="6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87</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88">
              <w:r>
                <w:rPr>
                  <w:rFonts w:ascii="Arial" w:cs="Arial" w:eastAsia="Arial" w:hAnsi="Arial"/>
                  <w:sz w:val="18"/>
                  <w:szCs w:val="18"/>
                  <w:color w:val="0000EE"/>
                  <w:w w:val="93"/>
                </w:rPr>
                <w:t>(10)</w:t>
              </w:r>
            </w:hyperlink>
          </w:p>
        </w:tc>
        <w:tc>
          <w:tcPr>
            <w:tcW w:w="4160" w:type="dxa"/>
            <w:vAlign w:val="bottom"/>
            <w:gridSpan w:val="18"/>
          </w:tcPr>
          <w:p>
            <w:pPr>
              <w:ind w:left="20"/>
              <w:spacing w:after="0"/>
              <w:rPr>
                <w:rFonts w:ascii="Arial" w:cs="Arial" w:eastAsia="Arial" w:hAnsi="Arial"/>
                <w:sz w:val="18"/>
                <w:szCs w:val="18"/>
                <w:color w:val="0000EE"/>
              </w:rPr>
            </w:pPr>
            <w:hyperlink w:anchor="page88">
              <w:r>
                <w:rPr>
                  <w:rFonts w:ascii="Arial" w:cs="Arial" w:eastAsia="Arial" w:hAnsi="Arial"/>
                  <w:sz w:val="18"/>
                  <w:szCs w:val="18"/>
                  <w:color w:val="0000EE"/>
                </w:rPr>
                <w:t>Debt Obligations</w:t>
              </w:r>
            </w:hyperlink>
          </w:p>
        </w:tc>
        <w:tc>
          <w:tcPr>
            <w:tcW w:w="6740" w:type="dxa"/>
            <w:vAlign w:val="bottom"/>
            <w:gridSpan w:val="4"/>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88</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3700" w:type="dxa"/>
            <w:vAlign w:val="bottom"/>
            <w:gridSpan w:val="18"/>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(11) Derivative Instruments and Hedging Activities</w:t>
              </w:r>
            </w:hyperlink>
          </w:p>
        </w:tc>
        <w:tc>
          <w:tcPr>
            <w:tcW w:w="780" w:type="dxa"/>
            <w:vAlign w:val="bottom"/>
            <w:gridSpan w:val="2"/>
          </w:tcPr>
          <w:p>
            <w:pPr>
              <w:spacing w:after="0"/>
              <w:rPr>
                <w:sz w:val="21"/>
                <w:szCs w:val="21"/>
                <w:color w:val="auto"/>
              </w:rPr>
            </w:pPr>
          </w:p>
        </w:tc>
        <w:tc>
          <w:tcPr>
            <w:tcW w:w="6740" w:type="dxa"/>
            <w:vAlign w:val="bottom"/>
            <w:gridSpan w:val="4"/>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89</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2">
              <w:r>
                <w:rPr>
                  <w:rFonts w:ascii="Arial" w:cs="Arial" w:eastAsia="Arial" w:hAnsi="Arial"/>
                  <w:sz w:val="18"/>
                  <w:szCs w:val="18"/>
                  <w:color w:val="0000EE"/>
                  <w:w w:val="93"/>
                </w:rPr>
                <w:t>(12)</w:t>
              </w:r>
            </w:hyperlink>
          </w:p>
        </w:tc>
        <w:tc>
          <w:tcPr>
            <w:tcW w:w="4160" w:type="dxa"/>
            <w:vAlign w:val="bottom"/>
            <w:gridSpan w:val="18"/>
          </w:tcPr>
          <w:p>
            <w:pPr>
              <w:ind w:left="20"/>
              <w:spacing w:after="0"/>
              <w:rPr>
                <w:rFonts w:ascii="Arial" w:cs="Arial" w:eastAsia="Arial" w:hAnsi="Arial"/>
                <w:sz w:val="18"/>
                <w:szCs w:val="18"/>
                <w:color w:val="0000EE"/>
              </w:rPr>
            </w:pPr>
            <w:hyperlink w:anchor="page92">
              <w:r>
                <w:rPr>
                  <w:rFonts w:ascii="Arial" w:cs="Arial" w:eastAsia="Arial" w:hAnsi="Arial"/>
                  <w:sz w:val="18"/>
                  <w:szCs w:val="18"/>
                  <w:color w:val="0000EE"/>
                </w:rPr>
                <w:t>Leases</w:t>
              </w:r>
            </w:hyperlink>
          </w:p>
        </w:tc>
        <w:tc>
          <w:tcPr>
            <w:tcW w:w="6740" w:type="dxa"/>
            <w:vAlign w:val="bottom"/>
            <w:gridSpan w:val="4"/>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92</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3">
              <w:r>
                <w:rPr>
                  <w:rFonts w:ascii="Arial" w:cs="Arial" w:eastAsia="Arial" w:hAnsi="Arial"/>
                  <w:sz w:val="18"/>
                  <w:szCs w:val="18"/>
                  <w:color w:val="0000EE"/>
                  <w:w w:val="93"/>
                </w:rPr>
                <w:t>(13)</w:t>
              </w:r>
            </w:hyperlink>
          </w:p>
        </w:tc>
        <w:tc>
          <w:tcPr>
            <w:tcW w:w="4160" w:type="dxa"/>
            <w:vAlign w:val="bottom"/>
            <w:gridSpan w:val="18"/>
          </w:tcPr>
          <w:p>
            <w:pPr>
              <w:ind w:left="20"/>
              <w:spacing w:after="0"/>
              <w:rPr>
                <w:rFonts w:ascii="Arial" w:cs="Arial" w:eastAsia="Arial" w:hAnsi="Arial"/>
                <w:sz w:val="18"/>
                <w:szCs w:val="18"/>
                <w:color w:val="0000EE"/>
              </w:rPr>
            </w:pPr>
            <w:hyperlink w:anchor="page93">
              <w:r>
                <w:rPr>
                  <w:rFonts w:ascii="Arial" w:cs="Arial" w:eastAsia="Arial" w:hAnsi="Arial"/>
                  <w:sz w:val="18"/>
                  <w:szCs w:val="18"/>
                  <w:color w:val="0000EE"/>
                </w:rPr>
                <w:t>Income Taxes</w:t>
              </w:r>
            </w:hyperlink>
          </w:p>
        </w:tc>
        <w:tc>
          <w:tcPr>
            <w:tcW w:w="6740" w:type="dxa"/>
            <w:vAlign w:val="bottom"/>
            <w:gridSpan w:val="4"/>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93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(14)</w:t>
              </w:r>
            </w:hyperlink>
          </w:p>
        </w:tc>
        <w:tc>
          <w:tcPr>
            <w:tcW w:w="4160" w:type="dxa"/>
            <w:vAlign w:val="bottom"/>
            <w:gridSpan w:val="18"/>
          </w:tcPr>
          <w:p>
            <w:pPr>
              <w:ind w:left="20"/>
              <w:spacing w:after="0"/>
              <w:rPr>
                <w:rFonts w:ascii="Arial" w:cs="Arial" w:eastAsia="Arial" w:hAnsi="Arial"/>
                <w:sz w:val="18"/>
                <w:szCs w:val="18"/>
                <w:color w:val="0000EE"/>
              </w:rPr>
            </w:pPr>
            <w:hyperlink w:anchor="page97">
              <w:r>
                <w:rPr>
                  <w:rFonts w:ascii="Arial" w:cs="Arial" w:eastAsia="Arial" w:hAnsi="Arial"/>
                  <w:sz w:val="18"/>
                  <w:szCs w:val="18"/>
                  <w:color w:val="0000EE"/>
                </w:rPr>
                <w:t>Valuation and Qualifying Accounts</w:t>
              </w:r>
            </w:hyperlink>
          </w:p>
        </w:tc>
        <w:tc>
          <w:tcPr>
            <w:tcW w:w="674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7">
              <w:r>
                <w:rPr>
                  <w:rFonts w:ascii="Arial" w:cs="Arial" w:eastAsia="Arial" w:hAnsi="Arial"/>
                  <w:sz w:val="18"/>
                  <w:szCs w:val="18"/>
                  <w:color w:val="0000EE"/>
                  <w:w w:val="93"/>
                </w:rPr>
                <w:t>(15)</w:t>
              </w:r>
            </w:hyperlink>
          </w:p>
        </w:tc>
        <w:tc>
          <w:tcPr>
            <w:tcW w:w="4160" w:type="dxa"/>
            <w:vAlign w:val="bottom"/>
            <w:gridSpan w:val="18"/>
          </w:tcPr>
          <w:p>
            <w:pPr>
              <w:ind w:left="20"/>
              <w:spacing w:after="0"/>
              <w:rPr>
                <w:rFonts w:ascii="Arial" w:cs="Arial" w:eastAsia="Arial" w:hAnsi="Arial"/>
                <w:sz w:val="18"/>
                <w:szCs w:val="18"/>
                <w:color w:val="0000EE"/>
              </w:rPr>
            </w:pPr>
            <w:hyperlink w:anchor="page97">
              <w:r>
                <w:rPr>
                  <w:rFonts w:ascii="Arial" w:cs="Arial" w:eastAsia="Arial" w:hAnsi="Arial"/>
                  <w:sz w:val="18"/>
                  <w:szCs w:val="18"/>
                  <w:color w:val="0000EE"/>
                </w:rPr>
                <w:t>Stock Plans</w:t>
              </w:r>
            </w:hyperlink>
          </w:p>
        </w:tc>
        <w:tc>
          <w:tcPr>
            <w:tcW w:w="6740" w:type="dxa"/>
            <w:vAlign w:val="bottom"/>
            <w:gridSpan w:val="4"/>
          </w:tcPr>
          <w:p>
            <w:pPr>
              <w:jc w:val="right"/>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99">
              <w:r>
                <w:rPr>
                  <w:rFonts w:ascii="Arial" w:cs="Arial" w:eastAsia="Arial" w:hAnsi="Arial"/>
                  <w:sz w:val="18"/>
                  <w:szCs w:val="18"/>
                  <w:color w:val="0000EE"/>
                  <w:w w:val="93"/>
                </w:rPr>
                <w:t>(16)</w:t>
              </w:r>
            </w:hyperlink>
          </w:p>
        </w:tc>
        <w:tc>
          <w:tcPr>
            <w:tcW w:w="4160" w:type="dxa"/>
            <w:vAlign w:val="bottom"/>
            <w:gridSpan w:val="18"/>
          </w:tcPr>
          <w:p>
            <w:pPr>
              <w:ind w:left="20"/>
              <w:spacing w:after="0"/>
              <w:rPr>
                <w:rFonts w:ascii="Arial" w:cs="Arial" w:eastAsia="Arial" w:hAnsi="Arial"/>
                <w:sz w:val="18"/>
                <w:szCs w:val="18"/>
                <w:color w:val="0000EE"/>
              </w:rPr>
            </w:pPr>
            <w:hyperlink w:anchor="page99">
              <w:r>
                <w:rPr>
                  <w:rFonts w:ascii="Arial" w:cs="Arial" w:eastAsia="Arial" w:hAnsi="Arial"/>
                  <w:sz w:val="18"/>
                  <w:szCs w:val="18"/>
                  <w:color w:val="0000EE"/>
                </w:rPr>
                <w:t>Business Segment Information</w:t>
              </w:r>
            </w:hyperlink>
          </w:p>
        </w:tc>
        <w:tc>
          <w:tcPr>
            <w:tcW w:w="6740" w:type="dxa"/>
            <w:vAlign w:val="bottom"/>
            <w:gridSpan w:val="4"/>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99</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(17)</w:t>
              </w:r>
            </w:hyperlink>
          </w:p>
        </w:tc>
        <w:tc>
          <w:tcPr>
            <w:tcW w:w="4160" w:type="dxa"/>
            <w:vAlign w:val="bottom"/>
            <w:gridSpan w:val="18"/>
          </w:tcPr>
          <w:p>
            <w:pPr>
              <w:ind w:left="20"/>
              <w:spacing w:after="0"/>
              <w:rPr>
                <w:rFonts w:ascii="Arial" w:cs="Arial" w:eastAsia="Arial" w:hAnsi="Arial"/>
                <w:sz w:val="18"/>
                <w:szCs w:val="18"/>
                <w:color w:val="0000EE"/>
                <w:w w:val="98"/>
              </w:rPr>
            </w:pPr>
            <w:hyperlink w:anchor="page104">
              <w:r>
                <w:rPr>
                  <w:rFonts w:ascii="Arial" w:cs="Arial" w:eastAsia="Arial" w:hAnsi="Arial"/>
                  <w:sz w:val="18"/>
                  <w:szCs w:val="18"/>
                  <w:color w:val="0000EE"/>
                  <w:w w:val="98"/>
                </w:rPr>
                <w:t>Financial Instruments and Fair Value Measurements</w:t>
              </w:r>
            </w:hyperlink>
          </w:p>
        </w:tc>
        <w:tc>
          <w:tcPr>
            <w:tcW w:w="6740" w:type="dxa"/>
            <w:vAlign w:val="bottom"/>
            <w:gridSpan w:val="4"/>
          </w:tcPr>
          <w:p>
            <w:pPr>
              <w:jc w:val="right"/>
              <w:spacing w:after="0"/>
              <w:rPr>
                <w:rFonts w:ascii="Arial" w:cs="Arial" w:eastAsia="Arial" w:hAnsi="Arial"/>
                <w:sz w:val="18"/>
                <w:szCs w:val="18"/>
                <w:color w:val="0000EE"/>
              </w:rPr>
            </w:pPr>
            <w:hyperlink w:anchor="page104">
              <w:r>
                <w:rPr>
                  <w:rFonts w:ascii="Arial" w:cs="Arial" w:eastAsia="Arial" w:hAnsi="Arial"/>
                  <w:sz w:val="18"/>
                  <w:szCs w:val="18"/>
                  <w:color w:val="0000EE"/>
                </w:rPr>
                <w:t>103</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5">
              <w:r>
                <w:rPr>
                  <w:rFonts w:ascii="Arial" w:cs="Arial" w:eastAsia="Arial" w:hAnsi="Arial"/>
                  <w:sz w:val="18"/>
                  <w:szCs w:val="18"/>
                  <w:color w:val="0000EE"/>
                  <w:w w:val="93"/>
                </w:rPr>
                <w:t>(18)</w:t>
              </w:r>
            </w:hyperlink>
          </w:p>
        </w:tc>
        <w:tc>
          <w:tcPr>
            <w:tcW w:w="4160" w:type="dxa"/>
            <w:vAlign w:val="bottom"/>
            <w:gridSpan w:val="18"/>
          </w:tcPr>
          <w:p>
            <w:pPr>
              <w:ind w:left="20"/>
              <w:spacing w:after="0"/>
              <w:rPr>
                <w:rFonts w:ascii="Arial" w:cs="Arial" w:eastAsia="Arial" w:hAnsi="Arial"/>
                <w:sz w:val="18"/>
                <w:szCs w:val="18"/>
                <w:color w:val="0000EE"/>
              </w:rPr>
            </w:pPr>
            <w:hyperlink w:anchor="page105">
              <w:r>
                <w:rPr>
                  <w:rFonts w:ascii="Arial" w:cs="Arial" w:eastAsia="Arial" w:hAnsi="Arial"/>
                  <w:sz w:val="18"/>
                  <w:szCs w:val="18"/>
                  <w:color w:val="0000EE"/>
                </w:rPr>
                <w:t>Computer Software To Be Sold</w:t>
              </w:r>
            </w:hyperlink>
          </w:p>
        </w:tc>
        <w:tc>
          <w:tcPr>
            <w:tcW w:w="6740" w:type="dxa"/>
            <w:vAlign w:val="bottom"/>
            <w:gridSpan w:val="4"/>
          </w:tcPr>
          <w:p>
            <w:pPr>
              <w:jc w:val="right"/>
              <w:spacing w:after="0"/>
              <w:rPr>
                <w:rFonts w:ascii="Arial" w:cs="Arial" w:eastAsia="Arial" w:hAnsi="Arial"/>
                <w:sz w:val="18"/>
                <w:szCs w:val="18"/>
                <w:color w:val="0000EE"/>
              </w:rPr>
            </w:pPr>
            <w:hyperlink w:anchor="page105">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(19)</w:t>
              </w:r>
            </w:hyperlink>
          </w:p>
        </w:tc>
        <w:tc>
          <w:tcPr>
            <w:tcW w:w="4160" w:type="dxa"/>
            <w:vAlign w:val="bottom"/>
            <w:gridSpan w:val="18"/>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Litigation and Contingencies</w:t>
              </w:r>
            </w:hyperlink>
          </w:p>
        </w:tc>
        <w:tc>
          <w:tcPr>
            <w:tcW w:w="6740" w:type="dxa"/>
            <w:vAlign w:val="bottom"/>
            <w:gridSpan w:val="4"/>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6">
              <w:r>
                <w:rPr>
                  <w:rFonts w:ascii="Arial" w:cs="Arial" w:eastAsia="Arial" w:hAnsi="Arial"/>
                  <w:sz w:val="18"/>
                  <w:szCs w:val="18"/>
                  <w:color w:val="0000EE"/>
                  <w:w w:val="93"/>
                </w:rPr>
                <w:t>(20)</w:t>
              </w:r>
            </w:hyperlink>
          </w:p>
        </w:tc>
        <w:tc>
          <w:tcPr>
            <w:tcW w:w="4160" w:type="dxa"/>
            <w:vAlign w:val="bottom"/>
            <w:gridSpan w:val="18"/>
          </w:tcPr>
          <w:p>
            <w:pPr>
              <w:ind w:left="20"/>
              <w:spacing w:after="0"/>
              <w:rPr>
                <w:rFonts w:ascii="Arial" w:cs="Arial" w:eastAsia="Arial" w:hAnsi="Arial"/>
                <w:sz w:val="18"/>
                <w:szCs w:val="18"/>
                <w:color w:val="0000EE"/>
              </w:rPr>
            </w:pPr>
            <w:hyperlink w:anchor="page106">
              <w:r>
                <w:rPr>
                  <w:rFonts w:ascii="Arial" w:cs="Arial" w:eastAsia="Arial" w:hAnsi="Arial"/>
                  <w:sz w:val="18"/>
                  <w:szCs w:val="18"/>
                  <w:color w:val="0000EE"/>
                </w:rPr>
                <w:t>Commitments</w:t>
              </w:r>
            </w:hyperlink>
          </w:p>
        </w:tc>
        <w:tc>
          <w:tcPr>
            <w:tcW w:w="6740" w:type="dxa"/>
            <w:vAlign w:val="bottom"/>
            <w:gridSpan w:val="4"/>
          </w:tcPr>
          <w:p>
            <w:pPr>
              <w:jc w:val="right"/>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0"/>
        </w:trPr>
        <w:tc>
          <w:tcPr>
            <w:tcW w:w="1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(21)</w:t>
              </w:r>
            </w:hyperlink>
          </w:p>
        </w:tc>
        <w:tc>
          <w:tcPr>
            <w:tcW w:w="4160" w:type="dxa"/>
            <w:vAlign w:val="bottom"/>
            <w:gridSpan w:val="18"/>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Related Party Transactions</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106</w:t>
              </w:r>
            </w:hyperlink>
          </w:p>
        </w:tc>
      </w:tr>
      <w:tr>
        <w:trPr>
          <w:trHeight w:val="20"/>
        </w:trPr>
        <w:tc>
          <w:tcPr>
            <w:tcW w:w="1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940" w:type="dxa"/>
            <w:vAlign w:val="bottom"/>
            <w:gridSpan w:val="8"/>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r>
      <w:tr>
        <w:trPr>
          <w:trHeight w:val="250"/>
        </w:trPr>
        <w:tc>
          <w:tcPr>
            <w:tcW w:w="460" w:type="dxa"/>
            <w:vAlign w:val="bottom"/>
            <w:gridSpan w:val="3"/>
          </w:tcPr>
          <w:p>
            <w:pPr>
              <w:ind w:left="140"/>
              <w:spacing w:after="0"/>
              <w:rPr>
                <w:rFonts w:ascii="Arial" w:cs="Arial" w:eastAsia="Arial" w:hAnsi="Arial"/>
                <w:sz w:val="18"/>
                <w:szCs w:val="18"/>
                <w:color w:val="0000EE"/>
                <w:w w:val="93"/>
              </w:rPr>
            </w:pPr>
            <w:hyperlink w:anchor="page107">
              <w:r>
                <w:rPr>
                  <w:rFonts w:ascii="Arial" w:cs="Arial" w:eastAsia="Arial" w:hAnsi="Arial"/>
                  <w:sz w:val="18"/>
                  <w:szCs w:val="18"/>
                  <w:color w:val="0000EE"/>
                  <w:w w:val="93"/>
                </w:rPr>
                <w:t>(22)</w:t>
              </w:r>
            </w:hyperlink>
          </w:p>
        </w:tc>
        <w:tc>
          <w:tcPr>
            <w:tcW w:w="4160" w:type="dxa"/>
            <w:vAlign w:val="bottom"/>
            <w:gridSpan w:val="18"/>
          </w:tcPr>
          <w:p>
            <w:pPr>
              <w:ind w:left="20"/>
              <w:spacing w:after="0"/>
              <w:rPr>
                <w:rFonts w:ascii="Arial" w:cs="Arial" w:eastAsia="Arial" w:hAnsi="Arial"/>
                <w:sz w:val="18"/>
                <w:szCs w:val="18"/>
                <w:color w:val="0000EE"/>
              </w:rPr>
            </w:pPr>
            <w:hyperlink w:anchor="page107">
              <w:r>
                <w:rPr>
                  <w:rFonts w:ascii="Arial" w:cs="Arial" w:eastAsia="Arial" w:hAnsi="Arial"/>
                  <w:sz w:val="18"/>
                  <w:szCs w:val="18"/>
                  <w:color w:val="0000EE"/>
                </w:rPr>
                <w:t>Selected Quarterly Data (Unaudited)</w:t>
              </w:r>
            </w:hyperlink>
          </w:p>
        </w:tc>
        <w:tc>
          <w:tcPr>
            <w:tcW w:w="6740" w:type="dxa"/>
            <w:vAlign w:val="bottom"/>
            <w:gridSpan w:val="4"/>
          </w:tcPr>
          <w:p>
            <w:pPr>
              <w:jc w:val="right"/>
              <w:spacing w:after="0"/>
              <w:rPr>
                <w:rFonts w:ascii="Arial" w:cs="Arial" w:eastAsia="Arial" w:hAnsi="Arial"/>
                <w:sz w:val="18"/>
                <w:szCs w:val="18"/>
                <w:color w:val="0000EE"/>
              </w:rPr>
            </w:pPr>
            <w:hyperlink w:anchor="page107">
              <w:r>
                <w:rPr>
                  <w:rFonts w:ascii="Arial" w:cs="Arial" w:eastAsia="Arial" w:hAnsi="Arial"/>
                  <w:sz w:val="18"/>
                  <w:szCs w:val="18"/>
                  <w:color w:val="0000EE"/>
                </w:rPr>
                <w:t>107</w:t>
              </w:r>
            </w:hyperlink>
          </w:p>
        </w:tc>
      </w:tr>
      <w:tr>
        <w:trPr>
          <w:trHeight w:val="939"/>
        </w:trPr>
        <w:tc>
          <w:tcPr>
            <w:tcW w:w="1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tcPr>
          <w:p>
            <w:pPr>
              <w:jc w:val="right"/>
              <w:ind w:right="515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We have audited the accompanying consolidated balance sheets of Euronet Worldwide, Inc. and subsidiaries (the Company) as of December 31, 2014 and 2013, and the related consolidated statements of income, comprehensive income, changes in equity, and cash flows for each of the years in the three-year period ended December 31, 2014. We also have audited the Company's internal control over financial reporting as of December 31, 2014,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our opinion, the consolidated financial statements referred to above present fairly, in all material respects, the financial position of Euronet Worldwide, Inc. and subsidiaries as of December 31, 2014 and 2013, and the results of their operations and their cash flows for each of the years in the three-year period ended December 31, 2014, in conformity with U.S. generally accepted accounting principles. Also in our opinion, Euronet Worldwide, Inc. and subsidiaries maintained, in all material respects, effective internal control over financial reporting as of December 31, 2014,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acquired HiFX during 2014, and management excluded from its assessment of the effectiveness of the Company's internal control over financial reporting as of December 31, 2014, HiFX's internal control over financial reporting associated with total assets of $367.4 million and total revenues of $38.1 million included in the consolidated financial statements of the Company as of and for the year ended December 31, 2014. Our audit of internal control over financial reporting of the Company also excluded an evaluation of the internal control over financial reporting of HiFX.</w:t>
      </w:r>
    </w:p>
    <w:p>
      <w:pPr>
        <w:spacing w:after="0" w:line="38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3"/>
        </w:trPr>
        <w:tc>
          <w:tcPr>
            <w:tcW w:w="88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468,010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209,826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77,987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Inventory — PINs and other</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85,675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92,757</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Trade accounts receivable, net of allowances for doubtful accounts of $20,546 at December 31, 2014 and $22,079 at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December 31, 2013</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375,579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394,059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108,624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65,821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840,450</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0"/>
              </w:rPr>
              <w:t>Property and equipment, net of accumulated depreciation of $239,607 at December 31, 2014 and $231,327 at December</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31, 2013</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125,307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116,230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498,435</w:t>
            </w:r>
          </w:p>
        </w:tc>
      </w:tr>
      <w:tr>
        <w:trPr>
          <w:trHeight w:val="229"/>
        </w:trPr>
        <w:tc>
          <w:tcPr>
            <w:tcW w:w="8800" w:type="dxa"/>
            <w:vAlign w:val="bottom"/>
          </w:tcPr>
          <w:p>
            <w:pPr>
              <w:ind w:left="40"/>
              <w:spacing w:after="0"/>
              <w:rPr>
                <w:sz w:val="20"/>
                <w:szCs w:val="20"/>
                <w:color w:val="auto"/>
              </w:rPr>
            </w:pPr>
            <w:r>
              <w:rPr>
                <w:rFonts w:ascii="Arial" w:cs="Arial" w:eastAsia="Arial" w:hAnsi="Arial"/>
                <w:sz w:val="18"/>
                <w:szCs w:val="18"/>
                <w:color w:val="auto"/>
                <w:w w:val="97"/>
              </w:rPr>
              <w:t>Acquired intangible assets, net of accumulated amortization of $113,153 at December 31, 2014 and $132,927 at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200"/>
              <w:spacing w:after="0"/>
              <w:rPr>
                <w:sz w:val="20"/>
                <w:szCs w:val="20"/>
                <w:color w:val="auto"/>
              </w:rPr>
            </w:pPr>
            <w:r>
              <w:rPr>
                <w:rFonts w:ascii="Arial" w:cs="Arial" w:eastAsia="Arial" w:hAnsi="Arial"/>
                <w:sz w:val="18"/>
                <w:szCs w:val="18"/>
                <w:color w:val="auto"/>
              </w:rPr>
              <w:t>December 31, 2013</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158,267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93,026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Other assets, net of accumulated amortization of $30,276 at December 31, 2014 and $25,363 at December 31, 2013</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62,206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50,049</w:t>
            </w:r>
          </w:p>
        </w:tc>
      </w:tr>
      <w:tr>
        <w:trPr>
          <w:trHeight w:val="297"/>
        </w:trPr>
        <w:tc>
          <w:tcPr>
            <w:tcW w:w="88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2,051,559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1,598,190</w:t>
            </w: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EQUITY</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445,984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457,274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336,361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213,359</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10,903</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15,656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33,916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32,533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848,881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732,086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410,368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188,510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obligations, net of current portion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38,959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17,695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18,572</w:t>
            </w:r>
          </w:p>
        </w:tc>
      </w:tr>
      <w:tr>
        <w:trPr>
          <w:trHeight w:val="23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1,318,747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959,735</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56,464,187 issued at December 31, 2014 and</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54,276,761 issued at December 31, 2013</w:t>
            </w:r>
          </w:p>
        </w:tc>
        <w:tc>
          <w:tcPr>
            <w:tcW w:w="2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955,715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809,640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w w:val="95"/>
              </w:rPr>
              <w:t>Treasury stock, at cost, 4,867,420 shares at December 31, 2014 and 3,650,519 shares at December 31, 2013</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(133,788)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(68,122)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(96,029)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(97,922)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730,753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636,122</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2,333</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732,812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638,455</w:t>
            </w:r>
          </w:p>
        </w:tc>
      </w:tr>
      <w:tr>
        <w:trPr>
          <w:trHeight w:val="257"/>
        </w:trPr>
        <w:tc>
          <w:tcPr>
            <w:tcW w:w="880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2,051,559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1,598,190</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125" w:right="239" w:bottom="1095"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095"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135"/>
        </w:trPr>
        <w:tc>
          <w:tcPr>
            <w:tcW w:w="7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c>
          <w:tcPr>
            <w:tcW w:w="40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1,413,169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1,267,601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812,059</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184,055</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28,740</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64,167</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1,294,758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1,209,596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58,005</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3,993</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(19,653)</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942</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Foreign currency exchange (loss) gain,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141,503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115,085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47,334</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(26,937)</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101,488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87,353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20,397</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r>
      <w:tr>
        <w:trPr>
          <w:trHeight w:val="297"/>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Euronet Worldwide, Inc.</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101,648</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87,986</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20,535</w:t>
            </w:r>
          </w:p>
        </w:tc>
      </w:tr>
      <w:tr>
        <w:trPr>
          <w:trHeight w:val="217"/>
        </w:trPr>
        <w:tc>
          <w:tcPr>
            <w:tcW w:w="7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Earnings per share attributable to Euronet Worldwide, Inc. stockholders:</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1.96</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1"/>
        </w:trPr>
        <w:tc>
          <w:tcPr>
            <w:tcW w:w="7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4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0.40</w:t>
            </w:r>
          </w:p>
        </w:tc>
      </w:tr>
      <w:tr>
        <w:trPr>
          <w:trHeight w:val="122"/>
        </w:trPr>
        <w:tc>
          <w:tcPr>
            <w:tcW w:w="7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51,757,867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49,964,819</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50,529,476</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1"/>
        </w:trPr>
        <w:tc>
          <w:tcPr>
            <w:tcW w:w="71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53,901,040</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51,982,620</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51,412,510</w:t>
            </w:r>
          </w:p>
        </w:tc>
      </w:tr>
      <w:tr>
        <w:trPr>
          <w:trHeight w:val="20"/>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101,488</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87,353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20,397</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(87,675)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10,947</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13,813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88,111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31,344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w:t>
            </w:r>
          </w:p>
        </w:tc>
      </w:tr>
      <w:tr>
        <w:trPr>
          <w:trHeight w:val="257"/>
        </w:trPr>
        <w:tc>
          <w:tcPr>
            <w:tcW w:w="7100" w:type="dxa"/>
            <w:vAlign w:val="bottom"/>
          </w:tcPr>
          <w:p>
            <w:pPr>
              <w:ind w:left="180"/>
              <w:spacing w:after="0"/>
              <w:rPr>
                <w:sz w:val="20"/>
                <w:szCs w:val="20"/>
                <w:color w:val="auto"/>
              </w:rPr>
            </w:pPr>
            <w:r>
              <w:rPr>
                <w:rFonts w:ascii="Arial" w:cs="Arial" w:eastAsia="Arial" w:hAnsi="Arial"/>
                <w:sz w:val="18"/>
                <w:szCs w:val="18"/>
                <w:color w:val="auto"/>
              </w:rPr>
              <w:t>Comprehensive income attributable to Euronet Worldwide,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14,179</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88,601</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31,435</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Treasury</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Retained Earnings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Paid-in</w:t>
            </w: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(Accumulated</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Outstanding</w:t>
            </w:r>
          </w:p>
        </w:tc>
        <w:tc>
          <w:tcPr>
            <w:tcW w:w="220" w:type="dxa"/>
            <w:vAlign w:val="bottom"/>
          </w:tcPr>
          <w:p>
            <w:pPr>
              <w:spacing w:after="0"/>
              <w:rPr>
                <w:sz w:val="16"/>
                <w:szCs w:val="16"/>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2011</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50,438,786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20,535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868,054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Pr>
          <w:p>
            <w:pPr>
              <w:jc w:val="right"/>
              <w:spacing w:after="0"/>
              <w:rPr>
                <w:sz w:val="20"/>
                <w:szCs w:val="20"/>
                <w:color w:val="auto"/>
              </w:rPr>
            </w:pPr>
            <w:r>
              <w:rPr>
                <w:rFonts w:ascii="Arial" w:cs="Arial" w:eastAsia="Arial" w:hAnsi="Arial"/>
                <w:sz w:val="18"/>
                <w:szCs w:val="18"/>
                <w:color w:val="auto"/>
              </w:rPr>
              <w:t>(1,984,240)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2012</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49,322,600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783,508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(184,015)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87,986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1,079,217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 of noncontrolling interest</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Balance as of December 31, 2013</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50,626,242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809,640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101,648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issued under employee stock plans</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914,371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12,902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issued in connection with acquisition</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1,262,654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56,529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Issuance of convertible notes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64,351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shares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51,596,767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955,715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Changes in Equity (continued)</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352"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Noncontrolling</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526,745</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20,397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11,790</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Repurchase of shares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(42,853)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2012</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526,540</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87,353</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11,463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Acquisition of noncontrolling interest</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 as of December 31, 2013</w:t>
            </w:r>
          </w:p>
        </w:tc>
        <w:tc>
          <w:tcPr>
            <w:tcW w:w="1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638,455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101,488</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(87,675)</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issued under employee stock plans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11,250</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12,902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 in connection with acquisition</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56,554</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Issuance of convertible notes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64,351</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Repurchase of shares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(64,512)</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732,812</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125" w:right="1440" w:bottom="1440" w:gutter="0" w:footer="0" w:header="0"/>
        </w:sectPr>
      </w:pPr>
    </w:p>
    <w:bookmarkStart w:id="73" w:name="page74"/>
    <w:bookmarkEnd w:id="73"/>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2012</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101,488</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64,167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11,823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(gain),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Non-cash impairment of goodwill and acquired intangible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18,425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28,740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losses (gains)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(Income) from unconsolidated affiliates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(10,328)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 PINs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(17,058)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(22,554)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25,773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103,279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42,376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31,999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(37,569)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7,598</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235,027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169,332</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184,695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(84,703)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(22,337)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(63,098)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(46,212)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(5,950)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equity method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3,825</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(153,032)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(69,474)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(69,163)</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2,884</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(42,853)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2,184,153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1,991,664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1,016,852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(2,307,622)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(2,077,774)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(888,733)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long-term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411,500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long-term debt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(4,814)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(172,352)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Repayments of capital lease obligations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borrowing from short-term debt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Purchase of subsidiary shares from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1,499</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218,081</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(91,216)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(92,576)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37"/>
        </w:trPr>
        <w:tc>
          <w:tcPr>
            <w:tcW w:w="7080" w:type="dxa"/>
            <w:vAlign w:val="bottom"/>
          </w:tcPr>
          <w:p>
            <w:pPr>
              <w:ind w:left="600"/>
              <w:spacing w:after="0"/>
              <w:rPr>
                <w:sz w:val="20"/>
                <w:szCs w:val="20"/>
                <w:color w:val="auto"/>
              </w:rPr>
            </w:pPr>
            <w:r>
              <w:rPr>
                <w:rFonts w:ascii="Arial" w:cs="Arial" w:eastAsia="Arial" w:hAnsi="Arial"/>
                <w:sz w:val="18"/>
                <w:szCs w:val="18"/>
                <w:color w:val="auto"/>
              </w:rPr>
              <w:t>Increase in cash and cash equivalents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258,184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24,108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209,826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201,435</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177,327</w:t>
            </w: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468,010</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209,826</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201,435</w:t>
            </w:r>
          </w:p>
        </w:tc>
      </w:tr>
      <w:tr>
        <w:trPr>
          <w:trHeight w:val="23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paid during the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44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Income taxes paid during the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39,574</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28,400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27,275</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Equity issued in connection with acquisition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56,554</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 in connection with acquisition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21,725</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47" w:orient="portrait"/>
          <w:cols w:equalWidth="0" w:num="1">
            <w:col w:w="11420"/>
          </w:cols>
          <w:pgMar w:left="240" w:top="125" w:right="239" w:bottom="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9019"/>
          </w:cols>
          <w:pgMar w:left="1440" w:top="368"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Preparation</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consolidated financial statements have been prepared in conformity with accounting principles generally accepted in the United States (“U.S. GAAP”) and pursuant to the rules and regulations of the Securities and Exchange Commission (“SEC”). The consolidated financial statements include the accounts of Euronet and its wholly owned and majority owned subsidiaries and all significant intercompany balances and transactions have been eliminated. Euronet's investments in companies that it does not control, but has the ability to significantly influence, are accounted for under the equity method. Euronet is not involved with any variable interest entities. Results from operations related to entities acquired during the periods covered by the consolidated financial statements are reflected from the effective date of acquisition. Certain amounts in prior years have been reclassified to conform to the current year's presentation.</w:t>
      </w:r>
    </w:p>
    <w:p>
      <w:pPr>
        <w:spacing w:after="0" w:line="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preparation of the consolidated financial statements in conformity with U.S. GAAP requires that management make a number of estimates and assumptions relating to the reported amounts of assets and liabilities, the disclosure of contingent assets and liabilities and the reported amounts of revenues and expenses. Significant items subject to such estimates and assumptions include computing income taxes, contingent purchase price consideration, estimating the useful lives and potential impairment of long-lived assets and goodwill, as well as allocating the purchase price to assets acquired and liabilities assumed in acquisitions and revenue recognition. Actual results could differ from those estimates.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Euronet’s EFT Processing Segment experiences its heaviest demand for dynamic currency conversion services during the third quarter of the fiscal year, coinciding with the tourism season. Additionally, the EFT Processing and epay Segments are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 and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1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Assets and liabilities denominated in currencies other than the functional currency of a subsidiary are remeasured at rates of exchange on the balance sheet date. Resulting gains and losses on foreign currency transactions are included in the Consolidated Statements of Income.</w:t>
      </w:r>
    </w:p>
    <w:p>
      <w:pPr>
        <w:spacing w:after="0" w:line="3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financial statements of foreign subsidiaries where the functional currency is not the U.S. dollar are translated to U.S. dollars using (i) exchange rates in effect at period end for assets and liabilities, and (ii) weighted average exchange rates during the period for revenues and expenses. Adjustments resulting from translation of such financial statements are reflected in accumulated other comprehensive income (loss) as a separate component of consolidated equity.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and certificates of deposit, which may be withdrawn at any time at the discretion of the Company without penalty, to be cash equivalents.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 PINs and other</w:t>
      </w:r>
    </w:p>
    <w:p>
      <w:pPr>
        <w:spacing w:after="0" w:line="225"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Inventory - PINs and other is valued at the lower of cost or market value and primarily represents prepaid personal identification number (“PIN”) inventory for prepaid mobile airtime related to the epay Segment. PIN inventory is generally managed on a specific identification basis that approximates first in, first out for the respective denomination of prepaid mobile airtime sold. Inventory also includes vouchers, merchandise for physical reward fulfillment and other electronic payment products. Additionally, from time to time, Inventory - PINs and other may include POS terminals, mobile phone handsets and ATMs held by the Company for resale.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Property and equipment acquired in acquisitions have been recorded at estimated fair values as of the acquisition date.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Depreciation is generally calculated using the straight-line method over the estimated useful lives of the respective assets. Depreciation and amortization rates are generally as follows:</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 or ATM upgrades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5 - 7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Computers and software</w:t>
            </w:r>
          </w:p>
        </w:tc>
        <w:tc>
          <w:tcPr>
            <w:tcW w:w="618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POS terminals</w:t>
            </w:r>
          </w:p>
        </w:tc>
        <w:tc>
          <w:tcPr>
            <w:tcW w:w="6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3 - 5 years</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Vehicles and office equipment</w:t>
            </w:r>
          </w:p>
        </w:tc>
        <w:tc>
          <w:tcPr>
            <w:tcW w:w="618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
        </w:trPr>
        <w:tc>
          <w:tcPr>
            <w:tcW w:w="4340" w:type="dxa"/>
            <w:vAlign w:val="bottom"/>
          </w:tcPr>
          <w:p>
            <w:pPr>
              <w:spacing w:after="0"/>
              <w:rPr>
                <w:sz w:val="2"/>
                <w:szCs w:val="2"/>
                <w:color w:val="auto"/>
              </w:rPr>
            </w:pPr>
          </w:p>
        </w:tc>
        <w:tc>
          <w:tcPr>
            <w:tcW w:w="61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Over the lesser of the lease term or estimated useful life</w:t>
            </w:r>
          </w:p>
        </w:tc>
      </w:tr>
      <w:tr>
        <w:trPr>
          <w:trHeight w:val="27"/>
        </w:trPr>
        <w:tc>
          <w:tcPr>
            <w:tcW w:w="4340" w:type="dxa"/>
            <w:vAlign w:val="bottom"/>
            <w:shd w:val="clear" w:color="auto" w:fill="CCEEFF"/>
          </w:tcPr>
          <w:p>
            <w:pPr>
              <w:spacing w:after="0"/>
              <w:rPr>
                <w:sz w:val="2"/>
                <w:szCs w:val="2"/>
                <w:color w:val="auto"/>
              </w:rPr>
            </w:pPr>
          </w:p>
        </w:tc>
        <w:tc>
          <w:tcPr>
            <w:tcW w:w="6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accounts for goodwill and other intangible assets in accordance with Financial Accounting Standards Board (“FASB”) Accounting Standards Codification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ASC Topic 350 requires that the Company test for impairment on an annual basis and whenever events or circumstances dictate. Goodwill is allocated among and evaluated for impairment at the reporting unit level, which is defined as an operating segment or one level below an operating segment.</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ASC Topic 350 provides an entity the option to first assess qualitative factors to determine whether the existence of events or circumstances leads to a determination that it is more likely than not (more than 50%) that the estimated fair value of a reporting unit is less than its carrying amount. If an entity elects to perform a qualitative assessment and determines that an impairment is more likely than not, the entity is then required to perform the existing two-step quantitative impairment test (described below), otherwise no further analysis is required. An entity also may elect not to perform the qualitative assessment and, instead, proceed directly to the two-step quantitative impairment test. The ultimate outcome of the goodwill impairment review for a reporting unit should be the same whether an entity chooses to perform the qualitative assessment or proceeds directly to the two-step quantitative impairment test. The Company has a policy for its annual review of goodwill to perform the qualitative assessment for all reporting units not subjected directly to the two-step quantitative impairment test.</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Under the qualitative assessment, various events and circumstances (or factors) that would affect the estimated fair value of a reporting unit are identified (similar to impairment indicators). These factors are then classified by the type of impact they would have on the estimated fair value using positive, neutral, and adverse categories based on current business conditions. Furthermore, the Company considers the results of the most recent two-step quantitative impairment test completed for a reporting unit and compares, among other factors, the weighted average cost of capital ("WACC") between the current and prior years for each reporting unit.</w:t>
      </w:r>
    </w:p>
    <w:p>
      <w:pPr>
        <w:spacing w:after="0" w:line="8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2014 annual goodwill impairment test, the Company performed the two-step quantitative impairment test for all but one of the reporting units, including those which would qualify for the qualitative assessment. The quantitative impairment tests were performed to establish a current quantitative test for all reporting units which will used as bases for future qualitative assessments.</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qualitative assessment performed on the one reporting unit, the Company concluded that it was more likely than not that the estimated fair value of reporting unit was more than its carrying value. As such, no further analysis was required.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5"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Under the two-step quantitative impairment test, the evaluation of impairment involves comparing the current fair value of each reporting unit to its carrying value, including goodwill. The Company uses weighted results from the discounted cash flow model ("DCF model") and guideline public company method ("Market Approach model") to estimate the current fair value of its reporting units when testing for impairment, as management believes forecasted cash flows and EBITDA are the best indicator of such fair value. A number of significant assumptions and estimates are involved in the application of the DCF model to forecast operating cash flows, including sales volumes and gross margins, tax rates, capital spending, discount rates and working capital changes. Most of these assumptions vary significantly among the reporting units. Significant assumptions in the Market Approach model are projected EBITDA, selected market multiple, and the estimated control premium.</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event the estimated fair value of a reporting unit is less than the carrying value, additional analysis is required. The additional analysis would compare the carrying amount of the reporting unit's goodwill with the implied fair value of that goodwill. The implied fair value of goodwill is the excess of the fair value of the reporting unit over the fair value amounts assigned to all of the assets and liabilities of that unit as if the reporting unit was acquired in a business combination and the fair value of the reporting unit represented the purchase price. If the carrying value of goodwill exceeds its implied fair value, an impairment loss equal to such excess would be recognized.</w:t>
      </w:r>
    </w:p>
    <w:p>
      <w:pPr>
        <w:spacing w:after="0" w:line="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 impairment charges were recorded as a result of the 2014 goodwill impairment test. During the 2013 annual goodwill impairment test, the Company completed the two-step quantitative impairment test for nine reporting units. As a result, the Company recorded a non-cash goodwill impairment charge of $18.4 million with respect to the epay Australia and epay Spain reporting units.</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During the 2012 annual goodwill impairment test, the Company completed the two-step quantitative impairment test for eight reporting units. As a result, the Company recorded a non-cash goodwill impairment charge of $23.5 million with respect to the epay Brazil reporting unit.</w:t>
      </w:r>
    </w:p>
    <w:p>
      <w:pPr>
        <w:spacing w:after="0" w:line="6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Other Intangibles</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350, intangible assets with finite lives are amortized over their estimated useful lives. Unless otherwise noted, amortization is calculated using the straight-line method over the estimated useful lives of the assets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27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4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2 - 5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4660" w:type="dxa"/>
            <w:vAlign w:val="bottom"/>
          </w:tcPr>
          <w:p>
            <w:pPr>
              <w:jc w:val="right"/>
              <w:spacing w:after="0"/>
              <w:rPr>
                <w:sz w:val="20"/>
                <w:szCs w:val="20"/>
                <w:color w:val="auto"/>
              </w:rPr>
            </w:pPr>
            <w:r>
              <w:rPr>
                <w:rFonts w:ascii="Arial" w:cs="Arial" w:eastAsia="Arial" w:hAnsi="Arial"/>
                <w:sz w:val="18"/>
                <w:szCs w:val="18"/>
                <w:color w:val="auto"/>
              </w:rPr>
              <w:t>2 - 20 years</w:t>
            </w:r>
          </w:p>
        </w:tc>
      </w:tr>
      <w:tr>
        <w:trPr>
          <w:trHeight w:val="27"/>
        </w:trPr>
        <w:tc>
          <w:tcPr>
            <w:tcW w:w="5860" w:type="dxa"/>
            <w:vAlign w:val="bottom"/>
          </w:tcPr>
          <w:p>
            <w:pPr>
              <w:spacing w:after="0"/>
              <w:rPr>
                <w:sz w:val="2"/>
                <w:szCs w:val="2"/>
                <w:color w:val="auto"/>
              </w:rPr>
            </w:pPr>
          </w:p>
        </w:tc>
        <w:tc>
          <w:tcPr>
            <w:tcW w:w="46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4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3 - 10 years</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4660" w:type="dxa"/>
            <w:vAlign w:val="bottom"/>
          </w:tcPr>
          <w:p>
            <w:pPr>
              <w:jc w:val="right"/>
              <w:spacing w:after="0"/>
              <w:rPr>
                <w:sz w:val="20"/>
                <w:szCs w:val="20"/>
                <w:color w:val="auto"/>
              </w:rPr>
            </w:pPr>
            <w:r>
              <w:rPr>
                <w:rFonts w:ascii="Arial" w:cs="Arial" w:eastAsia="Arial" w:hAnsi="Arial"/>
                <w:sz w:val="18"/>
                <w:szCs w:val="18"/>
                <w:color w:val="auto"/>
              </w:rPr>
              <w:t>6 - 12 years</w:t>
            </w:r>
          </w:p>
        </w:tc>
      </w:tr>
    </w:tbl>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recoverable. If such events or changes in circumstances are present, a loss is recognized if the carrying value of the asset is in excess of the sum of the undiscounted cash flows expected to result from the use of the asset and its eventual disposition. An impairment loss is measured as the amount by which the carrying amount of the asset exceeds the fair value of the asset. During 2012, the Company recorded a non-cash impairment charge of $5.2 million with respect to the customer relationships of the epay Brazil business. No impairment of long-lived assets was recorded during 2014 or 2013.</w:t>
      </w:r>
    </w:p>
    <w:p>
      <w:pPr>
        <w:spacing w:after="0" w:line="158"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See Note 8, Goodwill and Acquired Intangible Assets, Net, for additional information regarding the impairment of goodwill and other intangible assets. </w:t>
      </w:r>
      <w:r>
        <w:rPr>
          <w:rFonts w:ascii="Arial" w:cs="Arial" w:eastAsia="Arial" w:hAnsi="Arial"/>
          <w:sz w:val="18"/>
          <w:szCs w:val="18"/>
          <w:b w:val="1"/>
          <w:bCs w:val="1"/>
          <w:i w:val="1"/>
          <w:iCs w:val="1"/>
          <w:color w:val="auto"/>
        </w:rPr>
        <w:t>Other assets</w:t>
      </w:r>
    </w:p>
    <w:p>
      <w:pPr>
        <w:spacing w:after="0" w:line="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Other assets include deferred financing costs, investments in unconsolidated affiliates, capitalized software development costs and capitalized payments for new or renewed contracts, contract renewals and customer conversion costs. Deferred financing costs represent expenses incurred to obtain financing that have been deferred and are being amortized over the life of the loan. Euronet capitalizes initial payments for new or renewed contracts to the extent recoverable through future operations, contractual minimums and/or penalties in the case of early termination. The Company's accounting policy is to limit the amount of capitalized costs for a given contract to the lesser of the estimated ongoing net future cash flows related to the contract or the termination fees the Company would receive in the event of early termination of the contract by the customer.</w:t>
      </w:r>
    </w:p>
    <w:p>
      <w:pPr>
        <w:spacing w:after="0" w:line="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accounts for investments in affiliates using the equity method of accounting when it has the ability to exercise significant influence over the affiliate. Equity losses in affiliates are generally recognized until the Company's investment is zero. In July 2013, the Company completed the sale of its investment in epay Malaysia for $7.6 million, which resulted in the recognition of a $2.8 million gain. As of December 31, 2014 and 2013, the Company had no material investments in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The Company accounts for its convertible debt instruments that may be settled in cash upon conversion in accordance with ASC Topic 470, </w:t>
      </w:r>
      <w:r>
        <w:rPr>
          <w:rFonts w:ascii="Arial" w:cs="Arial" w:eastAsia="Arial" w:hAnsi="Arial"/>
          <w:sz w:val="17"/>
          <w:szCs w:val="17"/>
          <w:i w:val="1"/>
          <w:iCs w:val="1"/>
          <w:color w:val="auto"/>
        </w:rPr>
        <w:t>Debt</w:t>
      </w:r>
      <w:r>
        <w:rPr>
          <w:rFonts w:ascii="Arial" w:cs="Arial" w:eastAsia="Arial" w:hAnsi="Arial"/>
          <w:sz w:val="17"/>
          <w:szCs w:val="17"/>
          <w:color w:val="auto"/>
        </w:rPr>
        <w:t>, which requires the proceeds from the issuance of such convertible debt instruments to be allocated between debt and equity components so that debt is discounted to reflect the Company's nonconvertible debt borrowing rate. Further, the Company applies ASC 470-20-35-13, which requires the debt discount to be amortized over the period the convertible debt is expected to be outstanding as additional non-cash interest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Company accounts for noncontrolling interests in its consolidated financial statements according to ASC Topic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requires noncontrolling interests to be reported as a component of equity.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Company accounts for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which requires most identifiable assets, liabilities, noncontrolling interests and goodwill acquired in a business combination to be recorded at “full fair value” at the acquisition date. Additionally, ASC Topic 805 requires transaction-related costs to be expensed in the period incurred.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8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 xml:space="preserve">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Company's policy is to record estimated interest and penalties related to the underpayment of income taxes as income tax expense in the Consolidated Statements of Income. See Note 13, Taxes, for further discussion regarding these provisions.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taxes collected and remitted to governmental authorities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Company presents taxes collected and remitted to governmental authorities on a net basis in the accompanying Consolidated Statements of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Company applies the provisions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regarding fair value measurements for assets and liabilities. ASC Topic 820 defines fair value, establishes a framework for measuring fair value and requires certain disclosures about fair value measurements. The provisions apply whenever other accounting pronouncements require or permit fair value measurements. See Note 17, Financial Instruments and Fair Value Measurements, for the required fair value disclosures.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 instruments and hedging activities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Company accounts for derivative instruments and hedging activities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which requires that all derivative instruments be recognized as either assets or liabilities on the balance sheet at fair value. Primarily in the Money Transfer Segment, the Company enters into foreign currency derivative contracts, mainly forward contracts, to offset foreign currency exposure related to the notional value of money transfer settlement assets and liabilities in currencies other than the U.S. dollar. These contracts are considered derivative instruments under the provisions of ASC Topic 815; however, the Company does not designate such instruments as hedges for accounting purposes. Accordingly, changes in the value of these contracts are recognized immediately as a component of foreign currency exchange gain (loss), net in the Consolidated Statements of Income. The impact of changes in value of these contracts, together with the impact of the change in value of the related foreign currency denominated settlement asset or liability, on the Company's Consolidated Statements of Income and Consolidated Balance Sheets is not significant.</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Cash flows resulting from derivative instruments are included in operating activities in the Company's Consolidated Statements of Cash Flows. The Company enters into derivative instruments with highly credit-worthy financial institutions and does not use derivative instruments for trading or speculative purposes. See Note 11, Derivative Instruments and Hedging Activities, for further discussion of derivative instruments.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 recognizes revenue when persuasive evidence of an arrangement exists, delivery has occurred or services have been rendered, the price is fixed or determinable and collection is reasonably assured. The majority of the Company's revenues are comprised of monthly recurring management fees and transaction-based fees. A description of the major components of revenue by business segment is as follows:</w:t>
      </w:r>
    </w:p>
    <w:p>
      <w:pPr>
        <w:spacing w:after="0" w:line="73"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u w:val="single" w:color="auto"/>
          <w:color w:val="auto"/>
        </w:rPr>
        <w:t>EFT Processing</w:t>
      </w:r>
      <w:r>
        <w:rPr>
          <w:rFonts w:ascii="Arial" w:cs="Arial" w:eastAsia="Arial" w:hAnsi="Arial"/>
          <w:sz w:val="17"/>
          <w:szCs w:val="17"/>
          <w:color w:val="auto"/>
        </w:rPr>
        <w:t xml:space="preserve"> - Revenues in the EFT Processing Segment are primarily derived from transaction and management fees and foreign currency exchange margin from owned and outsourced ATM, POS and card processing networks and from the sale of EFT software solutions for electronic payment and transaction delivery systems, and fees or margin earned from value added services, including dynamic currency conversion.</w:t>
      </w:r>
    </w:p>
    <w:p>
      <w:pPr>
        <w:spacing w:after="0" w:line="5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Transaction-based fees include charges for cash withdrawals, debit or credit card transactions, balance inquiries, transactions not completed because the relevant card issuer does not give authorization and prepaid mobile airtime recharges. Outsourcing services are generally billed on the basis of a fixed monthly fee per ATM, plus a transaction-based fee. Transaction-based fees are recognized at the time the transactions are processed and outsourcing management fees are recognized ratably over the contract period.</w:t>
      </w:r>
    </w:p>
    <w:p>
      <w:pPr>
        <w:spacing w:after="0" w:line="7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63"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Revenues from the sale of EFT software solutions represent software license fees, professional installation and customization fees, ongoing software maintenance fees, hardware sales and transaction fees. The Company recognizes professional service fee revenue in accordance with the provisions of ASC Topic 985, </w:t>
      </w:r>
      <w:r>
        <w:rPr>
          <w:rFonts w:ascii="Arial" w:cs="Arial" w:eastAsia="Arial" w:hAnsi="Arial"/>
          <w:sz w:val="17"/>
          <w:szCs w:val="17"/>
          <w:i w:val="1"/>
          <w:iCs w:val="1"/>
          <w:color w:val="auto"/>
        </w:rPr>
        <w:t>Software</w:t>
      </w:r>
      <w:r>
        <w:rPr>
          <w:rFonts w:ascii="Arial" w:cs="Arial" w:eastAsia="Arial" w:hAnsi="Arial"/>
          <w:sz w:val="17"/>
          <w:szCs w:val="17"/>
          <w:color w:val="auto"/>
        </w:rPr>
        <w:t xml:space="preserve"> and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ASC Topic 985 generally requires revenue earned on software arrangements involving multiple elements to be allocated to each element based on the relative fair values of those elements.</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Revenues from software licensing agreement contracts are recognized over the professional services portion of the contract term using the percentage-of-completion method, following the guidance in ASC Topic 605, as prescribed by ASC Topic 985. Software maintenance revenue is recognized over the contractual period or as the maintenance-related service is performed. Revenues from the sale of hardware are generally recognized when title passes to the customer.</w:t>
      </w:r>
    </w:p>
    <w:p>
      <w:pPr>
        <w:spacing w:after="0" w:line="7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u w:val="single" w:color="auto"/>
          <w:color w:val="auto"/>
        </w:rPr>
        <w:t>epay</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 xml:space="preserve"> Revenue generated in the epay Segment is primarily derived from commissions or processing fees associated with distribution and/or processing of prepaid mobile airtime and other electronic payment products. These fees and commissions are received from mobile phone and other telecommunication operators, top-up distributors, other product vendors or distributors or from retailers. In accordance with ASC Topic 605, commissions received are recognized as revenue during the period in which the Company provides the service. The portion of the commission that is paid to retailers is generally recorded as a direct operating cost. However, in circumstances where the Company is not the primary obligor in the distribution of the electronic payment products, those commissions are recorded as a reduction of revenue. In selling certain products, the Company is the primary obligor in the arrangements; accordingly, the gross sales value of the products are recorded as revenue and the purchase cost as direct operating cost. Transactions are processed through a network of POS terminals and direct connections to the electronic payment systems of retailers. Transaction processing fees are recognized at the time the transactions are processed.</w:t>
      </w:r>
    </w:p>
    <w:p>
      <w:pPr>
        <w:spacing w:after="0" w:line="7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Money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w:t>
      </w:r>
      <w:r>
        <w:rPr>
          <w:rFonts w:ascii="Arial" w:cs="Arial" w:eastAsia="Arial" w:hAnsi="Arial"/>
          <w:sz w:val="18"/>
          <w:szCs w:val="18"/>
          <w:color w:val="auto"/>
        </w:rPr>
        <w:t xml:space="preserve"> In accordance with ASC Topic 605, revenues for money transfer and other services represent a transaction fee in addition to a margin earned from purchasing currency at wholesale exchange rates and selling the currency to customers at retail exchange rates. Revenues and the associated direct operating cost are recognized at the time the transaction is processed. The Company has origination and distribution agents in place, which each earn a fee for the respective service. These fees are reflected as direct operating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 xml:space="preserve">The Company follows the provisions of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for equity classified awards, which requires the determination of the fair value of the share-based compensation at the grant date and subsequent recognition of the related expense over the period in which the share-based compensation is earned (“requisite service period”).</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equity to the employee who renders the requisite service, generally the date at which grants are approved by the Company's Board of Directors or Compensation Committee thereof. Share-based compensation expense for awards with only service conditions is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generally recognized as expense on a “straight-line” basis over the requisite service period. For awards that vest based on achieving periodic performance conditions, expense is recognized on a “graded attribution method.” The graded attribution method results in expense recognition on a straight-line basis over the requisite service period for each separately vesting portion of an award. The Company has elected to use the “with and without method” when calculating the income tax benefit associated with its share-based payment arrangements. See Note 15, Stock Plans, for further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Recently Issued</w:t>
      </w:r>
      <w:r>
        <w:rPr>
          <w:rFonts w:ascii="Arial" w:cs="Arial" w:eastAsia="Arial" w:hAnsi="Arial"/>
          <w:sz w:val="16"/>
          <w:szCs w:val="16"/>
          <w:color w:val="auto"/>
        </w:rPr>
        <w:t xml:space="preserve"> - In May 2014, the FASB issued Accounting Standards Update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which requires an entity to recognize the amount of revenue to which it expects to be entitled for the transfer of promised goods or services to customers. ASU 2014-09 will replace most existing revenue recognition guidance in U.S. GAAP when it becomes effective. The new standard will become effective for the Company on January 1, 2017 and early adoption is not permitted. The standard permits the use of either the retrospective or cumulative effect transition method. The Company is evaluating the effect that ASU 2014-09 will have on its consolidated financial statements and related disclosures. The Company has not yet selected a transition method nor has it determined the effect of the standard on its ongoing financial reporting.</w:t>
      </w:r>
    </w:p>
    <w:p>
      <w:pPr>
        <w:spacing w:after="0" w:line="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u w:val="single" w:color="auto"/>
          <w:color w:val="auto"/>
        </w:rPr>
        <w:t>Recently Adopted</w:t>
      </w:r>
      <w:r>
        <w:rPr>
          <w:rFonts w:ascii="Arial" w:cs="Arial" w:eastAsia="Arial" w:hAnsi="Arial"/>
          <w:sz w:val="18"/>
          <w:szCs w:val="18"/>
          <w:color w:val="auto"/>
        </w:rPr>
        <w:t xml:space="preserve"> - In July 2013, the FASB issued Accounting Standards Update No. 2013-11, </w:t>
      </w:r>
      <w:r>
        <w:rPr>
          <w:rFonts w:ascii="Arial" w:cs="Arial" w:eastAsia="Arial" w:hAnsi="Arial"/>
          <w:sz w:val="18"/>
          <w:szCs w:val="18"/>
          <w:i w:val="1"/>
          <w:iCs w:val="1"/>
          <w:color w:val="auto"/>
        </w:rPr>
        <w:t>Presentation of an Unrecognized Tax Benefit When a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Operating Loss Carryforward, a Similar Tax Loss, or a Tax Credit Carryforward Exists </w:t>
      </w:r>
      <w:r>
        <w:rPr>
          <w:rFonts w:ascii="Arial" w:cs="Arial" w:eastAsia="Arial" w:hAnsi="Arial"/>
          <w:sz w:val="18"/>
          <w:szCs w:val="18"/>
          <w:color w:val="auto"/>
        </w:rPr>
        <w:t>("ASU 2013-11"). The amendments in ASU 2013-11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on the financial statement presentation of an unrecognized tax benefit when a net operating loss carryforward, a similar tax loss, or a tax credit carryforward exists. The Company adopted ASU 2013-11 as of January 1, 2014, and its adoption did not have a material impact on the Company's results of operations, cash flows or financial position.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Basic earnings per share has been computed by dividing earnings available to common stockholders by the weighted average number of common shares outstanding during the respective period. Diluted earnings per share has been computed by dividing earnings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computation of diluted weighted average number of common shares outstanding:</w:t>
      </w:r>
    </w:p>
    <w:p>
      <w:pPr>
        <w:spacing w:after="0" w:line="230"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23495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2012</w:t>
            </w:r>
          </w:p>
        </w:tc>
      </w:tr>
      <w:tr>
        <w:trPr>
          <w:trHeight w:val="250"/>
        </w:trPr>
        <w:tc>
          <w:tcPr>
            <w:tcW w:w="6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51,757,867</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49,964,819</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50,529,476</w:t>
            </w:r>
          </w:p>
        </w:tc>
      </w:tr>
      <w:tr>
        <w:trPr>
          <w:trHeight w:val="27"/>
        </w:trPr>
        <w:tc>
          <w:tcPr>
            <w:tcW w:w="68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Incremental shares from assumed exercise of stock options and vesting of restricted stock</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2,143,173</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1,953,484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883,034</w:t>
            </w:r>
          </w:p>
        </w:tc>
      </w:tr>
      <w:tr>
        <w:trPr>
          <w:trHeight w:val="243"/>
        </w:trPr>
        <w:tc>
          <w:tcPr>
            <w:tcW w:w="6820" w:type="dxa"/>
            <w:vAlign w:val="bottom"/>
          </w:tcPr>
          <w:p>
            <w:pPr>
              <w:ind w:left="180"/>
              <w:spacing w:after="0"/>
              <w:rPr>
                <w:sz w:val="20"/>
                <w:szCs w:val="20"/>
                <w:color w:val="auto"/>
              </w:rPr>
            </w:pPr>
            <w:r>
              <w:rPr>
                <w:rFonts w:ascii="Arial" w:cs="Arial" w:eastAsia="Arial" w:hAnsi="Arial"/>
                <w:sz w:val="18"/>
                <w:szCs w:val="18"/>
                <w:color w:val="auto"/>
              </w:rPr>
              <w:t>Incremental shares from assumed conversion of convertible debentures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64,317</w:t>
            </w:r>
          </w:p>
        </w:tc>
        <w:tc>
          <w:tcPr>
            <w:tcW w:w="12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6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weighted average shares outstanding</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53,901,040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51,982,620</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51,412,510</w:t>
            </w:r>
          </w:p>
        </w:tc>
      </w:tr>
      <w:tr>
        <w:trPr>
          <w:trHeight w:val="20"/>
        </w:trPr>
        <w:tc>
          <w:tcPr>
            <w:tcW w:w="6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The table includes all stock options and restricted stock that are dilutive to the Company's weighted average common shares outstanding during the period. The calculation of diluted earnings per share excludes stock options or shares of restricted stock that are anti-dilutive to the Company's weighted average common shares outstanding for the years ended December 31, 2014, 2013 and 2012 of approximately 585,000, 438,000 and 3,679,000, respectively.</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October 2014, the Company issued convertible notes that, if converted, would have a potentially dilutive effect on its Common Stock. At issuance, the Company stated its intent to settle any conversion of these notes by paying cash for the principal value and issuing Common Stock for any conversion value in excess of the principal value. As of December 31, 2014, and currently, the Company maintains the intent and ability to settle any conversion as stated. Accordingly, the convertible notes would only have a dilutive effect if the market price per share of Common Stock exceeds the conversion price per share of Common Stock.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these notes were not dilutive to earnings per share for the year ended December 31, 2014. See Note 10, Debt Obligations, for more information about the convertible notes.</w:t>
      </w:r>
    </w:p>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2013 and 2012, the Company had convertible debentures that, if converted, would have had a potentially dilutive effect on its Common Stock. In September 2013, the Company repurchased at par the remaining $3.6 million principal amount of the convertible debentures outstanding. Based on the evaluation of these debentures under ASC Topic 260, if dilutive, the impact of the contingently issuable shares was included in the calculation of diluted earnings per share under the “if-converted” method, regardless of whether the conditions upon which the debentures would be convertible into shares of the Company’s Common Stock had been met. Under the if-converted method, the dilutive effect of the assumed conversion of the debentures was 64,317 shares for the year ended December 31, 2013. The assumed conversion of the debentures was anti-dilutive for the year ended December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August 2011, the Board of Directors authorized a stock repurchase program ("2011 program") allowing the Company to repurchase up to $100 million in value or 5.0 million shares of its Common Stock. During 2012, the Company repurchased 2.0 million shares at an average purchase price per share of $21.60 for a total value of $42.9 million. The 2011 program expired in August 2013.</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2013, the Board of Directors authorized a stock repurchase program through September 19, 2015 ("2013 program") allowing the Company to repurchase up to $100 million in value or 5.0 million shares of its Common Stock. No repurchases were made in 2014 or 2013 under the 2013 program. Repurchases under the 2013 program may take place in the open market or in privately negotiated transactions, including derivative transactions, and may be made under a Rule 10b5-1 plan.</w:t>
      </w:r>
    </w:p>
    <w:p>
      <w:pPr>
        <w:spacing w:after="0" w:line="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conjunction with the October 2014 convertible note issuance, the Board of Directors approved a separate one-time stock repurchase which resulted in the purchase of 1.2 million shares at an average price per share of $53.47 for a total value of $64.5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authority to issue up to 10 million shares of preferred stock, of which no shares are currently issued or outstanding.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Rights Agreement</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On March 26, 2013, the Company entered into a new Rights Agreement (the "Rights Agreement") with Computershare Trust Company, N.A., as Rights Agent. The Rights Agreement became effective at the close of business on April 3, 2013, immediately following the expiration of the prior rights agreement, and has a three year term. In connection with its approval of the Rights Agreement, the Board of Directors also declared a dividend of one "Right" for each outstanding share of Euronet's common stock, payable on April 3, 2013 to stockholders of record at the close of business on April 3, 2013. As long as the Rights are attached to the common shares, the Company will issue one Right (subject to adjustment) with each new common share that is issued so that all such shares will have attached Rights. When exercisable, each Right will initially entitle the registered holder to purchase from the Company one one-hundredth of a share of Series A Junior Participating Preferred Stock at a price of $125 per one one-hundredth of a share, subject to adjustment. Upon occurrence of a trigger event under the Rights Agreement, each holder of a Right (excluding certain holders) thereafter would have the right to receive upon exercise a number of common shares having a market value of two times the then current price of the Right.</w:t>
      </w:r>
    </w:p>
    <w:p>
      <w:pPr>
        <w:spacing w:after="0" w:line="5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Rights are not exercisable until the earlier of (i) ten business days following a public announcement that (or a majority of the Board of Directors of the Company becoming aware that) a person or group of affiliated or associated persons or any person acting in concert therewith, has acquired, or obtained the right to acquire beneficial ownership of 20% or more of the Company's common shares (as defined in the Rights Agreement), or (ii) ten business days following the commencement or announcement of an intention to make a tender offer or exchange offer, the consummation of which would result in any person becoming an acquiring person (as defined in the Rights Agreement), unless the Board of Directors sets a later date in either event. The Rights Agreement is intended to encourage a potential acquiring person to negotiate directly with the Board of Directors, but may have certain anti-takeover effects. The Rights Agreement could significantly dilute the interests in the Company of an acquiring person. The Rights may therefore have the effect of delaying, deterring or preventing a change in control of the Company. The Rights have a de minimus fair value and expire on April 3,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2014 and 2013, accumulated other comprehensive loss consists entirely of foreign currency translation adjustments. The Company recorded a foreign currency translation loss of $87.7 million for the year ended December 31, 2014. For the years ended December 31, 2013 and 2012, the Company recorded foreign currency translation gains of $0.8 million and $10.9 million, respectively. During 2013, the Company reclassified $0.3 million of foreign currency translation into the Consolidated Statements of Income. There were no reclassifications of foreign currency translation into the Consolidated Statements of Income for the years ending December 31, 2014 and 2012.</w:t>
      </w: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5"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accordance with ASC Topic 805, the Company allocates the purchase price of its acquisitions to the tangible assets, liabilities and intangible assets acquired based on fair values. Any excess purchase price over those fair values is recorded as goodwill. The fair value assigned to intangible assets acquired is supported by valuations using estimates and assumptions provided by management. Generally, for certain large acquisitions, management engages an appraiser to assist in the valuation process.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Acquisitions</w:t>
      </w:r>
    </w:p>
    <w:p>
      <w:pPr>
        <w:spacing w:after="0" w:line="11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May 20, 2014, the Company completed the acquisition of all of the capital stock of EIM (FX) Limited and TBK (FM) Limited (the "Acquired Companies") pursuant to a Share Purchase Agreement dated March 7, 2014 (the "Purchase Agreement") among the Company and the selling shareholders (the "Sellers"). The Acquired Companies, each a United Kingdom limited company, own subsidiaries that operate under the brand names HiFX and HiFM, respectively.</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HiFX offers account-to-account international payment services to high-income individuals and small-to-medium sized businesses, complementing Euronet’s existing consumer-to-consumer money transfer business. HiFX has an innovative multi-channel platform which allows customers to make transfers, track payments and manage their international payment activity online or through a customer service representative. HiFM offers cash management solutions and foreign currency risk management services to small-to-medium sized businesses.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terms of the Purchase Agreement, the Sellers received purchase consideration (the "Purchase Consideration") of £111.8 million in cash ($188.0 million), including working capital adjustments finalized in the third quarter of 2014, and 1,262,654 shares of Euronet common stock, with a fair value at date of acquisition of $56.6 million (the "Consideration Shares"). An amount equal to $16.0 million of the cash portion of the Purchase Consideration and all of the Consideration Shares were placed in escrow at closing as security for the Sellers' indemnification and other obligations under the Purchase Agreement. Any Purchase Consideration remaining in escrow will be released to the Sellers two years following the closing date, net of any pending indemnification or other claims under the Purchase Agreement.</w:t>
      </w:r>
    </w:p>
    <w:p>
      <w:pPr>
        <w:spacing w:after="0" w:line="8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Purchase Consideration was allocated to the assets acquired and liabilities assumed, including identifiable intangible assets, based on their respective fair values at the date of acquisition. None of the goodwill or intangible asset amounts are expected to be deductible for income tax purposes. Pro-forma results of operations, assuming this acquisition was made at the beginning of the earliest period presented, have not been presented because the effect of this acquisition was not material to the Company's results. The net assets of the Acquired Companies and their results from operations after the acquisition are included in the Money Transfer Segment's results.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third and fourth quarters of 2014, the Company adjusted the purchase price allocation of the Acquired Companies and finalized the allocation as of December 31, 2014. Changes from the Company's preliminary estimates as of June 30, 2014 were not material to its consolidated financial statements. The following table summarizes the estimated fair values of the assets acquired and liabilities assumed as of the acquisition date.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w w:val="99"/>
              </w:rPr>
              <w:t>As of May 20, 2014</w:t>
            </w: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103,319</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26,597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2,895</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102,841</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236,279</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(7,037)</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(18,187)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 and customer deposits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(97,781)</w:t>
            </w: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(22,822)</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r>
      <w:tr>
        <w:trPr>
          <w:trHeight w:val="237"/>
        </w:trPr>
        <w:tc>
          <w:tcPr>
            <w:tcW w:w="9560" w:type="dxa"/>
            <w:vAlign w:val="bottom"/>
            <w:gridSpan w:val="2"/>
          </w:tcPr>
          <w:p>
            <w:pPr>
              <w:ind w:left="18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(147,757)</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43"/>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156,053</w:t>
            </w:r>
          </w:p>
        </w:tc>
      </w:tr>
      <w:tr>
        <w:trPr>
          <w:trHeight w:val="27"/>
        </w:trPr>
        <w:tc>
          <w:tcPr>
            <w:tcW w:w="9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97"/>
        </w:trPr>
        <w:tc>
          <w:tcPr>
            <w:tcW w:w="9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spacing w:after="0"/>
              <w:rPr>
                <w:sz w:val="24"/>
                <w:szCs w:val="24"/>
                <w:color w:val="auto"/>
              </w:rPr>
            </w:pPr>
          </w:p>
        </w:tc>
      </w:tr>
      <w:tr>
        <w:trPr>
          <w:trHeight w:val="257"/>
        </w:trPr>
        <w:tc>
          <w:tcPr>
            <w:tcW w:w="956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244,575</w:t>
            </w:r>
          </w:p>
        </w:tc>
      </w:tr>
      <w:tr>
        <w:trPr>
          <w:trHeight w:val="20"/>
        </w:trPr>
        <w:tc>
          <w:tcPr>
            <w:tcW w:w="9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intangible assets of the Acquired Companies are being amortized on a straight-line basis, and the estimated fair values consist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8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0" w:type="dxa"/>
            <w:vAlign w:val="bottom"/>
          </w:tcPr>
          <w:p>
            <w:pPr>
              <w:spacing w:after="0"/>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Proprietary software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61,704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26,764</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8 - 10 years</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Acquisitions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On January 4, 2013, the Company acquired all of the common stock of an Australian company, Pure Commerce Pty Limited (“Pure Commerce”), which offers industry leading currency conversion and multi-currency acquiring products to global, local and online merchant acquirers, banks and retailers. The purchase price consisted of cash of approximately $31.3 million, subject to customary purchase price adjustments, and $5.3 million of the Company's common stock. With respect to the stock portion of the purchase price and pursuant to the acquisition agreement, the Company issued at closing</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224,425 shares of common stock to the shareholders of Pure Commerce. Further, Euronet agreed, pursuant to an earnout provision, to pay additional purchase consideration of up to $30.0 million Australian dollars if certain performance targets were met during the measurement period ending December 31, 2013. As of the acquisition date, the fair value of the contingent consideration liability was $21.7 million. Pure Commerce did not meet the minimum performance targets necessary to require the Company to pay contingent consideration. See Note 17, Financial Instruments and Fair Value Measurements, for additional information related to the contingent consideration liability.</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acquisition date: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2"/>
              </w:rPr>
              <w:t>Estimated</w:t>
            </w:r>
          </w:p>
        </w:tc>
        <w:tc>
          <w:tcPr>
            <w:tcW w:w="880" w:type="dxa"/>
            <w:vAlign w:val="bottom"/>
          </w:tcPr>
          <w:p>
            <w:pPr>
              <w:spacing w:after="0"/>
              <w:rPr>
                <w:sz w:val="14"/>
                <w:szCs w:val="14"/>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80" w:type="dxa"/>
            <w:vAlign w:val="bottom"/>
            <w:tcBorders>
              <w:bottom w:val="single" w:sz="8" w:color="CCEEFF"/>
            </w:tcBorders>
            <w:gridSpan w:val="2"/>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9"/>
              </w:rPr>
              <w:t>2 - 8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8"/>
              </w:rPr>
              <w:t>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755</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Proprietary software</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6"/>
              </w:rPr>
              <w:t>10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11,912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6"/>
              </w:rPr>
              <w:t>12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18,230</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6"/>
              </w:rPr>
              <w:t>20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2,382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tcBorders>
              <w:bottom w:val="single" w:sz="8" w:color="CCEEFF"/>
            </w:tcBorders>
            <w:gridSpan w:val="3"/>
            <w:shd w:val="clear" w:color="auto" w:fill="CCEEFF"/>
          </w:tcPr>
          <w:p>
            <w:pPr>
              <w:jc w:val="center"/>
              <w:ind w:right="390"/>
              <w:spacing w:after="0"/>
              <w:rPr>
                <w:sz w:val="20"/>
                <w:szCs w:val="20"/>
                <w:color w:val="auto"/>
              </w:rPr>
            </w:pPr>
            <w:r>
              <w:rPr>
                <w:rFonts w:ascii="Arial" w:cs="Arial" w:eastAsia="Arial" w:hAnsi="Arial"/>
                <w:sz w:val="18"/>
                <w:szCs w:val="18"/>
                <w:color w:val="auto"/>
                <w:w w:val="95"/>
              </w:rPr>
              <w:t>Indefinite</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27,917</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Fair value of assets</w:t>
            </w: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66,734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w:t>
            </w: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58,268</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Acquisitions</w:t>
      </w:r>
    </w:p>
    <w:p>
      <w:pPr>
        <w:spacing w:after="0" w:line="117"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In January 2012, the Company acquired the remaining 51% of the common stock of Euronet Middle East W.L.L. which it did not previously own. The purchase price of approximately $6.4 million was paid from cash on hand. Accordingly, the assets and liabilities of Euronet Middle East W.L.L. were recorded at fair value, which resulted in a $4.4 million pre-tax gain on the 49% interest previously owned.</w:t>
      </w:r>
    </w:p>
    <w:p>
      <w:pPr>
        <w:spacing w:after="0" w:line="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2012, the Company acquired certain assets and retail contracts of ezi-pay Limited ("ezi-pay"), which added additional product offerings, and processing and distribution services for New Zealand-specific brands to the Company's epay operations in Europe. The purchase price of approximately $19.7 million was paid from cash on hand. Additionally, $3.3 million in cash is being held in escrow to secure certain obligations of the sellers under the acquisition agreement.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values of the acquired net assets at the respective acquisition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3"/>
          </w:tcPr>
          <w:p>
            <w:pPr>
              <w:jc w:val="center"/>
              <w:ind w:right="390"/>
              <w:spacing w:after="0"/>
              <w:rPr>
                <w:sz w:val="20"/>
                <w:szCs w:val="20"/>
                <w:color w:val="auto"/>
              </w:rPr>
            </w:pPr>
            <w:r>
              <w:rPr>
                <w:rFonts w:ascii="Arial" w:cs="Arial" w:eastAsia="Arial" w:hAnsi="Arial"/>
                <w:sz w:val="14"/>
                <w:szCs w:val="14"/>
                <w:b w:val="1"/>
                <w:bCs w:val="1"/>
                <w:color w:val="auto"/>
                <w:w w:val="92"/>
              </w:rPr>
              <w:t>Estimated</w:t>
            </w:r>
          </w:p>
        </w:tc>
        <w:tc>
          <w:tcPr>
            <w:tcW w:w="880" w:type="dxa"/>
            <w:vAlign w:val="bottom"/>
          </w:tcPr>
          <w:p>
            <w:pPr>
              <w:spacing w:after="0"/>
              <w:rPr>
                <w:sz w:val="14"/>
                <w:szCs w:val="14"/>
                <w:color w:val="auto"/>
              </w:rPr>
            </w:pPr>
          </w:p>
        </w:tc>
      </w:tr>
      <w:tr>
        <w:trPr>
          <w:trHeight w:val="192"/>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480" w:type="dxa"/>
            <w:vAlign w:val="bottom"/>
            <w:tcBorders>
              <w:bottom w:val="single" w:sz="8" w:color="CCEEFF"/>
            </w:tcBorders>
            <w:gridSpan w:val="2"/>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30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9"/>
              </w:rPr>
              <w:t>2 - 5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1,098</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9"/>
              </w:rPr>
              <w:t>2 - 4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588</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Trademarks and trade names</w:t>
            </w:r>
          </w:p>
        </w:tc>
        <w:tc>
          <w:tcPr>
            <w:tcW w:w="2300" w:type="dxa"/>
            <w:vAlign w:val="bottom"/>
            <w:gridSpan w:val="3"/>
          </w:tcPr>
          <w:p>
            <w:pPr>
              <w:jc w:val="center"/>
              <w:ind w:right="410"/>
              <w:spacing w:after="0"/>
              <w:rPr>
                <w:sz w:val="20"/>
                <w:szCs w:val="20"/>
                <w:color w:val="auto"/>
              </w:rPr>
            </w:pPr>
            <w:r>
              <w:rPr>
                <w:rFonts w:ascii="Arial" w:cs="Arial" w:eastAsia="Arial" w:hAnsi="Arial"/>
                <w:sz w:val="18"/>
                <w:szCs w:val="18"/>
                <w:color w:val="auto"/>
                <w:w w:val="88"/>
              </w:rPr>
              <w:t>4 years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300" w:type="dxa"/>
            <w:vAlign w:val="bottom"/>
            <w:tcBorders>
              <w:bottom w:val="single" w:sz="8" w:color="CCEEFF"/>
            </w:tcBorders>
            <w:gridSpan w:val="3"/>
            <w:shd w:val="clear" w:color="auto" w:fill="CCEEFF"/>
          </w:tcPr>
          <w:p>
            <w:pPr>
              <w:jc w:val="center"/>
              <w:ind w:right="410"/>
              <w:spacing w:after="0"/>
              <w:rPr>
                <w:sz w:val="20"/>
                <w:szCs w:val="20"/>
                <w:color w:val="auto"/>
              </w:rPr>
            </w:pPr>
            <w:r>
              <w:rPr>
                <w:rFonts w:ascii="Arial" w:cs="Arial" w:eastAsia="Arial" w:hAnsi="Arial"/>
                <w:sz w:val="18"/>
                <w:szCs w:val="18"/>
                <w:color w:val="auto"/>
                <w:w w:val="88"/>
              </w:rPr>
              <w:t>8 years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9,896</w:t>
            </w:r>
          </w:p>
        </w:tc>
      </w:tr>
      <w:tr>
        <w:trPr>
          <w:trHeight w:val="243"/>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300" w:type="dxa"/>
            <w:vAlign w:val="bottom"/>
            <w:gridSpan w:val="3"/>
          </w:tcPr>
          <w:p>
            <w:pPr>
              <w:jc w:val="center"/>
              <w:ind w:right="390"/>
              <w:spacing w:after="0"/>
              <w:rPr>
                <w:sz w:val="20"/>
                <w:szCs w:val="20"/>
                <w:color w:val="auto"/>
              </w:rPr>
            </w:pPr>
            <w:r>
              <w:rPr>
                <w:rFonts w:ascii="Arial" w:cs="Arial" w:eastAsia="Arial" w:hAnsi="Arial"/>
                <w:sz w:val="18"/>
                <w:szCs w:val="18"/>
                <w:color w:val="auto"/>
                <w:w w:val="95"/>
              </w:rPr>
              <w:t>Indefinite</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12,812</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37"/>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Fair value of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34,341</w:t>
            </w: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r>
      <w:tr>
        <w:trPr>
          <w:trHeight w:val="257"/>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Net assets acquired</w:t>
            </w:r>
          </w:p>
        </w:tc>
        <w:tc>
          <w:tcPr>
            <w:tcW w:w="192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32,191</w:t>
            </w:r>
          </w:p>
        </w:tc>
      </w:tr>
      <w:tr>
        <w:trPr>
          <w:trHeight w:val="20"/>
        </w:trPr>
        <w:tc>
          <w:tcPr>
            <w:tcW w:w="8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restricted cash balances as of December 31, 2014 and 2013 were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6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held in trust and/or cash held on behalf of others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62,106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71,003</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Collateral on bank credit arrangements and other</w:t>
            </w: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5,922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6,984</w:t>
            </w:r>
          </w:p>
        </w:tc>
      </w:tr>
      <w:tr>
        <w:trPr>
          <w:trHeight w:val="27"/>
        </w:trPr>
        <w:tc>
          <w:tcPr>
            <w:tcW w:w="8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68,028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77,987</w:t>
            </w:r>
          </w:p>
        </w:tc>
      </w:tr>
      <w:tr>
        <w:trPr>
          <w:trHeight w:val="20"/>
        </w:trPr>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held in trust and/or cash held on behalf of others is in connection with the administration of the customer collection and vendor remittance activities by certain subsidiaries within the Company's epay and EFT Processing Segments. Amounts collected on behalf of certain mobile phone operators and/or merchants are deposited into a restricted cash account. The bank credit arrangements primarily represent cash collateral on deposit with commercial banks to cover guarantees.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(7)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property and equipment, net of accumulated depreciation and amortization as of December 31, 2014 and 2013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141,249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132,315</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POS terminals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48,674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49,427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Vehicles and office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48,829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123,261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116,289</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buildings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364,914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347,557</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(231,327)</w:t>
            </w:r>
          </w:p>
        </w:tc>
      </w:tr>
      <w:tr>
        <w:trPr>
          <w:trHeight w:val="25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125,307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116,230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including property and equipment recorded under capital leases, for the years ended December 31, 2014, 2013 and 2012 was $42.0 million, $39.7 million and $38.7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Acquired Intangible Assets, Net</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Goodwill represents the excess of the purchase price of the acquired business over the estimated fair value of the underlying net tangible and intangible assets acquired. The following table summarizes intangible assets as of December 31, 2014 and 2013:</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As of December 31, 2013</w:t>
            </w:r>
          </w:p>
        </w:tc>
        <w:tc>
          <w:tcPr>
            <w:tcW w:w="0" w:type="dxa"/>
            <w:vAlign w:val="bottom"/>
          </w:tcPr>
          <w:p>
            <w:pPr>
              <w:spacing w:after="0"/>
              <w:rPr>
                <w:sz w:val="1"/>
                <w:szCs w:val="1"/>
                <w:color w:val="auto"/>
              </w:rPr>
            </w:pPr>
          </w:p>
        </w:tc>
      </w:tr>
      <w:tr>
        <w:trPr>
          <w:trHeight w:val="156"/>
        </w:trPr>
        <w:tc>
          <w:tcPr>
            <w:tcW w:w="38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3"/>
                <w:szCs w:val="13"/>
                <w:color w:val="auto"/>
              </w:rPr>
            </w:pPr>
          </w:p>
        </w:tc>
        <w:tc>
          <w:tcPr>
            <w:tcW w:w="120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Gross Carrying</w:t>
            </w:r>
          </w:p>
        </w:tc>
        <w:tc>
          <w:tcPr>
            <w:tcW w:w="180" w:type="dxa"/>
            <w:vAlign w:val="bottom"/>
          </w:tcPr>
          <w:p>
            <w:pPr>
              <w:spacing w:after="0"/>
              <w:rPr>
                <w:sz w:val="13"/>
                <w:szCs w:val="13"/>
                <w:color w:val="auto"/>
              </w:rPr>
            </w:pPr>
          </w:p>
        </w:tc>
        <w:tc>
          <w:tcPr>
            <w:tcW w:w="1080" w:type="dxa"/>
            <w:vAlign w:val="bottom"/>
          </w:tcPr>
          <w:p>
            <w:pPr>
              <w:jc w:val="right"/>
              <w:ind w:right="155"/>
              <w:spacing w:after="0" w:line="157" w:lineRule="exact"/>
              <w:rPr>
                <w:sz w:val="20"/>
                <w:szCs w:val="20"/>
                <w:color w:val="auto"/>
              </w:rPr>
            </w:pPr>
            <w:r>
              <w:rPr>
                <w:rFonts w:ascii="Arial" w:cs="Arial" w:eastAsia="Arial" w:hAnsi="Arial"/>
                <w:sz w:val="14"/>
                <w:szCs w:val="14"/>
                <w:color w:val="auto"/>
              </w:rPr>
              <w:t>Accumulated</w:t>
            </w:r>
          </w:p>
        </w:tc>
        <w:tc>
          <w:tcPr>
            <w:tcW w:w="0" w:type="dxa"/>
            <w:vAlign w:val="bottom"/>
          </w:tcPr>
          <w:p>
            <w:pPr>
              <w:spacing w:after="0"/>
              <w:rPr>
                <w:sz w:val="1"/>
                <w:szCs w:val="1"/>
                <w:color w:val="auto"/>
              </w:rPr>
            </w:pPr>
          </w:p>
        </w:tc>
      </w:tr>
      <w:tr>
        <w:trPr>
          <w:trHeight w:val="188"/>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9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Amortization</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145,019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(86,997)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162,585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(109,964)</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Trademarks and trade names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54,473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(17,061)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(15,806)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1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271,420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(113,153)</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225,953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(132,927)</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85</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8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goodwill and amortizable intangible assets activity for the years ended December 31, 2013 and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4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Goodwill</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92"/>
        </w:trPr>
        <w:tc>
          <w:tcPr>
            <w:tcW w:w="73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January 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83,389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565,149</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2013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61,196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Impairment</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93,026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498,435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591,461</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2014 acquisitions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258,894</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(24,433)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(primarily changes in foreign currency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(67,792)</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Balance as of December 31, 2014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158,267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599,863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758,130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performs its annual goodwill impairment test during the fourth quarter of each year. The annual goodwill impairment test completed during the fourth quarter of 2014 resulted in no impairment charge. As a result of the 2013 and 2012 annual goodwill impairment tests, the Company recorded non-cash goodwill impairment charges of $18.4 million and $23.5 million, respectively.</w:t>
      </w:r>
    </w:p>
    <w:p>
      <w:pPr>
        <w:spacing w:after="0" w:line="7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performing the annual goodwill impairment test, management must apply judgment in determining the estimated fair value of a business and uses all available information to make these fair value determinations, including discounted projected future cash flow analysis using discount rates commensurate with the risks involved in the assets, together with comparable sales prices that the Company or another purchaser would likely pay for the respective assets.</w:t>
      </w:r>
    </w:p>
    <w:p>
      <w:pPr>
        <w:spacing w:after="0" w:line="39"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Of the total goodwill balance of $599.9 million as of December 31, 2014, $370.7 million relates to the Money Transfer Segment, $171.0 million relates to the epay Segment and the remaining $58.2 million relates to the EFT Processing Segment. Amortization expense for intangible assets with finite lives was $24.4 million, $21.1 million and $22.1 million for the years ended December 31, 2014, 2013 and 2012, respectively. Estimated annual amortization expense, before income taxes, on intangible assets with finite lives as of December 31, 2014, is expected to total $22.0 million for 2015, $20.4 million for 2016, $18.3 million for 2017, $16.0 million for 2018 and $15.2 million for 2019.</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Impairment Charges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As a result of the 2013 annual goodwill impairment test, the Company recorded non-cash goodwill impairment charges related to its epay reporting units in Australia and Spain of $12.3 million and $6.1 million, respectively. The goodwill impairment charge in Australia was the result of continuing declines in the demand for mobile top-up services, caused by certain large retailers (which have a significant share of the retail market) negotiating direct agreements with two mobile operators and certain mobile operators modifying their distribution strategies to drive consumer demand for top-up services to on-line or mobile device channels. In Spain, the goodwill impairment charge was the result of the longer term effect of poor economic conditions, including continued high levels of unemployment and increased competitive pressures. In response to the business challenges in Australia and Spain, the Company has continued to sell additional products and services to mobile operators and develop strategies to increase the distribution of other prepaid products. However, in the fourth quarter of 2013, the Company concluded that while future cash flows from existing agreements with mobile operators and from the launch of new products would likely grow steadily over time, the growth would not add the level of cash flows previously forecasted. Based upon these revised future cash flow forecasts, the Company concluded that the resulting valuations were not sufficient to support the goodwill carrying values of epay Australia and epay Spain. Therefore, the impairment charges were recorded in the period. There are no remaining goodwill or acquired intangible assets in the epay Australia and Spain reporting units as of December 31, 2013.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Impairment Charges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fourth quarter of 2012, epay Brazil recorded a goodwill impairment charge of $23.5 million and an additional $5.2 million impairment charge of other acquired intangibles assets, specifically customer relationships. The impairment charges were the cumulative result of a culmination of several factors in Brazil including, but not necessarily limited to, changes in mobile operator distribution strategies, delays in non-mobile product distribution and operating costs.</w:t>
      </w:r>
    </w:p>
    <w:p>
      <w:pPr>
        <w:spacing w:after="0" w:line="79"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The initial factor contributing to the impairment charges was changes in certain mobile operators' distribution strategies throughout 2012. These changes limited the Company's ability to distribute certain mobile operators' products in certain markets and had a negative impact on epay Brazil's 2012 results. While the changes affected the 2012 results, the Company continued to negotiate alternative arrangements with the mobile operators in order to regain profitability in Brazil. In the fourth quarter of 2012, the Company determined that these negotiations were not likely to result in arrangements that would restore its profitability from those products in the future.</w:t>
      </w:r>
    </w:p>
    <w:p>
      <w:pPr>
        <w:spacing w:after="0" w:line="8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While these distribution changes were occurring, the Company was also establishing plans to introduce other electronic payment products in the Brazilian market which was expected to increase profitability. As the plans became more concrete in the fourth quarter of 2012, the Company's assessment was that the added profitability from these new products would likely grow steadily over time, but would not add significant earnings as quickly as originally projected.</w:t>
      </w:r>
    </w:p>
    <w:p>
      <w:pPr>
        <w:spacing w:after="0" w:line="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Simultaneously with the changes in the mobile operators' distribution strategies, epay Brazil undertook efforts to align costs with revenues. While significant progress was made in reducing costs during 2012, the extent of that progress was constrained by the investments needed to launch the new electronic payment products. In the fourth quarter of 2012, the revised cost structure, which aligns costs with the decreased mobile revenues and supports the new products, was solidified and resulted in cost savings which were less than initially expected.</w:t>
      </w:r>
    </w:p>
    <w:p>
      <w:pPr>
        <w:spacing w:after="0" w:line="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Further, the changes in the mobile operators' distribution strategies accelerated efforts to pursue other distribution channels. In the fourth quarter of 2012, epay Brazil acquired new partners in these other channels which provided insight to the profit potential of these channels. The Company's assessment of the opportunity in these channels was that while these channels are expected to be profitable, they are not likely to have profit margins as great as the ones lost with the changes in mobile operators' distribution strategies previously discussed.</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described above, the Company had several initiatives to improve profitability which were evolving during the year. The collective impact of those initiatives was the key consideration to determining if the epay Brazil business could return to or exceed its previous profitability. While each initiative had the potential to significantly contribute to that goal, during the fourth quarter of 2012, the Company determined that each initiative was likely to contribute less than what was previously expected. The culmination of these various factors in the fourth quarter of 2012 led the Company to conclude that the resulting valuation was not sufficient to support the recorded value of its investment in epay Brazil and, therefore, it recorded the goodwill and other acquired intangible assets impairment charges in the period.</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balances as of December 31, 2014 and 2013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173,982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84,586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w w:val="94"/>
              </w:rPr>
              <w:t>Accrued amounts due to mobile operators and other content providers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64,839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78,398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 settlement obligations</w:t>
            </w:r>
          </w:p>
        </w:tc>
        <w:tc>
          <w:tcPr>
            <w:tcW w:w="3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96,795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49,757</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336,361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213,359</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bottom w:val="single" w:sz="8" w:color="CCEEFF"/>
            </w:tcBorders>
            <w:vMerge w:val="restart"/>
          </w:tcPr>
          <w:p>
            <w:pPr>
              <w:jc w:val="right"/>
              <w:ind w:right="281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4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 as of December 31, 2014 and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As of December 31,</w:t>
            </w:r>
          </w:p>
        </w:tc>
      </w:tr>
      <w:tr>
        <w:trPr>
          <w:trHeight w:val="250"/>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Term loan, due 2019</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72,187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68,000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agreements, due 2019</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129,010</w:t>
            </w:r>
          </w:p>
        </w:tc>
      </w:tr>
      <w:tr>
        <w:trPr>
          <w:trHeight w:val="237"/>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77,503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197,010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1.50% convertible notes, unsecured, due 2044</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337,986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Obligations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2,403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r>
      <w:tr>
        <w:trPr>
          <w:trHeight w:val="297"/>
        </w:trPr>
        <w:tc>
          <w:tcPr>
            <w:tcW w:w="88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421,524</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199,413</w:t>
            </w:r>
          </w:p>
        </w:tc>
      </w:tr>
      <w:tr>
        <w:trPr>
          <w:trHeight w:val="251"/>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(10,903)</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410,368</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188,510</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As of December 31, 2014, aggregate annual maturities of long-term debt are $5.2 million in 2015, $7.0 million in 2016, $8.9 million in 2017, $13.6 million in 2018, $42.8 million in 2019 and none thereafter. This maturity schedule reflects the term loan and revolving credit facilities maturing in 2019.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On August 18, 2011, the Company and certain of its subsidiaries entered into an Amended and Restated Credit Agreement (the "Credit Agreement") with a lending syndicate consisting of nine banks (the "Lenders") with Bank of America, N.A. serving as Administrative Agent and Collateral Agent and U.S. Bank National Association serving as Syndication Agent.</w:t>
      </w:r>
    </w:p>
    <w:p>
      <w:pPr>
        <w:spacing w:after="0" w:line="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April 9, 2014, the Company amended and restated the Credit Agreement to, among other things, (i) increase the amount of Term Loan A from $66 million to $75 million, (ii) increase the aggregate credit commitments under the revolving credit facility from $400 million to $600 million, (iii) reduce the margin over the London Inter-Bank Offered Rate (“LIBOR”) rate and base rate by 12.5 basis points, and (iv) extend the expiration date of the Credit Agreement from August 18, 2016 to April 9, 2019. In connection with the amendment, the Company incurred $2.5 million in debt issuance costs, which are being amortized over the term of the Credit Facility.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Under the Credit Agreement, the Lenders have made available a $675 million senior secured credit facility (the "Credit Facility") consisting of a $590 million five-year revolving credit facility, a $10 million five-year India revolving credit facility and a $75 million five-year term loan which has been reduced to $72.2 million as of December 31, 2014 through principal amortization payments. The revolving credit facility allows for borrowings in U.S. dollars, euro, British pound sterling, Australian dollars and/or Indian rupees. The revolving credit facility contains a $200 million sublimit for the issuance of letters of credit and a $25 million sublimit for swingline loans.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Fees and interest on borrowings vary based upon the Company's consolidated total leverage ratio (as defined in the Credit Agreement) and will be based, in the case of letter of credit fees, on a margin, and in the case of interest, on a margin over London Inter-Bank Offered Rate (“LIBOR”) or a margin over the base rate, as selected by the Company, with the applicable margin ranging from 1.375% to 2.375% (or 0.375% to 1.375% for base rate loans). The base rate is the highest of (i) the Bank of America prime rate, (ii) the Federal Funds rate plus 0.50% or (iii) the Fixed LIBOR rate plus 1.00%. The term loan is subject to scheduled quarterly amortization payments, as set forth in the Credit Agreement. The maturity date for the Credit Facility is April 9, 2019, at which time the outstanding principal balance and all accrued interest will be due and payable in full. The weighted average interest rate of the Company's borrowings under the term loan and revolving credit facility was 1.5% and 11.3%, respectively, as of December 31, 2014, and 1.7% for each as of December 31, 2013.</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2014 and 2013, the Company had stand-by letters of credit/bank guarantees outstanding against the revolving credit facility of $63.6 million and $58.7 million, respectively. Stand-by letters of credit/bank guarantees reduce the Company's borrowing capacity under the revolving credit facility and are generally used to secure trade credit and performance obligations. The Company pays an interest rate for stand-by letters of credit/bank guarantees at a rate that may adjust each quarter based upon the Company's consolidated total leverage ratio. As of December 31, 2014 and 2013, the stand-by letters of credit interest charges were 1.38% and 1.50% per annum, respectively.</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Credit Agreement contains customary affirmative and negative covenants, events of default and financial covenants, including (all as defined in the Credit Agreement): (i) a Consolidated Total Leverage Ratio not to exceed 4.0 to 1.0; and (ii) a Consolidated Fixed Charge Coverage Ratio of not less than 1.5 to 1.0. Subject to meeting certain leverage ratio and liquidity requirements (as defined in the Credit Agreement), the Company is permitted to pay dividends, repurchase common stock and repurchase subordinated debt.</w:t>
      </w:r>
    </w:p>
    <w:p>
      <w:pPr>
        <w:spacing w:after="0" w:line="18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and certain subsidiaries have guaranteed the repayment of obligations under the Credit Facility and have granted pledges of the shares of certain subsidiaries along with a security interest in certain other personal property collateral of the Company and certain subsidiaries.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October 30, 2014, the Company completed the sale of $402.5 million of Convertible Senior Notes due 2044 (“Convertible Notes”). The Convertible Notes have an interest rate of 1.5% per annum payable semi-annually in April and October, and are convertible into shares of Euronet Common Stock at a conversion price of approximately $72.18 per share if certain conditions are met (relating to the closing prices of Euronet Common Stock exceeding certain thresholds for specified periods). Holders of the Convertible Notes have the option to require the Company to purchase their notes at par on October 1, 2020, and have additional options to require the Company to purchase their notes at par on October 1, 2024, 2029, 2034, and 2039, or upon a change in control of the Company. In connection with the issuance of the Convertible Notes, the Company recorded $10.7 million in debt issuance costs, which are being amortized through October 1, 2020.</w:t>
      </w:r>
    </w:p>
    <w:p>
      <w:pPr>
        <w:spacing w:after="0" w:line="18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 in capital of $66.1 million.</w:t>
      </w:r>
    </w:p>
    <w:p>
      <w:pPr>
        <w:spacing w:after="0" w:line="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Contractual interest expense was $0.9 million and accretion expense was $1.6 million for the year ended December 31, 2014. The effective interest rate was 4.7% for the year ended December 31, 2014. As of December 31, 2014, unamortized discounts were $64.5 million, and will be amortized through October 1, 2020.</w:t>
      </w:r>
    </w:p>
    <w:p>
      <w:pPr>
        <w:spacing w:after="0" w:line="18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On October 4, 2005, the Company completed the sale of $175.0 million of Contingent Convertible Debentures Due 2025 (“2025 Convertible Debentures”). The 2025 Convertible Debentures had an interest rate of 3.5% per annum and were convertible into shares of Euronet Common Stock under certain circumstances. Holders of the 2025 Convertible Debentures had the option to require the Company to purchase their debentures at par on October 15, 2012 and most of them exercised their option which resulted in the Company purchasing $167.9 million of the 2025 Convertible Debentures. In September 2013, the Company repurchased at par the remaining principal amount of 2025 Convertible Debentures outstanding.</w:t>
      </w:r>
    </w:p>
    <w:p>
      <w:pPr>
        <w:spacing w:after="0" w:line="6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Contractual interest expense for the 2025 Convertible Debentures was $0.1 million and $4.8 million for the years ended December 31, 2013 and 2012, respectively. The effective interest rate was 8.4% for all periods through October 15, 2012 and 3.5% thereafter. Discount accretion expense was $6.3 million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Certain of the Company's subsidiaries have available lines of credit and an overdraft credit facility that provide for short-term borrowings that are used from time to time for working capital purposes. As of December 31, 2014 and 2013, borrowings under these arrangements were $6.0 million and $2.4 million,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w:t>
      </w:r>
    </w:p>
    <w:p>
      <w:pPr>
        <w:ind w:right="100" w:firstLine="8"/>
        <w:spacing w:after="0" w:line="273" w:lineRule="auto"/>
        <w:tabs>
          <w:tab w:leader="none" w:pos="3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short-term borrowings that are payable in currencies other than the U.S dollar.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Topic 815,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primarily due to either the relatively short duration of the contract term or the effects of</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fluctuations in currency exchange rates are reflected concurrently in earnings for both the derivative instrument and the transaction and have an offsetting effect.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w:t>
      </w:r>
    </w:p>
    <w:p>
      <w:pPr>
        <w:spacing w:after="0" w:line="8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December 31, 2014, the Company had foreign currency forward contracts outstanding in the U.S. with a notional value of $116 million, primarily in Australian dollars, Canadian dollars, British pounds, euros and Mexican pesos.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HiFX Operations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 xml:space="preserve">As discussed in Note 5, Acquisitions, on May 20, 2014, the Company acquired EIM (FX) Limited, which owns subsidiaries that operate under the brand name HiFX. HiFX writes derivative instruments, primarily foreign currency forward contracts and cross-currency swaps, mostly with counterparties comprised of individuals and small-to-medium size businesses and derives a currency margin from this activity as part of its operations. HiFX aggregates its foreign currency exposures arising from customer contracts and hedges the resulting net currency risks by entering into offsetting contracts with established financial institution counterparties. Foreign exchange revenues from HiFX's total portfolio of positions were $37.3 million for the year ended December 31, 2014. All of the derivative contracts used in the Company' s HiFX operations are economic hedges and are not designated as hedges under ASC Topic 815, </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The duration of these derivative contracts is generally less than one year.</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fair value of HiFX's total portfolio of positions can change significantly from period to period based on, among other factors, market movements and changes in customer contract positions. HiFX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HiFX does not expect any significant losses from counterparty defaults.</w:t>
      </w:r>
    </w:p>
    <w:p>
      <w:pPr>
        <w:spacing w:after="0" w:line="64"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aggregate equivalent U.S. dollar notional amounts of foreign currency derivative customer contracts held by the Company in its HiFX operations as of December 31, 2014 was approximately $729 million. The significant majority of customer contracts are written in major currencies such as the euro, Canadian dollar, British pound, and Australian dollar.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right"/>
              <w:ind w:right="444"/>
              <w:spacing w:after="0"/>
              <w:rPr>
                <w:sz w:val="20"/>
                <w:szCs w:val="20"/>
                <w:color w:val="auto"/>
              </w:rPr>
            </w:pPr>
            <w:r>
              <w:rPr>
                <w:rFonts w:ascii="Arial" w:cs="Arial" w:eastAsia="Arial" w:hAnsi="Arial"/>
                <w:sz w:val="14"/>
                <w:szCs w:val="14"/>
                <w:b w:val="1"/>
                <w:bCs w:val="1"/>
                <w:color w:val="auto"/>
                <w:w w:val="89"/>
              </w:rPr>
              <w:t>Asset Derivatives</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tcBorders>
              <w:bottom w:val="single" w:sz="8" w:color="auto"/>
            </w:tcBorders>
            <w:gridSpan w:val="4"/>
          </w:tcPr>
          <w:p>
            <w:pPr>
              <w:ind w:left="1640"/>
              <w:spacing w:after="0"/>
              <w:rPr>
                <w:sz w:val="20"/>
                <w:szCs w:val="20"/>
                <w:color w:val="auto"/>
              </w:rPr>
            </w:pPr>
            <w:r>
              <w:rPr>
                <w:rFonts w:ascii="Arial" w:cs="Arial" w:eastAsia="Arial" w:hAnsi="Arial"/>
                <w:sz w:val="14"/>
                <w:szCs w:val="14"/>
                <w:b w:val="1"/>
                <w:bCs w:val="1"/>
                <w:color w:val="auto"/>
              </w:rPr>
              <w:t>Liability Derivatives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Fair Value</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2"/>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1"/>
              </w:rPr>
              <w:t>Balance Sheet Location</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64"/>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3"/>
                <w:szCs w:val="13"/>
                <w:color w:val="auto"/>
              </w:rPr>
            </w:pPr>
          </w:p>
        </w:tc>
        <w:tc>
          <w:tcPr>
            <w:tcW w:w="124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21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1"/>
              </w:rPr>
              <w:t>Balance Sheet Location</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3"/>
                <w:szCs w:val="13"/>
                <w:color w:val="auto"/>
              </w:rPr>
            </w:pPr>
          </w:p>
        </w:tc>
        <w:tc>
          <w:tcPr>
            <w:tcW w:w="100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2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w:t>
            </w:r>
          </w:p>
        </w:tc>
        <w:tc>
          <w:tcPr>
            <w:tcW w:w="17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designated as hedging</w:t>
            </w:r>
          </w:p>
        </w:tc>
        <w:tc>
          <w:tcPr>
            <w:tcW w:w="1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instruments</w:t>
            </w:r>
          </w:p>
        </w:tc>
        <w:tc>
          <w:tcPr>
            <w:tcW w:w="17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180"/>
              <w:spacing w:after="0"/>
              <w:rPr>
                <w:sz w:val="20"/>
                <w:szCs w:val="20"/>
                <w:color w:val="auto"/>
              </w:rPr>
            </w:pPr>
            <w:r>
              <w:rPr>
                <w:rFonts w:ascii="Arial" w:cs="Arial" w:eastAsia="Arial" w:hAnsi="Arial"/>
                <w:sz w:val="18"/>
                <w:szCs w:val="18"/>
                <w:color w:val="auto"/>
              </w:rPr>
              <w:t>Foreign currency</w:t>
            </w: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ind w:left="340"/>
              <w:spacing w:after="0"/>
              <w:rPr>
                <w:sz w:val="20"/>
                <w:szCs w:val="20"/>
                <w:color w:val="auto"/>
              </w:rPr>
            </w:pPr>
            <w:r>
              <w:rPr>
                <w:rFonts w:ascii="Arial" w:cs="Arial" w:eastAsia="Arial" w:hAnsi="Arial"/>
                <w:sz w:val="18"/>
                <w:szCs w:val="18"/>
                <w:color w:val="auto"/>
              </w:rPr>
              <w:t>exchange contracts</w:t>
            </w:r>
          </w:p>
        </w:tc>
        <w:tc>
          <w:tcPr>
            <w:tcW w:w="1760" w:type="dxa"/>
            <w:vAlign w:val="bottom"/>
          </w:tcPr>
          <w:p>
            <w:pPr>
              <w:ind w:left="320"/>
              <w:spacing w:after="0"/>
              <w:rPr>
                <w:sz w:val="20"/>
                <w:szCs w:val="20"/>
                <w:color w:val="auto"/>
              </w:rPr>
            </w:pPr>
            <w:r>
              <w:rPr>
                <w:rFonts w:ascii="Arial" w:cs="Arial" w:eastAsia="Arial" w:hAnsi="Arial"/>
                <w:sz w:val="18"/>
                <w:szCs w:val="18"/>
                <w:color w:val="auto"/>
                <w:w w:val="87"/>
              </w:rPr>
              <w:t>Other current assets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44"/>
              <w:spacing w:after="0"/>
              <w:rPr>
                <w:sz w:val="20"/>
                <w:szCs w:val="20"/>
                <w:color w:val="auto"/>
              </w:rPr>
            </w:pPr>
            <w:r>
              <w:rPr>
                <w:rFonts w:ascii="Arial" w:cs="Arial" w:eastAsia="Arial" w:hAnsi="Arial"/>
                <w:sz w:val="18"/>
                <w:szCs w:val="18"/>
                <w:color w:val="auto"/>
              </w:rPr>
              <w:t>41,151</w:t>
            </w:r>
          </w:p>
        </w:tc>
        <w:tc>
          <w:tcPr>
            <w:tcW w:w="44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2160" w:type="dxa"/>
            <w:vAlign w:val="bottom"/>
          </w:tcPr>
          <w:p>
            <w:pPr>
              <w:jc w:val="center"/>
              <w:ind w:right="42"/>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(36,439)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594"/>
        </w:trPr>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gridSpan w:val="2"/>
          </w:tcPr>
          <w:p>
            <w:pPr>
              <w:jc w:val="right"/>
              <w:ind w:right="108"/>
              <w:spacing w:after="0"/>
              <w:rPr>
                <w:sz w:val="20"/>
                <w:szCs w:val="20"/>
                <w:color w:val="auto"/>
              </w:rPr>
            </w:pPr>
            <w:r>
              <w:rPr>
                <w:rFonts w:ascii="Arial" w:cs="Arial" w:eastAsia="Arial" w:hAnsi="Arial"/>
                <w:sz w:val="18"/>
                <w:szCs w:val="18"/>
                <w:color w:val="auto"/>
              </w:rPr>
              <w:t>90</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gross and net fair value of derivative assets and liabilities as of December 31, 2014 and 2013 (in thousands):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Gross Amounts Not Offset in the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Consolidated Balance Sheet</w:t>
            </w: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4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Gross Amounts of</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Financial</w:t>
            </w:r>
          </w:p>
        </w:tc>
        <w:tc>
          <w:tcPr>
            <w:tcW w:w="14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Cash Collateral</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40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40" w:type="dxa"/>
            <w:vAlign w:val="bottom"/>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6"/>
        </w:trPr>
        <w:tc>
          <w:tcPr>
            <w:tcW w:w="3300" w:type="dxa"/>
            <w:vAlign w:val="bottom"/>
            <w:gridSpan w:val="2"/>
            <w:vMerge w:val="continue"/>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Recognized Assets</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Balance Sheet</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Balance Sheet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Instruments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Received</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41,151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Offsetting of Derivative Liabilities</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4"/>
                <w:szCs w:val="14"/>
                <w:b w:val="1"/>
                <w:bCs w:val="1"/>
                <w:color w:val="auto"/>
              </w:rPr>
              <w:t>Gross Amounts Not Offset in the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Consolidated Balance Sheet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Gross Amounts of</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Net Amounts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80" w:type="dxa"/>
            <w:vAlign w:val="bottom"/>
          </w:tcPr>
          <w:p>
            <w:pPr>
              <w:spacing w:after="0"/>
              <w:rPr>
                <w:sz w:val="12"/>
                <w:szCs w:val="12"/>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Collateral</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4"/>
              </w:rPr>
              <w:t>Net Amounts</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9"/>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28,113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Derivatives subject to a master netting</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arrangement or similar agreement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Statement Presentation</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tables summarize the location and amount of gains and losses of derivatives in the Consolidated Statements of Income for the years ended December 31, 2014, 2013 and 2012:</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gridSpan w:val="8"/>
          </w:tcPr>
          <w:p>
            <w:pPr>
              <w:jc w:val="center"/>
              <w:ind w:right="19"/>
              <w:spacing w:after="0"/>
              <w:rPr>
                <w:sz w:val="20"/>
                <w:szCs w:val="20"/>
                <w:color w:val="auto"/>
              </w:rPr>
            </w:pPr>
            <w:r>
              <w:rPr>
                <w:rFonts w:ascii="Arial" w:cs="Arial" w:eastAsia="Arial" w:hAnsi="Arial"/>
                <w:sz w:val="14"/>
                <w:szCs w:val="14"/>
                <w:b w:val="1"/>
                <w:bCs w:val="1"/>
                <w:color w:val="auto"/>
                <w:w w:val="92"/>
              </w:rPr>
              <w:t>Amount of Gain (Loss) Recognized in Income on Derivative</w:t>
            </w: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Contracts (a)</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Location of Gain (Loss) Recognized in</w:t>
            </w: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4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vMerge w:val="restart"/>
          </w:tcPr>
          <w:p>
            <w:pPr>
              <w:jc w:val="center"/>
              <w:ind w:right="10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5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Income on Derivative Contracts</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Foreign currency exchange (loss)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120" w:type="dxa"/>
            <w:vAlign w:val="bottom"/>
            <w:shd w:val="clear" w:color="auto" w:fill="CCEEFF"/>
          </w:tcPr>
          <w:p>
            <w:pPr>
              <w:spacing w:after="0"/>
              <w:rPr>
                <w:sz w:val="20"/>
                <w:szCs w:val="20"/>
                <w:color w:val="auto"/>
              </w:rPr>
            </w:pPr>
          </w:p>
        </w:tc>
        <w:tc>
          <w:tcPr>
            <w:tcW w:w="2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gain,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right="80" w:firstLine="8"/>
        <w:spacing w:after="0" w:line="255"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HiFX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17, Financial Instruments and Fair Value Measurements, for the determination of the fair values of derivatives.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leases certain of its ATMs, computer equipment and vehicles under capital lease agreements that expire between the years of 2015 and 2019 and bear interest at rates between 2.2% and 14.4%. The lessors for these leases hold a security interest in the equipment leased under the respective capital lease agreements. Lease installments are paid on a monthly, quarterly or semi-annual basis. Certain leases contain a bargain purchase option at the conclusion of the lease period.</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gross amount of the assets and related accumulated amortization recorded within property and equipment and subject to capital leases as of December 31, 2014 and 2013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9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r>
      <w:tr>
        <w:trPr>
          <w:trHeight w:val="250"/>
        </w:trPr>
        <w:tc>
          <w:tcPr>
            <w:tcW w:w="9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10,427</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3,165</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13,592</w:t>
            </w:r>
          </w:p>
        </w:tc>
      </w:tr>
      <w:tr>
        <w:trPr>
          <w:trHeight w:val="243"/>
        </w:trPr>
        <w:tc>
          <w:tcPr>
            <w:tcW w:w="9260" w:type="dxa"/>
            <w:vAlign w:val="bottom"/>
            <w:gridSpan w:val="2"/>
          </w:tcPr>
          <w:p>
            <w:pPr>
              <w:ind w:left="40"/>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(6,591)</w:t>
            </w:r>
          </w:p>
        </w:tc>
      </w:tr>
      <w:tr>
        <w:trPr>
          <w:trHeight w:val="27"/>
        </w:trPr>
        <w:tc>
          <w:tcPr>
            <w:tcW w:w="9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9,816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7,001</w:t>
            </w:r>
          </w:p>
        </w:tc>
      </w:tr>
      <w:tr>
        <w:trPr>
          <w:trHeight w:val="20"/>
        </w:trPr>
        <w:tc>
          <w:tcPr>
            <w:tcW w:w="9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color w:val="auto"/>
        </w:rPr>
        <w:t xml:space="preserve">Non-cash financing and investing activities for the years ended December 31, 2014, 2013 and 2012 represented </w:t>
      </w:r>
      <w:r>
        <w:rPr>
          <w:rFonts w:ascii="Arial" w:cs="Arial" w:eastAsia="Arial" w:hAnsi="Arial"/>
          <w:sz w:val="18"/>
          <w:szCs w:val="18"/>
          <w:b w:val="1"/>
          <w:bCs w:val="1"/>
          <w:color w:val="auto"/>
        </w:rPr>
        <w:t>c</w:t>
      </w:r>
      <w:r>
        <w:rPr>
          <w:rFonts w:ascii="Arial" w:cs="Arial" w:eastAsia="Arial" w:hAnsi="Arial"/>
          <w:sz w:val="18"/>
          <w:szCs w:val="18"/>
          <w:color w:val="auto"/>
        </w:rPr>
        <w:t>apital lease obligations of $2.2 million, $0.9 million and $3.4 million, respectively, incurred when the Company entered into leases primarily for new ATMs, to upgrade ATMs or for data center computer equipment.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The Company has non-cancelable operating leases that expire between the years of 2015 and 2026. Certain of these leases contain renewal options and escalation provisions. The Company recognizes rent expense under the straight-line method over the term of the lease. Rent expense for the years ended December 31, 2014, 2013 and 2012 amounted to $57.0 million, $54.0 million and $49.0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the capital leases and the non-cancelable operating leases (with initial lease terms in excess of one year)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433"/>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Leases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2015</w:t>
            </w:r>
          </w:p>
        </w:tc>
        <w:tc>
          <w:tcPr>
            <w:tcW w:w="382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2,477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54,174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45,239</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2017</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32,158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3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25,563</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2019</w:t>
            </w:r>
          </w:p>
        </w:tc>
        <w:tc>
          <w:tcPr>
            <w:tcW w:w="3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15,789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13,743</w:t>
            </w:r>
          </w:p>
        </w:tc>
        <w:tc>
          <w:tcPr>
            <w:tcW w:w="0" w:type="dxa"/>
            <w:vAlign w:val="bottom"/>
          </w:tcPr>
          <w:p>
            <w:pPr>
              <w:spacing w:after="0"/>
              <w:rPr>
                <w:sz w:val="1"/>
                <w:szCs w:val="1"/>
                <w:color w:val="auto"/>
              </w:rPr>
            </w:pPr>
          </w:p>
        </w:tc>
      </w:tr>
      <w:tr>
        <w:trPr>
          <w:trHeight w:val="297"/>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minimum lease payments</w:t>
            </w:r>
          </w:p>
        </w:tc>
        <w:tc>
          <w:tcPr>
            <w:tcW w:w="33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CCEEFF"/>
            </w:tcBorders>
          </w:tcPr>
          <w:p>
            <w:pPr>
              <w:spacing w:after="0"/>
              <w:rPr>
                <w:sz w:val="24"/>
                <w:szCs w:val="24"/>
                <w:color w:val="auto"/>
              </w:rPr>
            </w:pPr>
          </w:p>
        </w:tc>
        <w:tc>
          <w:tcPr>
            <w:tcW w:w="116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18"/>
                <w:szCs w:val="18"/>
                <w:color w:val="auto"/>
              </w:rPr>
              <w:t>4,676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186,666</w:t>
            </w: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amounts representing interest</w:t>
            </w:r>
          </w:p>
        </w:tc>
        <w:tc>
          <w:tcPr>
            <w:tcW w:w="3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8"/>
                <w:szCs w:val="18"/>
                <w:color w:val="auto"/>
              </w:rPr>
              <w:t>Present value of net minimum capital lease payments</w:t>
            </w:r>
          </w:p>
        </w:tc>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obligations under capital leases</w:t>
            </w:r>
          </w:p>
        </w:tc>
        <w:tc>
          <w:tcPr>
            <w:tcW w:w="3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860" w:type="dxa"/>
            <w:vAlign w:val="bottom"/>
          </w:tcPr>
          <w:p>
            <w:pPr>
              <w:ind w:left="280"/>
              <w:spacing w:after="0"/>
              <w:rPr>
                <w:sz w:val="20"/>
                <w:szCs w:val="20"/>
                <w:color w:val="auto"/>
              </w:rPr>
            </w:pPr>
            <w:r>
              <w:rPr>
                <w:rFonts w:ascii="Arial" w:cs="Arial" w:eastAsia="Arial" w:hAnsi="Arial"/>
                <w:sz w:val="18"/>
                <w:szCs w:val="18"/>
                <w:color w:val="auto"/>
              </w:rPr>
              <w:t>Obligations under capital leases, less current portion</w:t>
            </w:r>
          </w:p>
        </w:tc>
        <w:tc>
          <w:tcPr>
            <w:tcW w:w="3500" w:type="dxa"/>
            <w:vAlign w:val="bottom"/>
            <w:gridSpan w:val="2"/>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vMerge w:val="restart"/>
          </w:tcPr>
          <w:p>
            <w:pPr>
              <w:jc w:val="right"/>
              <w:ind w:right="235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6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sources of income (loss) before income taxes for the years ended December 31, 2014, 2013 and 2012 are presented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7,337</w:t>
            </w:r>
          </w:p>
        </w:tc>
        <w:tc>
          <w:tcPr>
            <w:tcW w:w="4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18,560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(3,002)</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134,166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96,525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50,336</w:t>
            </w:r>
          </w:p>
        </w:tc>
      </w:tr>
      <w:tr>
        <w:trPr>
          <w:trHeight w:val="25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income before income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141,503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115,085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47,334</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expense for the years ended December 31, 2014, 2013 and 2012 consisted of the following:</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6,363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31,791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26,579</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current</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33,905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32,942</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369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(6,374)</w:t>
            </w:r>
          </w:p>
        </w:tc>
      </w:tr>
      <w:tr>
        <w:trPr>
          <w:trHeight w:val="237"/>
        </w:trPr>
        <w:tc>
          <w:tcPr>
            <w:tcW w:w="7440" w:type="dxa"/>
            <w:vAlign w:val="bottom"/>
            <w:gridSpan w:val="2"/>
          </w:tcPr>
          <w:p>
            <w:pPr>
              <w:ind w:left="280"/>
              <w:spacing w:after="0"/>
              <w:rPr>
                <w:sz w:val="20"/>
                <w:szCs w:val="20"/>
                <w:color w:val="auto"/>
              </w:rPr>
            </w:pPr>
            <w:r>
              <w:rPr>
                <w:rFonts w:ascii="Arial" w:cs="Arial" w:eastAsia="Arial" w:hAnsi="Arial"/>
                <w:sz w:val="18"/>
                <w:szCs w:val="18"/>
                <w:color w:val="auto"/>
              </w:rPr>
              <w:t>Total deferred</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(6,005)</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tax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27,732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26,937</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federal statutory income tax rate of 35% to the effective income tax rate for 2014, 2013 and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2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income tax expense at applicable statutory rate</w:t>
            </w:r>
          </w:p>
        </w:tc>
        <w:tc>
          <w:tcPr>
            <w:tcW w:w="2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49,526</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16,567</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Tax effect of:</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 income tax expense at statutory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1,514</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Non-deductible expenses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4,943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4,926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426</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 permanent differences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(5,563)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1,096</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Difference between U.S. federal and foreign tax rates</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(8,407)</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Provision in excess of statutory rates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955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(965)</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federal and foreign valuation allowance</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6,882</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Impairment of goodwill and acquired intangible assets</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4,460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8,149</w:t>
            </w:r>
          </w:p>
        </w:tc>
      </w:tr>
      <w:tr>
        <w:trPr>
          <w:trHeight w:val="27"/>
        </w:trPr>
        <w:tc>
          <w:tcPr>
            <w:tcW w:w="49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8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725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1,764</w:t>
            </w:r>
          </w:p>
        </w:tc>
      </w:tr>
      <w:tr>
        <w:trPr>
          <w:trHeight w:val="27"/>
        </w:trPr>
        <w:tc>
          <w:tcPr>
            <w:tcW w:w="496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income tax expense</w:t>
            </w:r>
          </w:p>
        </w:tc>
        <w:tc>
          <w:tcPr>
            <w:tcW w:w="2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40,015</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27,732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26,937</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96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702"/>
        </w:trPr>
        <w:tc>
          <w:tcPr>
            <w:tcW w:w="4960" w:type="dxa"/>
            <w:vAlign w:val="bottom"/>
          </w:tcPr>
          <w:p>
            <w:pPr>
              <w:spacing w:after="0"/>
              <w:rPr>
                <w:sz w:val="24"/>
                <w:szCs w:val="24"/>
                <w:color w:val="auto"/>
              </w:rPr>
            </w:pPr>
          </w:p>
        </w:tc>
        <w:tc>
          <w:tcPr>
            <w:tcW w:w="2160" w:type="dxa"/>
            <w:vAlign w:val="bottom"/>
          </w:tcPr>
          <w:p>
            <w:pPr>
              <w:jc w:val="right"/>
              <w:ind w:right="123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of temporary differences and carryforwards that give rise to deferred tax assets and liabilities from continuing operations are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Tax loss carryforwards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31,411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27,602</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6,950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15,493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26,280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37,221</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5,596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9,654</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Gross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104,102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110,480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(80,995)</w:t>
            </w:r>
          </w:p>
        </w:tc>
      </w:tr>
      <w:tr>
        <w:trPr>
          <w:trHeight w:val="23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54,653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29,485</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Intangibles related to purchase accounting</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(8,266)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Capitalized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(3,940)</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(2,866)</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revenue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(4,520)</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(39,201)</w:t>
            </w:r>
          </w:p>
        </w:tc>
      </w:tr>
      <w:tr>
        <w:trPr>
          <w:trHeight w:val="25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Net deferred tax liabilities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(9,716)</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Subsequently recognized tax benefits relating to the valuation allowance for deferred tax assets as of December 31, 2014 are expected to be allocated to income taxes in the Consolidated Statements of Income with the following exception. The tax benefit of net operating losses generated from share-based compensation have been excluded from the amounts disclosed for tax loss carryforwards and valuation allowance to the extent the benefit will be recognized in equity if realized. The excluded tax benefit of $25.6 million will be allocated to additional paid-in capital when utilized to offset taxable income.</w:t>
      </w:r>
    </w:p>
    <w:p>
      <w:pPr>
        <w:spacing w:after="0" w:line="1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2014, and 2013, the Company's U.S. federal and foreign tax loss carryforwards were $180.1 million and $155.8 million, respectively, and U.S. state tax loss carryforwards were $62.7 million and $56.4 million, respectively.</w:t>
      </w:r>
    </w:p>
    <w:p>
      <w:pPr>
        <w:spacing w:after="0" w:line="170"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management believes it is more likely than not the Company will only realize the benefits of these deductible differences, net of the existing valuation allowances, as of December 31,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Company had U.S. federal and foreign tax net operating loss carryforwards of $180.1 million, which will expire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Tax Effected</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495</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r>
      <w:tr>
        <w:trPr>
          <w:trHeight w:val="243"/>
        </w:trPr>
        <w:tc>
          <w:tcPr>
            <w:tcW w:w="8700" w:type="dxa"/>
            <w:vAlign w:val="bottom"/>
          </w:tcPr>
          <w:p>
            <w:pPr>
              <w:ind w:left="1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513</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137,859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43,422</w:t>
            </w: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Unlimited</w:t>
            </w: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29,822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7,369</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180,100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53,741</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Company's state tax net operating loss carryforwards of $62.7 million will expire periodically from 2015 through 2034.</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No provision has been made in the accounts as of December 31, 2014 for U.S. federal and state income taxes which would be payable if the gross undistributed earnings of the foreign subsidiaries were distributed to the Company since management has determined that the earnings are permanently reinvested. Gross undistributed earnings reinvested indefinitely in foreign subsidiaries aggregated $684.9 million as of December 31, 2014. The determination of the amount of unrecognized deferred U.S. income tax liabilities and foreign tax credits, if any, is not practicable to calculate at this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unrecognized tax benefits for the years ended December 31, 2014 and 2013 is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11,370</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5,570</w:t>
            </w: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15,028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14,242</w:t>
            </w: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2014 and 2013, approximately $10.1 million and $9.2 million, respectively, of the unrecognized tax benefits would impact the Company's provision for income taxes and effective income tax rate, if recognized. Unrecognized tax benefits of approximately $1.8 million are presented in the December 31, 2014 financial statements as a reduction to the Company's deferred tax asset for tax loss carryforwards. Total estimated accrued interest and penalties related to the underpayment of income taxes was $2.8 million and $2.2 million as of December 31, 2014 and 2013, respectively. The following income tax years remain open in the Company's major jurisdictions as of December 31,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40"/>
              <w:spacing w:after="0"/>
              <w:rPr>
                <w:sz w:val="20"/>
                <w:szCs w:val="20"/>
                <w:color w:val="auto"/>
              </w:rPr>
            </w:pPr>
            <w:r>
              <w:rPr>
                <w:rFonts w:ascii="Arial" w:cs="Arial" w:eastAsia="Arial" w:hAnsi="Arial"/>
                <w:sz w:val="18"/>
                <w:szCs w:val="18"/>
                <w:b w:val="1"/>
                <w:bCs w:val="1"/>
                <w:color w:val="auto"/>
              </w:rPr>
              <w:t>Jurisdictions</w:t>
            </w:r>
          </w:p>
        </w:tc>
        <w:tc>
          <w:tcPr>
            <w:tcW w:w="7040" w:type="dxa"/>
            <w:vAlign w:val="bottom"/>
          </w:tcPr>
          <w:p>
            <w:pPr>
              <w:ind w:left="320"/>
              <w:spacing w:after="0"/>
              <w:rPr>
                <w:sz w:val="20"/>
                <w:szCs w:val="20"/>
                <w:color w:val="auto"/>
              </w:rPr>
            </w:pPr>
            <w:r>
              <w:rPr>
                <w:rFonts w:ascii="Arial" w:cs="Arial" w:eastAsia="Arial" w:hAnsi="Arial"/>
                <w:sz w:val="18"/>
                <w:szCs w:val="18"/>
                <w:b w:val="1"/>
                <w:bCs w:val="1"/>
                <w:color w:val="auto"/>
              </w:rPr>
              <w:t>Periods</w:t>
            </w:r>
          </w:p>
        </w:tc>
      </w:tr>
      <w:tr>
        <w:trPr>
          <w:trHeight w:val="27"/>
        </w:trPr>
        <w:tc>
          <w:tcPr>
            <w:tcW w:w="1400" w:type="dxa"/>
            <w:vAlign w:val="bottom"/>
            <w:tcBorders>
              <w:bottom w:val="single" w:sz="8" w:color="auto"/>
            </w:tcBorders>
          </w:tcPr>
          <w:p>
            <w:pPr>
              <w:spacing w:after="0"/>
              <w:rPr>
                <w:sz w:val="2"/>
                <w:szCs w:val="2"/>
                <w:color w:val="auto"/>
              </w:rPr>
            </w:pPr>
          </w:p>
        </w:tc>
        <w:tc>
          <w:tcPr>
            <w:tcW w:w="7040" w:type="dxa"/>
            <w:vAlign w:val="bottom"/>
            <w:tcBorders>
              <w:bottom w:val="single" w:sz="8" w:color="auto"/>
            </w:tcBorders>
          </w:tcPr>
          <w:p>
            <w:pPr>
              <w:spacing w:after="0"/>
              <w:rPr>
                <w:sz w:val="2"/>
                <w:szCs w:val="2"/>
                <w:color w:val="auto"/>
              </w:rPr>
            </w:pPr>
          </w:p>
        </w:tc>
      </w:tr>
      <w:tr>
        <w:trPr>
          <w:trHeight w:val="244"/>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2000 through 2002, 2004 through 2006, and 2010 through 2014</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Spain</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2014</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2010 through 2014</w:t>
            </w:r>
          </w:p>
        </w:tc>
      </w:tr>
      <w:tr>
        <w:trPr>
          <w:trHeight w:val="243"/>
        </w:trPr>
        <w:tc>
          <w:tcPr>
            <w:tcW w:w="1400" w:type="dxa"/>
            <w:vAlign w:val="bottom"/>
          </w:tcPr>
          <w:p>
            <w:pPr>
              <w:ind w:left="40"/>
              <w:spacing w:after="0"/>
              <w:rPr>
                <w:sz w:val="20"/>
                <w:szCs w:val="20"/>
                <w:color w:val="auto"/>
              </w:rPr>
            </w:pPr>
            <w:r>
              <w:rPr>
                <w:rFonts w:ascii="Arial" w:cs="Arial" w:eastAsia="Arial" w:hAnsi="Arial"/>
                <w:sz w:val="18"/>
                <w:szCs w:val="18"/>
                <w:color w:val="auto"/>
              </w:rPr>
              <w:t>U.K.</w:t>
            </w:r>
          </w:p>
        </w:tc>
        <w:tc>
          <w:tcPr>
            <w:tcW w:w="7040" w:type="dxa"/>
            <w:vAlign w:val="bottom"/>
          </w:tcPr>
          <w:p>
            <w:pPr>
              <w:ind w:left="320"/>
              <w:spacing w:after="0"/>
              <w:rPr>
                <w:sz w:val="20"/>
                <w:szCs w:val="20"/>
                <w:color w:val="auto"/>
              </w:rPr>
            </w:pPr>
            <w:r>
              <w:rPr>
                <w:rFonts w:ascii="Arial" w:cs="Arial" w:eastAsia="Arial" w:hAnsi="Arial"/>
                <w:sz w:val="18"/>
                <w:szCs w:val="18"/>
                <w:color w:val="auto"/>
              </w:rPr>
              <w:t>2009 through 2014</w:t>
            </w:r>
          </w:p>
        </w:tc>
      </w:tr>
      <w:tr>
        <w:trPr>
          <w:trHeight w:val="27"/>
        </w:trPr>
        <w:tc>
          <w:tcPr>
            <w:tcW w:w="1400" w:type="dxa"/>
            <w:vAlign w:val="bottom"/>
          </w:tcPr>
          <w:p>
            <w:pPr>
              <w:spacing w:after="0"/>
              <w:rPr>
                <w:sz w:val="2"/>
                <w:szCs w:val="2"/>
                <w:color w:val="auto"/>
              </w:rPr>
            </w:pPr>
          </w:p>
        </w:tc>
        <w:tc>
          <w:tcPr>
            <w:tcW w:w="7040" w:type="dxa"/>
            <w:vAlign w:val="bottom"/>
          </w:tcPr>
          <w:p>
            <w:pPr>
              <w:spacing w:after="0"/>
              <w:rPr>
                <w:sz w:val="2"/>
                <w:szCs w:val="2"/>
                <w:color w:val="auto"/>
              </w:rPr>
            </w:pPr>
          </w:p>
        </w:tc>
      </w:tr>
      <w:tr>
        <w:trPr>
          <w:trHeight w:val="250"/>
        </w:trPr>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7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2009 through 2014</w:t>
            </w:r>
          </w:p>
        </w:tc>
      </w:tr>
      <w:tr>
        <w:trPr>
          <w:trHeight w:val="675"/>
        </w:trPr>
        <w:tc>
          <w:tcPr>
            <w:tcW w:w="1400" w:type="dxa"/>
            <w:vAlign w:val="bottom"/>
          </w:tcPr>
          <w:p>
            <w:pPr>
              <w:spacing w:after="0"/>
              <w:rPr>
                <w:sz w:val="24"/>
                <w:szCs w:val="24"/>
                <w:color w:val="auto"/>
              </w:rPr>
            </w:pPr>
          </w:p>
        </w:tc>
        <w:tc>
          <w:tcPr>
            <w:tcW w:w="7040" w:type="dxa"/>
            <w:vAlign w:val="bottom"/>
          </w:tcPr>
          <w:p>
            <w:pPr>
              <w:ind w:left="4220"/>
              <w:spacing w:after="0"/>
              <w:rPr>
                <w:sz w:val="20"/>
                <w:szCs w:val="20"/>
                <w:color w:val="auto"/>
              </w:rPr>
            </w:pPr>
            <w:r>
              <w:rPr>
                <w:rFonts w:ascii="Arial" w:cs="Arial" w:eastAsia="Arial" w:hAnsi="Arial"/>
                <w:sz w:val="18"/>
                <w:szCs w:val="18"/>
                <w:color w:val="auto"/>
              </w:rPr>
              <w:t>95</w:t>
            </w:r>
          </w:p>
        </w:tc>
      </w:tr>
    </w:tbl>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application of ASC 740-10-25 and -30 requires significant judgment in assessing the outcome of future income tax examinations and their potential impact on the Company's estimated effective income tax rate and the value of deferred tax assets, such as those related to the Company's net operating loss carryforwards. It is reasonably possible that the balance of gross unrecognized tax benefits could significantly change within the next twelve months as a result of the resolution of audit examinations and expirations of certain statutes of limitations and, accordingly, materially affect the Company's operating results. At this time, it is not possible to estimate the range of change due to the uncertainty of potential outcomes.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Valuation and Qualifying Accounts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Accounts receivable balances are stated net of allowance for doubtful accounts. Historically, the Company has not experienced significant write-offs. The Company records allowances for doubtful accounts when it is probable that the accounts receivable balance will not be collected. The following table provides a summary of the allowance for doubtful accounts balances and activity for the years ended December 31, 2014, 2013 and 2012:</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ind w:left="8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balance-allowance for doubtful accounts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14,787</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Additions-charged to expense</w:t>
            </w: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7,007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9,201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Amounts written off</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(2,889)</w:t>
            </w:r>
          </w:p>
        </w:tc>
      </w:tr>
      <w:tr>
        <w:trPr>
          <w:trHeight w:val="243"/>
        </w:trPr>
        <w:tc>
          <w:tcPr>
            <w:tcW w:w="7560" w:type="dxa"/>
            <w:vAlign w:val="bottom"/>
            <w:gridSpan w:val="2"/>
          </w:tcPr>
          <w:p>
            <w:pPr>
              <w:ind w:left="40"/>
              <w:spacing w:after="0"/>
              <w:rPr>
                <w:sz w:val="20"/>
                <w:szCs w:val="20"/>
                <w:color w:val="auto"/>
              </w:rPr>
            </w:pPr>
            <w:r>
              <w:rPr>
                <w:rFonts w:ascii="Arial" w:cs="Arial" w:eastAsia="Arial" w:hAnsi="Arial"/>
                <w:sz w:val="18"/>
                <w:szCs w:val="18"/>
                <w:color w:val="auto"/>
              </w:rPr>
              <w:t>Other (primarily changes in foreign currency exchange rates)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413</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Ending balance-allowance for doubtful accounts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20,546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22,079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21,512</w:t>
            </w: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 Plans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share-based compensation plans (“SCP”) that allow it to grant restricted shares, or options to purchase shares, of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with the Company. Certain stock option grants vest over a five-year period, subject to the achievement of pre-determined performance targets. With the exception of certain awards made to the Company's employees in Germany, awards under the SCP are settled through the issuance of new shares under the provisions of the SCP. For Company employees in Germany, certain awards are settled through the issuance of treasury shares, which also reduces the number of shares available for future issuance under the SCP. As of December 31, 2014, the Company has approximately 4.8 million in total shares remaining available for issuance under the SCP.</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Share-based compensation expense was $12.9 million, $11.5 million and $11.8 million for the years ended December 31, 2014, 2013 and 2012, respectively, and is recorded in salaries and benefits expense in the accompanying Consolidated Statements of Income. The Company recorded a tax benefit of $0.8 million, $0.6 million and $0.7 million during the years ended December 31, 2014, 2013 and 2012, respectively, for the portion of this expense that relates to foreign tax jurisdictions in which an income tax benefit is expected to be derived.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4"/>
                <w:szCs w:val="14"/>
                <w:color w:val="auto"/>
              </w:rPr>
            </w:pPr>
          </w:p>
        </w:tc>
        <w:tc>
          <w:tcPr>
            <w:tcW w:w="106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 (1,839,633 shares exercisable)</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4,067,411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377,850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55.94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(561,399)</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(96,818)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22.96</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3,787,044</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23.11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120,858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Exercisable at December 31, 2014</w:t>
            </w: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1,804,760</w:t>
            </w:r>
          </w:p>
        </w:tc>
        <w:tc>
          <w:tcPr>
            <w:tcW w:w="3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15.45</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tcPr>
          <w:p>
            <w:pPr>
              <w:jc w:val="right"/>
              <w:ind w:right="20"/>
              <w:spacing w:after="0"/>
              <w:rPr>
                <w:sz w:val="20"/>
                <w:szCs w:val="20"/>
                <w:color w:val="auto"/>
              </w:rPr>
            </w:pPr>
            <w:r>
              <w:rPr>
                <w:rFonts w:ascii="Arial" w:cs="Arial" w:eastAsia="Arial" w:hAnsi="Arial"/>
                <w:sz w:val="18"/>
                <w:szCs w:val="18"/>
                <w:color w:val="auto"/>
              </w:rPr>
              <w:t>71,192</w:t>
            </w:r>
          </w:p>
        </w:tc>
        <w:tc>
          <w:tcPr>
            <w:tcW w:w="0" w:type="dxa"/>
            <w:vAlign w:val="bottom"/>
          </w:tcPr>
          <w:p>
            <w:pPr>
              <w:spacing w:after="0"/>
              <w:rPr>
                <w:sz w:val="1"/>
                <w:szCs w:val="1"/>
                <w:color w:val="auto"/>
              </w:rPr>
            </w:pPr>
          </w:p>
        </w:tc>
      </w:tr>
      <w:tr>
        <w:trPr>
          <w:trHeight w:val="251"/>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2014</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3,567,901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117,070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Options outstanding that are expected to vest are net of estimated future forfeitures. The Company received cash of $9.1 million, $13.6 million and $5.2 million in connection with stock options exercised in the years ended December 31, 2014, 2013 and 2012, respectively. The intrinsic value of these options exercised was $18.2 million, $18.6 million and $7.4 million in the years ended December 31, 2014, 2013 and 2012, respectively. As of December 31, 2014, unrecognized compensation expense related to nonvested stock options that are expected to vest totaled $14.6 million and will be recognized over the next 5 years, with an overall weighted-average period of 3.6 years. The following table provides the fair value of options granted under the SCP during 2014, 2013 and 2012, together with a description of the assumptions used to calculate the fair value using the Black-Scholes-Merton option-pricing model: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2012</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range</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 to 1.88%</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(a)</w:t>
            </w: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7"/>
              </w:rPr>
              <w:t>0.81% to 1.03%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6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forfeitures</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26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5.5 years</w:t>
            </w:r>
          </w:p>
        </w:tc>
        <w:tc>
          <w:tcPr>
            <w:tcW w:w="44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5.4 years</w:t>
            </w:r>
          </w:p>
        </w:tc>
        <w:tc>
          <w:tcPr>
            <w:tcW w:w="220" w:type="dxa"/>
            <w:vAlign w:val="bottom"/>
          </w:tcPr>
          <w:p>
            <w:pPr>
              <w:spacing w:after="0"/>
              <w:rPr>
                <w:sz w:val="21"/>
                <w:szCs w:val="21"/>
                <w:color w:val="auto"/>
              </w:rPr>
            </w:pPr>
          </w:p>
        </w:tc>
        <w:tc>
          <w:tcPr>
            <w:tcW w:w="1440" w:type="dxa"/>
            <w:vAlign w:val="bottom"/>
          </w:tcPr>
          <w:p>
            <w:pPr>
              <w:jc w:val="right"/>
              <w:ind w:right="92"/>
              <w:spacing w:after="0"/>
              <w:rPr>
                <w:sz w:val="20"/>
                <w:szCs w:val="20"/>
                <w:color w:val="auto"/>
              </w:rPr>
            </w:pPr>
            <w:r>
              <w:rPr>
                <w:rFonts w:ascii="Arial" w:cs="Arial" w:eastAsia="Arial" w:hAnsi="Arial"/>
                <w:sz w:val="18"/>
                <w:szCs w:val="18"/>
                <w:color w:val="auto"/>
              </w:rPr>
              <w:t>5.7 years</w:t>
            </w:r>
          </w:p>
        </w:tc>
      </w:tr>
      <w:tr>
        <w:trPr>
          <w:trHeight w:val="27"/>
        </w:trPr>
        <w:tc>
          <w:tcPr>
            <w:tcW w:w="6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18.43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9.46</w:t>
            </w:r>
          </w:p>
        </w:tc>
      </w:tr>
      <w:tr>
        <w:trPr>
          <w:trHeight w:val="27"/>
        </w:trPr>
        <w:tc>
          <w:tcPr>
            <w:tcW w:w="60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(a) At the date of grant, the risk free rate for stock options awarded in 2013 was 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CCEEFF"/>
            </w:tcBorders>
          </w:tcPr>
          <w:p>
            <w:pPr>
              <w:spacing w:after="0"/>
              <w:rPr>
                <w:sz w:val="16"/>
                <w:szCs w:val="16"/>
                <w:color w:val="auto"/>
              </w:rPr>
            </w:pPr>
          </w:p>
        </w:tc>
        <w:tc>
          <w:tcPr>
            <w:tcW w:w="478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1"/>
              </w:rPr>
              <w:t>Value Per Share</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2013</w:t>
            </w:r>
          </w:p>
        </w:tc>
        <w:tc>
          <w:tcPr>
            <w:tcW w:w="60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928,988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Granted</w:t>
            </w:r>
          </w:p>
        </w:tc>
        <w:tc>
          <w:tcPr>
            <w:tcW w:w="6020" w:type="dxa"/>
            <w:vAlign w:val="bottom"/>
            <w:gridSpan w:val="2"/>
          </w:tcPr>
          <w:p>
            <w:pPr>
              <w:jc w:val="right"/>
              <w:ind w:right="48"/>
              <w:spacing w:after="0"/>
              <w:rPr>
                <w:sz w:val="20"/>
                <w:szCs w:val="20"/>
                <w:color w:val="auto"/>
              </w:rPr>
            </w:pPr>
            <w:r>
              <w:rPr>
                <w:rFonts w:ascii="Arial" w:cs="Arial" w:eastAsia="Arial" w:hAnsi="Arial"/>
                <w:sz w:val="18"/>
                <w:szCs w:val="18"/>
                <w:color w:val="auto"/>
              </w:rPr>
              <w:t>188,289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53.12</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(338,540)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43"/>
        </w:trPr>
        <w:tc>
          <w:tcPr>
            <w:tcW w:w="40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(31,421)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404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60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747,316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2930"/>
              <w:spacing w:after="0"/>
              <w:rPr>
                <w:sz w:val="20"/>
                <w:szCs w:val="20"/>
                <w:color w:val="auto"/>
              </w:rPr>
            </w:pPr>
            <w:r>
              <w:rPr>
                <w:rFonts w:ascii="Arial" w:cs="Arial" w:eastAsia="Arial" w:hAnsi="Arial"/>
                <w:sz w:val="18"/>
                <w:szCs w:val="18"/>
                <w:color w:val="auto"/>
              </w:rPr>
              <w:t>97</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fair value of shares vested in the years ended December 31, 2014, 2013 and 2012 was $14.9 million, $7.3 million and $6.9 million, respectively. As of December 31, 2014, there was $7.1 million of total unrecognized compensation cost related to unvested time-based restricted stock, which is expected to be recognized over a weighted-average period of 3.8 years. As of December 31, 2014, there was $11.1 million of total unrecognized compensation costs related to unvested performance-based restricted stock, which is expected to be recognized based on Company performance over a weighted-average period of 1.9 years. The weighted average grant date fair value of restricted stock granted during the years ended December 31, 2014, 2013 and 2012 was $53.12, $43.47 and $21.99 per share,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has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1,000,000 shares of Common Stock for purchase under the ESPP. Pursuant to the ESPP, during the years ended December 31, 2014, 2013 and 2012, the Company issued 50,470, 44,323 and 56,189 rights, respectively, to purchase shares of Common Stock at a weighted average price per share of $38.04, $25.06 and $15.42, respectively. The grant date fair value of the option to purchase shares at the lower of the closing price at the beginning or end of the quarterly period, plus the actual total discount provided, are recorded as compensation expense. Total compensation expense recorded was $0.5 million for the years ended December 31, 2014 and $0.2 million for each of the years ended December 31, 2013 and 2012. The following table provides the weighted-average fair value of the ESPP stock purchase rights during the years ended December 31, 2014, 2013 and 2012 and the assumptions used to calculate the fair value using the Black-Scholes-Merton option-pricing model:</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r>
      <w:tr>
        <w:trPr>
          <w:trHeight w:val="264"/>
        </w:trPr>
        <w:tc>
          <w:tcPr>
            <w:tcW w:w="432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2012</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 - weighted average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Volatility - range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26.6% to 43.4%</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20.9% to 29.6%</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22.6% to 35.2%</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 weighted average</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Risk-free interest rate - range</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0.05%</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0.02% to 0.08%</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0.02% to 0.10%</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5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Expected lives</w:t>
            </w:r>
          </w:p>
        </w:tc>
        <w:tc>
          <w:tcPr>
            <w:tcW w:w="1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 months</w:t>
            </w:r>
          </w:p>
        </w:tc>
        <w:tc>
          <w:tcPr>
            <w:tcW w:w="260" w:type="dxa"/>
            <w:vAlign w:val="bottom"/>
          </w:tcPr>
          <w:p>
            <w:pPr>
              <w:spacing w:after="0"/>
              <w:rPr>
                <w:sz w:val="21"/>
                <w:szCs w:val="21"/>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3 months</w:t>
            </w:r>
          </w:p>
        </w:tc>
      </w:tr>
      <w:tr>
        <w:trPr>
          <w:trHeight w:val="27"/>
        </w:trPr>
        <w:tc>
          <w:tcPr>
            <w:tcW w:w="4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w:t>
            </w:r>
          </w:p>
        </w:tc>
        <w:tc>
          <w:tcPr>
            <w:tcW w:w="1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3.63</w:t>
            </w:r>
          </w:p>
        </w:tc>
      </w:tr>
      <w:tr>
        <w:trPr>
          <w:trHeight w:val="729"/>
        </w:trPr>
        <w:tc>
          <w:tcPr>
            <w:tcW w:w="4320" w:type="dxa"/>
            <w:vAlign w:val="bottom"/>
          </w:tcPr>
          <w:p>
            <w:pPr>
              <w:spacing w:after="0"/>
              <w:rPr>
                <w:sz w:val="24"/>
                <w:szCs w:val="24"/>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 Information</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The Company currently operates in the following three reportable operating segments:</w:t>
      </w:r>
    </w:p>
    <w:p>
      <w:pPr>
        <w:spacing w:after="0" w:line="62" w:lineRule="exact"/>
        <w:rPr>
          <w:sz w:val="20"/>
          <w:szCs w:val="20"/>
          <w:color w:val="auto"/>
        </w:rPr>
      </w:pPr>
    </w:p>
    <w:p>
      <w:pPr>
        <w:ind w:left="980" w:right="20" w:hanging="648"/>
        <w:spacing w:after="0" w:line="25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cash withdrawal services, ATM network participation, outsourced ATM and POS management solutions, credit and debit card outsourcing, dynamic currency conversion and other value added services. Through this segment, the Company also offers a suite of integrated electronic financial transaction software solutions for electronic payment and transaction delivery systems.</w:t>
      </w:r>
    </w:p>
    <w:p>
      <w:pPr>
        <w:spacing w:after="0" w:line="80" w:lineRule="exact"/>
        <w:rPr>
          <w:rFonts w:ascii="Arial" w:cs="Arial" w:eastAsia="Arial" w:hAnsi="Arial"/>
          <w:sz w:val="18"/>
          <w:szCs w:val="18"/>
          <w:color w:val="auto"/>
        </w:rPr>
      </w:pPr>
    </w:p>
    <w:p>
      <w:pPr>
        <w:ind w:left="980" w:right="700" w:hanging="648"/>
        <w:spacing w:after="0" w:line="308"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Through the epay Segment, the Company provides distribution, processing and collection services for prepaid mobile airtime and other electronic payment products in Europe, the Middle East, Asia Pacific, the United States and South America.</w:t>
      </w:r>
    </w:p>
    <w:p>
      <w:pPr>
        <w:spacing w:after="0" w:line="38" w:lineRule="exact"/>
        <w:rPr>
          <w:rFonts w:ascii="Arial" w:cs="Arial" w:eastAsia="Arial" w:hAnsi="Arial"/>
          <w:sz w:val="17"/>
          <w:szCs w:val="17"/>
          <w:color w:val="auto"/>
        </w:rPr>
      </w:pPr>
    </w:p>
    <w:p>
      <w:pPr>
        <w:ind w:left="980" w:right="80" w:hanging="648"/>
        <w:spacing w:after="0" w:line="272"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and HiFX. Ria provides global consumer-to-consumer money transfer services through a network of sending agents, Company-owned stores and a Company-owned website, disbursing money transfers through a worldwide correspondent network. HiFX offers account-to-account international payment services to high-income individuals and small-to-medium sized businesses. The Company also offers customers bill payment services, payment alternatives such as money orders and prepaid debit cards, comprehensive check cashing services, foreign currency exchange services and mobile top-up. The Company provides cash management solutions and foreign currency risk management services to small-to-medium sized businesses under the brand name HiFM.</w:t>
      </w:r>
    </w:p>
    <w:p>
      <w:pPr>
        <w:spacing w:after="0" w:line="17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years ended December 31, 2014, 2013 and 2012:</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2014</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358,636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783,781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523,150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1,664,150</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607,866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1,033,479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47,148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56,402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115,419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24,251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243,220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77,305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157,265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71,455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267,315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722,711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480,409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1,505,419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91,321</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61,070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42,741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Loss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losses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141,503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390,398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754,448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837,360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2,051,559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2014</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72,749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24,859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27,528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125,307</w:t>
            </w:r>
          </w:p>
        </w:tc>
        <w:tc>
          <w:tcPr>
            <w:tcW w:w="0" w:type="dxa"/>
            <w:vAlign w:val="bottom"/>
          </w:tcPr>
          <w:p>
            <w:pPr>
              <w:spacing w:after="0"/>
              <w:rPr>
                <w:sz w:val="1"/>
                <w:szCs w:val="1"/>
                <w:color w:val="auto"/>
              </w:rPr>
            </w:pPr>
          </w:p>
        </w:tc>
      </w:tr>
      <w:tr>
        <w:trPr>
          <w:trHeight w:val="70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2013</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296,240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748,680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370,365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1,413,169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575,787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892,928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40,150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88,222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54,870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Acquisition-related contingent consideration gain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29,537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65,053</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214,890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709,219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339,270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31,379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1,294,758</w:t>
            </w:r>
          </w:p>
        </w:tc>
        <w:tc>
          <w:tcPr>
            <w:tcW w:w="0" w:type="dxa"/>
            <w:vAlign w:val="bottom"/>
          </w:tcPr>
          <w:p>
            <w:pPr>
              <w:spacing w:after="0"/>
              <w:rPr>
                <w:sz w:val="1"/>
                <w:szCs w:val="1"/>
                <w:color w:val="auto"/>
              </w:rPr>
            </w:pPr>
          </w:p>
        </w:tc>
      </w:tr>
      <w:tr>
        <w:trPr>
          <w:trHeight w:val="237"/>
        </w:trPr>
        <w:tc>
          <w:tcPr>
            <w:tcW w:w="4700" w:type="dxa"/>
            <w:vAlign w:val="bottom"/>
            <w:gridSpan w:val="2"/>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81,350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39,461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(33,495)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118,411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gains, net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Foreign currency exchange gain, net</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115,085</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Segment assets as of December 31,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347,073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757,942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472,465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20,710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1,598,190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 as of December 31,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64,972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27,176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23,768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116,230</w:t>
            </w:r>
          </w:p>
        </w:tc>
        <w:tc>
          <w:tcPr>
            <w:tcW w:w="0" w:type="dxa"/>
            <w:vAlign w:val="bottom"/>
          </w:tcPr>
          <w:p>
            <w:pPr>
              <w:spacing w:after="0"/>
              <w:rPr>
                <w:sz w:val="1"/>
                <w:szCs w:val="1"/>
                <w:color w:val="auto"/>
              </w:rPr>
            </w:pPr>
          </w:p>
        </w:tc>
      </w:tr>
      <w:tr>
        <w:trPr>
          <w:trHeight w:val="9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8"/>
          </w:tcPr>
          <w:p>
            <w:pPr>
              <w:jc w:val="center"/>
              <w:ind w:right="380"/>
              <w:spacing w:after="0"/>
              <w:rPr>
                <w:sz w:val="20"/>
                <w:szCs w:val="20"/>
                <w:color w:val="auto"/>
              </w:rPr>
            </w:pPr>
            <w:r>
              <w:rPr>
                <w:rFonts w:ascii="Arial" w:cs="Arial" w:eastAsia="Arial" w:hAnsi="Arial"/>
                <w:sz w:val="14"/>
                <w:szCs w:val="14"/>
                <w:b w:val="1"/>
                <w:bCs w:val="1"/>
                <w:color w:val="auto"/>
                <w:w w:val="92"/>
              </w:rPr>
              <w:t>For the Year Ended December 31, 2012</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Corporate</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Services,</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5"/>
              </w:rPr>
              <w:t>Processing</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3"/>
              </w:rPr>
              <w:t>and 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714,125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316,135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1,267,601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548,390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149,397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812,059</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32,784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53,399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75,540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22,332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47,673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7,778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120,575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Goodwill and acquired intangible assets impairment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28,740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19,599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193,540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694,624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291,512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29,920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1,209,596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44,408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24,623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58,005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(19,653)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from unconsolidated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43"/>
        </w:trPr>
        <w:tc>
          <w:tcPr>
            <w:tcW w:w="4700" w:type="dxa"/>
            <w:vAlign w:val="bottom"/>
            <w:gridSpan w:val="2"/>
          </w:tcPr>
          <w:p>
            <w:pPr>
              <w:ind w:left="280"/>
              <w:spacing w:after="0"/>
              <w:rPr>
                <w:sz w:val="20"/>
                <w:szCs w:val="20"/>
                <w:color w:val="auto"/>
              </w:rPr>
            </w:pPr>
            <w:r>
              <w:rPr>
                <w:rFonts w:ascii="Arial" w:cs="Arial" w:eastAsia="Arial" w:hAnsi="Arial"/>
                <w:sz w:val="18"/>
                <w:szCs w:val="18"/>
                <w:color w:val="auto"/>
              </w:rPr>
              <w:t>Other gains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Foreign currency exchange loss, net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5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47,334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Segment assets as of December 31,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231,320</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840,513</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456,085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23,722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1,551,640</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as of December 31, 2012</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115,475</w:t>
            </w:r>
          </w:p>
        </w:tc>
        <w:tc>
          <w:tcPr>
            <w:tcW w:w="0" w:type="dxa"/>
            <w:vAlign w:val="bottom"/>
          </w:tcPr>
          <w:p>
            <w:pPr>
              <w:spacing w:after="0"/>
              <w:rPr>
                <w:sz w:val="1"/>
                <w:szCs w:val="1"/>
                <w:color w:val="auto"/>
              </w:rPr>
            </w:pPr>
          </w:p>
        </w:tc>
      </w:tr>
      <w:tr>
        <w:trPr>
          <w:trHeight w:val="891"/>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revenues for the years ended December 31, 2014, 2013 and 2012, and property and equipment and total assets as of December 31, 2014 and 2013, summarized by geographic location,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Revenues</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Property and Equipment, net</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880" w:type="dxa"/>
            <w:vAlign w:val="bottom"/>
          </w:tcPr>
          <w:p>
            <w:pPr>
              <w:spacing w:after="0"/>
              <w:rPr>
                <w:sz w:val="16"/>
                <w:szCs w:val="16"/>
                <w:color w:val="auto"/>
              </w:rPr>
            </w:pPr>
          </w:p>
        </w:tc>
      </w:tr>
      <w:tr>
        <w:trPr>
          <w:trHeight w:val="276"/>
        </w:trPr>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6"/>
          </w:tcPr>
          <w:p>
            <w:pPr>
              <w:jc w:val="center"/>
              <w:ind w:left="572"/>
              <w:spacing w:after="0"/>
              <w:rPr>
                <w:sz w:val="20"/>
                <w:szCs w:val="20"/>
                <w:color w:val="auto"/>
              </w:rPr>
            </w:pPr>
            <w:r>
              <w:rPr>
                <w:rFonts w:ascii="Arial" w:cs="Arial" w:eastAsia="Arial" w:hAnsi="Arial"/>
                <w:sz w:val="14"/>
                <w:szCs w:val="14"/>
                <w:b w:val="1"/>
                <w:bCs w:val="1"/>
                <w:color w:val="auto"/>
                <w:w w:val="92"/>
              </w:rPr>
              <w:t>For the year ended December 31,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34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1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440,166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341,964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294,122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22,556</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366,280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275,115</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Germany</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389,060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336,551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276,862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362,156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366,695</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124,839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104,496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343,151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139,172</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Poland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113,837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89,873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43,063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41,907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87,976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96,160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Australia</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137,054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115,387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131,037</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72,736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59,744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52,228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2,742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49,884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40,638</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Spain</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59,949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50,047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73,884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80,196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54,765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50,178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86,780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92,055</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Greece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17,236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28,316</w:t>
            </w:r>
          </w:p>
        </w:tc>
      </w:tr>
      <w:tr>
        <w:trPr>
          <w:trHeight w:val="243"/>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New Zealand</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32,967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22,664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12,223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195,001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47,070</w:t>
            </w: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248,485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219,665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183,282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21,625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22,854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338,304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301,736</w:t>
            </w:r>
          </w:p>
        </w:tc>
      </w:tr>
      <w:tr>
        <w:trPr>
          <w:trHeight w:val="237"/>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Total foreign</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1,223,984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1,071,205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973,479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100,319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93,674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1,685,279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4"/>
              </w:rPr>
              <w:t>1,323,075</w:t>
            </w:r>
          </w:p>
        </w:tc>
      </w:tr>
      <w:tr>
        <w:trPr>
          <w:trHeight w:val="27"/>
        </w:trPr>
        <w:tc>
          <w:tcPr>
            <w:tcW w:w="1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1,664,150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1,413,169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1,267,601</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125,307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116,230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2,051,559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1,598,190</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Revenues are attributed to countries based on location of the customer, with the exception of software sales made by the Company's software subsidiary, which are attributed to the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credit risk primarily relates to trade accounts receivable and cash and cash equivalents. The EFT Processing Segment's customer base includes the most significant international card organizations and certain banks in its markets. The epay Segment's customer base is diverse and includes several major retailers and/or distributors in markets that they operate. The Money Transfer Segment trade accounts receivable are primarily due from independent agents that collect cash from customers on the Company's behalf and generally remit the cash within one week. The Company's performs ongoing evaluations of its customers' financial condition and limits the amount of credit extended, or purchases credit enhancement protection, when deemed necessary, but generally requires no collateral. See Note 14, Valuation and Qualifying Accounts, for further disclosure.</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invests excess cash not required for use in operations primarily in high credit quality, short-term duration securities that the Company believes bear minimal risk.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Fair value measurements used in the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 Unadjusted quoted prices in active markets for identical assets or liabilities.</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8" w:lineRule="exact"/>
        <w:rPr>
          <w:sz w:val="20"/>
          <w:szCs w:val="20"/>
          <w:color w:val="auto"/>
        </w:rPr>
      </w:pPr>
    </w:p>
    <w:p>
      <w:pPr>
        <w:ind w:left="660" w:right="38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measured and recorded at fair value on a recurring basis: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2014</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41,151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41,151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(36,439)</w:t>
            </w:r>
          </w:p>
        </w:tc>
      </w:tr>
      <w:tr>
        <w:trPr>
          <w:trHeight w:val="399"/>
        </w:trPr>
        <w:tc>
          <w:tcPr>
            <w:tcW w:w="35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2013</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3420" w:type="dxa"/>
            <w:vAlign w:val="bottom"/>
            <w:gridSpan w:val="2"/>
          </w:tcPr>
          <w:p>
            <w:pPr>
              <w:ind w:left="1220"/>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22"/>
                <w:szCs w:val="22"/>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2"/>
                <w:szCs w:val="22"/>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Total</w:t>
            </w:r>
          </w:p>
        </w:tc>
      </w:tr>
      <w:tr>
        <w:trPr>
          <w:trHeight w:val="243"/>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Assets</w:t>
            </w:r>
          </w:p>
        </w:tc>
        <w:tc>
          <w:tcPr>
            <w:tcW w:w="3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3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3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354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52525"/>
        </w:rPr>
        <w:t>The carrying amounts of cash and cash equivalents, trade accounts receivable, trade accounts payable and short-term debt obligations approximate fair values due to their short maturities. The carrying values of the Company’s term loan due 2019 and revolving credit agreements approximate fair values because interest is based on the London Inter-Bank Offered Rate ("LIBOR") that resets at various intervals of less than one year. The Company estimates the fair value of the convertible notes using quoted prices in inactive markets for identical liabilities (Level 2). As of December 31, 2014, the fair value of the convertible notes was $408.0 million with a carrying value of $338.0 million.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contingent consideration liability relating to the Pure Commerce acquisition was recorded at fair value using a Monte Carlo simulation. The significant unobservable inputs used in the fair value measurement of the contingent consideration liability are forecasted financial results, including estimates of future revenues, gross profit, and EBITDA (Level 3). As of the acquisition date, the fair value of the contingent consideration liability was $21.7 million. Changes in any of these inputs could result in a significantly higher or lower fair value measurement. Changes in the fair value of the contingent consideration liability are recorded as income or expense within operating income in the Company's Consolidated Statements of Income.</w:t>
      </w:r>
    </w:p>
    <w:p>
      <w:pPr>
        <w:spacing w:after="0" w:line="6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During 2013, the Company recorded a $2.4 million foreign currency exchange gain related to this contingent consideration liability as a result of fluctuations in the value of the Australian dollar against the U.S. dollar. In third quarter of 2013, the Company adjusted to fair value the contingent consideration liability based on its assessment that the performance targets for gross profit and EBITDA would not be met. As of December 31, 2013 (end of the performance period), the fair value of the contingent consideration liability is zero. The change in fair value resulted in the recognition of a $19.3 million gain.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 and acquired intangible assets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Certain assets are measured at fair value on a non-recurring basis. In connection with the annual goodwill impairment test during the fourth quarters of 2013 and 2012, the Company assessed the fair value of goodwill and recorded goodwill impairment charges related to certain of its epay reporting units of $18.4 million and $23.5 million, respectively. The fair values were determined using significant unobservable inputs (Level 3). The fair values of goodwill related to impaired reporting units were determined by calculating the implied fair values as the excess of the fair value of the respective entity over the fair value of its net assets. Further, in 2012, the Company recorded an impairment charge of acquired intangible assets of $5.2 million, specifically related to customer relationship assets in Brazil. The acquired intangible asset impairment charge was measured as the amount by which the carrying amount of the asset exceeded the fair value of the asset. No other assets were measured at fair value on a non-recurring basis during 2014, 2013, or 2012.</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Computer Software to be Sold</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Euronet engages in software development activities to continually improve the Company's core software products. The following table provides the detailed activity related to capitalized software development costs for the years ended December 31, 2014, 2013 and 2012.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balance-capitalized development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3,841</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3,908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(2,475)</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capitalized development cost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5,274</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Research and development costs expensed for the years ended December 31, 2014, 2013 and 2012 were $2.9 million, $2.4 million and $1.9 million,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Unclaimed property compliance</w:t>
      </w:r>
      <w:r>
        <w:rPr>
          <w:rFonts w:ascii="Arial" w:cs="Arial" w:eastAsia="Arial" w:hAnsi="Arial"/>
          <w:sz w:val="18"/>
          <w:szCs w:val="18"/>
          <w:color w:val="auto"/>
        </w:rPr>
        <w:t xml:space="preserve"> - In September 2013, the Company entered into a voluntary disclosure agreement (“VDA”) with the Secretary of State of the State of Delaware to determine compliance with Delaware unclaimed property laws. Types of property under examination include, but are not limited to, payroll checks, accounts payable checks and accounts receivable credits for the period 1996 through 2007. The total amount of exposure of this contingency is dependent upon the manner in which the State of Delaware applies its unclaimed property laws. The Company does not expect the outcome of this matter to have a material adverse effect on the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From time to time, the Company is a party to legal and regulatory proceedings arising in the ordinary course of its business. Currently, there are no legal proceedings or regulatory findings that management believes, either individually or in the aggregate, would have a material adverse effect upon the consolidated financial statements of the Company.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December 31, 2014, the Company had $101.7 million of stand-by letters of credit/bank guarantees issued on its behalf, of which $4.2 million are collateralized by cash deposits held by the respective issuing banks.</w:t>
      </w:r>
    </w:p>
    <w:p>
      <w:pPr>
        <w:spacing w:after="0" w:line="6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Under certain circumstances, the Company grants guarantees in support of obligations of subsidiaries. As of December 31, 2014, the Company granted off balance sheet guarantees for cash in various ATM networks amounting to $15.0 million over the terms of the cash supply agreements and performance guarantees amounting to approximately $25.8 million over the terms of the agreements with the customers.</w:t>
      </w:r>
    </w:p>
    <w:p>
      <w:pPr>
        <w:spacing w:after="0" w:line="16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Each of the Company's subsidiaries, once they reach a certain size, is required under the Credit Facility to provide a guarantee of all or a portion of the outstanding obligations under the Credit Facility depending upon whether the subsidiary is a domestic or foreign entity.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time to time, the Company enters into agreements with unaffiliated 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980" w:right="260" w:hanging="648"/>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that, generally, is not recorded on the Company’s Consolidated Balance Sheets. As of December 31, 2014, the balance of ATM network cash for which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37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Company was responsible was approximately $471 million. The Company maintains insurance policies to mitigate this exposure;</w:t>
      </w:r>
    </w:p>
    <w:p>
      <w:pPr>
        <w:spacing w:after="0" w:line="131" w:lineRule="exact"/>
        <w:rPr>
          <w:sz w:val="20"/>
          <w:szCs w:val="20"/>
          <w:color w:val="auto"/>
        </w:rPr>
      </w:pPr>
    </w:p>
    <w:p>
      <w:pPr>
        <w:ind w:left="980" w:right="140" w:hanging="648"/>
        <w:spacing w:after="0" w:line="312"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38" w:lineRule="exact"/>
        <w:rPr>
          <w:rFonts w:ascii="Arial" w:cs="Arial" w:eastAsia="Arial" w:hAnsi="Arial"/>
          <w:sz w:val="16"/>
          <w:szCs w:val="16"/>
          <w:color w:val="auto"/>
        </w:rPr>
      </w:pPr>
    </w:p>
    <w:p>
      <w:pPr>
        <w:ind w:left="98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color w:val="auto"/>
        </w:rPr>
      </w:pPr>
    </w:p>
    <w:p>
      <w:pPr>
        <w:ind w:left="980" w:right="6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color w:val="auto"/>
        </w:rPr>
      </w:pPr>
    </w:p>
    <w:p>
      <w:pPr>
        <w:ind w:left="980" w:right="200" w:hanging="648"/>
        <w:spacing w:after="0" w:line="255"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81" w:lineRule="exact"/>
        <w:rPr>
          <w:rFonts w:ascii="Arial" w:cs="Arial" w:eastAsia="Arial" w:hAnsi="Arial"/>
          <w:sz w:val="18"/>
          <w:szCs w:val="18"/>
          <w:color w:val="auto"/>
        </w:rPr>
      </w:pPr>
    </w:p>
    <w:p>
      <w:pPr>
        <w:ind w:left="980" w:right="20" w:hanging="648"/>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December 31, 2014 or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22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 Company leases airplanes from companies partially owned by Mr. Michael J. Brown, Euronet's Chief Executive Officer, President and Chairman of the Board of Directors. The airplanes are leased for business use on a per flight hour basis with no minimum usage requirement. Euronet incurred expenses of $0.4 million, $0.3 million and $0.2 million during the years ended December 31, 2014, 2013 and 2012, respectively, for the use of these airplanes.</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November 29, 2012, the Company entered into a stock purchase agreement with West Side Investment Management, Inc., a subsidiary of DST Systems, Inc. (“DST”). Pursuant to the terms of the agreement, the Company purchased from DST 1,884,597 shares outstanding of the Company's Common Stock for $41.0 million. The Company used proceeds available under its revolving credit agreement to complete the purchase. Mr. Thomas A. McDonnell has served as a director of the Company and DST since 1996 and 1972, respectively. Mr. McDonnell recused himself during the negotiations and approval of the agreement.</w:t>
      </w:r>
    </w:p>
    <w:p>
      <w:pPr>
        <w:spacing w:after="0" w:line="24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In June 2014, the Company signed an ATM operating agreement with Rontec Ltd., a U.K. company in which Gerald Ronson holds a majority of the shares. Mr. Ronson is the father-in-law of Paul Althasen, one of the Company's directors. This is a commercial agreement under which the Company leases ATM sites from Rontec Ltd. at rates which it considers to be competitive commercial rates. The Company paid $0.1 million under this agreement in 2014.</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Index to Consolidated Financial Statements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Selected Quarter Data (Unaudited)</w:t>
      </w:r>
    </w:p>
    <w:p>
      <w:pPr>
        <w:spacing w:after="0" w:line="234"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First Quarter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Second Quarter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Fourth Quarter</w:t>
            </w: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2014</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353,315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395,462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453,422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461,951</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49,489</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15,933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20,488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34,909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30,158</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30,087</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0.58</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0.55</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 the Year Ended December 31, 2013</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Revenues</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335,644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341,543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360,580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375,402</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16,108</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12,060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18,165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47,974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9,154</w:t>
            </w: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Euronet Worldwide, Inc.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9,995</w:t>
            </w:r>
          </w:p>
        </w:tc>
      </w:tr>
      <w:tr>
        <w:trPr>
          <w:trHeight w:val="243"/>
        </w:trPr>
        <w:tc>
          <w:tcPr>
            <w:tcW w:w="5420" w:type="dxa"/>
            <w:vAlign w:val="bottom"/>
            <w:gridSpan w:val="2"/>
          </w:tcPr>
          <w:p>
            <w:pPr>
              <w:ind w:left="160"/>
              <w:spacing w:after="0"/>
              <w:rPr>
                <w:sz w:val="20"/>
                <w:szCs w:val="20"/>
                <w:color w:val="auto"/>
              </w:rPr>
            </w:pPr>
            <w:r>
              <w:rPr>
                <w:rFonts w:ascii="Arial" w:cs="Arial" w:eastAsia="Arial" w:hAnsi="Arial"/>
                <w:sz w:val="18"/>
                <w:szCs w:val="18"/>
                <w:color w:val="auto"/>
              </w:rPr>
              <w:t>Earnings per common share:</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46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0.20</w:t>
            </w:r>
          </w:p>
        </w:tc>
      </w:tr>
      <w:tr>
        <w:trPr>
          <w:trHeight w:val="243"/>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Diluted</w:t>
            </w:r>
          </w:p>
        </w:tc>
        <w:tc>
          <w:tcPr>
            <w:tcW w:w="460" w:type="dxa"/>
            <w:vAlign w:val="bottom"/>
          </w:tcPr>
          <w:p>
            <w:pPr>
              <w:jc w:val="right"/>
              <w:ind w:right="251"/>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0.19</w:t>
            </w:r>
          </w:p>
        </w:tc>
      </w:tr>
      <w:tr>
        <w:trPr>
          <w:trHeight w:val="756"/>
        </w:trPr>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31"/>
              <w:spacing w:after="0"/>
              <w:rPr>
                <w:sz w:val="20"/>
                <w:szCs w:val="20"/>
                <w:color w:val="auto"/>
              </w:rPr>
            </w:pPr>
            <w:r>
              <w:rPr>
                <w:rFonts w:ascii="Arial" w:cs="Arial" w:eastAsia="Arial" w:hAnsi="Arial"/>
                <w:sz w:val="18"/>
                <w:szCs w:val="18"/>
                <w:color w:val="auto"/>
              </w:rPr>
              <w:t>107</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360"/>
          </w:cols>
          <w:pgMar w:left="240" w:top="125" w:right="2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December 31, 2014.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fourth quarter of 2014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Euronet Worldwide, Inc.:</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Management is responsible for establishing and maintaining an effective internal control over financial reporting as this term is defined under Rule 13a-15(f) of the Securities Exchange Act of 1934 and has made organizational arrangements providing appropriate divisions of responsibility and has established communication programs aimed at assuring that its policies, procedures and principles of business conduct are understood and practiced by its employees.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3"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Management of Euronet Worldwide, Inc. assessed the effectiveness of the Company's internal control over financial reporting as of December 31, 2014. In making this assessment, it used the criteria set forth by the Committee of Sponsoring Organizations of the Treadway Commission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(2013). Management has excluded HiFX from our assessment of internal control over financial reporting, which was acquired in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business combination during 2014 and whose total assets represent $367.4 million of the Company's consolidated total assets as of December 31, 2014 and $38.1 million of total revenues for the year ended December 31, 2014. Based on these criteria and our assessment, we have determined that, as of December 31, 2014, the Company's internal control over financial reporting was effective.</w:t>
      </w:r>
    </w:p>
    <w:p>
      <w:pPr>
        <w:spacing w:after="0" w:line="16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2014, has been audited by KPMG LLP, an independent registered public accounting firm, as stated in their audit report, included herein.</w:t>
      </w:r>
    </w:p>
    <w:p>
      <w:pPr>
        <w:spacing w:after="0" w:line="333"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78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80"/>
        <w:spacing w:after="0"/>
        <w:rPr>
          <w:sz w:val="20"/>
          <w:szCs w:val="20"/>
          <w:color w:val="auto"/>
        </w:rPr>
      </w:pPr>
      <w:r>
        <w:rPr>
          <w:rFonts w:ascii="Arial" w:cs="Arial" w:eastAsia="Arial" w:hAnsi="Arial"/>
          <w:sz w:val="18"/>
          <w:szCs w:val="18"/>
          <w:b w:val="1"/>
          <w:bCs w:val="1"/>
          <w:color w:val="auto"/>
        </w:rPr>
        <w:t>Chief Financial Officer and Chief Accounting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125" w:right="25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information under “Election of Directors,” “Section 16(a) Beneficial Ownership Reporting Compliance” and “Meetings and Committees of the Board of Directors” in the Proxy Statement for the 2015 Annual Meeting of Stockholders, which will be filed with the Securities and Exchange Commission no later than 120 days after December 31, 2014, is incorporated herein by reference. Information concerning our Code of Business Conduct and Ethics for our employees, including our Chief Executive Officer and Chief Financial Officer, is set forth under “Availability of Reports, Certain Committee Charters, and Other Information” in Part I of this annual report on Form 10-K and incorporated herein by reference. Information concerning executive officers is set forth under “Executive Officers of the Registrant” in Part I of this Annual Report on Form 10-K and incorporated herein by reference.</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Ethics and any waiver from a provision of our Code of Ethics by disclosing such information on a Form 8-K or on our Website at www.euronetworldwide.com under Investor Relations/Corporate Governance.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under “Compensation Tables,” “Compensation Discussion and Analysis,” “Director Compensation,” “Report of Compensation Committee” and “Compensation Committee Interlocks and Insider Participation” in the Proxy Statement for the 2015 Annual Meeting of Stockholders, which will be filed with the Securities and Exchange Commission no later than 120 days after December 31, 2014, is incorporated herein by reference.</w:t>
      </w: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under “Beneficial Ownership of Common Stock” and “Election of Directors” in the Proxy Statement for the 2015 Annual Meeting of Stockholders, which will be filed with the Securities and Exchange Commission no later than 120 days after December 31, 2014, is incorporated herein by reference. The information in Part II, Item 5, "Market for Registrant's Common Equity, Related Stockholder Matters and Issuer Purchase of Equity Securities - Equity Compensation Plan Table" is incorporated herein by reference.</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information under “Certain Relationships and Related Transactions and Director Independence” in the Proxy Statement for the 2015 Annual Meeting of Stockholders, which will be filed with the Securities and Exchange Commission no later than 120 days after December 31, 2014, is incorporated herein by reference.</w:t>
      </w: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information under “Audit Matters - Fees of the Company's Independent Auditors” and - "Audit Matters - Audit Committee Pre-Approval Policy" in the Proxy Statement for the 2015 Annual Meeting of Stockholders, which will be filed with the Securities and Exchange Commission no later than 120 days after December 31, 2014,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125"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300" w:hanging="278"/>
        <w:spacing w:after="0"/>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25" w:lineRule="exact"/>
        <w:rPr>
          <w:rFonts w:ascii="Arial" w:cs="Arial" w:eastAsia="Arial" w:hAnsi="Arial"/>
          <w:sz w:val="18"/>
          <w:szCs w:val="18"/>
          <w:color w:val="auto"/>
        </w:rPr>
      </w:pPr>
    </w:p>
    <w:p>
      <w:pPr>
        <w:ind w:left="440" w:hanging="189"/>
        <w:spacing w:after="0"/>
        <w:tabs>
          <w:tab w:leader="none" w:pos="440" w:val="left"/>
        </w:tabs>
        <w:numPr>
          <w:ilvl w:val="1"/>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w:t>
      </w:r>
    </w:p>
    <w:p>
      <w:pPr>
        <w:spacing w:after="0" w:line="225"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color w:val="auto"/>
        </w:rPr>
        <w:t>The Consolidated Financial Statements and related notes, together with the report of KPMG LLP, appear in Part II, Item 8 - Financial Statements and Supplementary Data, of this Form 10-K.</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 Schedules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3. Exhibits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exhibits that are required to be filed or incorporated by reference herein are listed in the Exhibit Index below.</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10260" w:type="dxa"/>
            <w:vAlign w:val="bottom"/>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552"/>
        </w:trPr>
        <w:tc>
          <w:tcPr>
            <w:tcW w:w="10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24"/>
                <w:szCs w:val="24"/>
                <w:color w:val="auto"/>
              </w:rPr>
            </w:pPr>
          </w:p>
        </w:tc>
        <w:tc>
          <w:tcPr>
            <w:tcW w:w="10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Share Purchase Agreement, dated as of March 7, 2014, among Euronet Worldwide, Inc. and the Sellers referenced therein.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2.1 to the Company's Current Report on Form 8-K filed on March 11, 2014 (File No. 001-31648) and incorporated herein by reference). (4)</w:t>
            </w:r>
          </w:p>
        </w:tc>
      </w:tr>
      <w:tr>
        <w:trPr>
          <w:trHeight w:val="526"/>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Certificate of Incorporation of Euronet Worldwide, Inc., as amended (filed as Exhibit 3.2 to the Company's Current Report on Form 8-K filed</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May 22, 2009 (File No. 001-31648) and incorporated by reference herein)</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4"/>
              </w:rPr>
              <w:t>Certificate of Amendment to Certificate of Incorporation of Euronet Worldwide, Inc. (filed as Exhibit 3.1 to the Company's Current Report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on Form 8-K filed on May 22, 2009 (File No. 001-31648) and incorporated by reference herein)</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Certificate of Designations, Preferences and Rights of Series A Junior Participating Preferred Stock (filed as Exhibit</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5"/>
              </w:rPr>
              <w:t>3.1 to the Company's Current Report on Form 8-K filed on March 29, 2013 (File No. 001-31648), and incorporated herein 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Amended and Restated Bylaws of Euronet Worldwide, Inc. (filed as Exhibit 3.1 to the Company's Current Report on Form 8-K filed on April</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19, 2013 (File No. 001-31648), and incorporated herein 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1"/>
              </w:rPr>
              <w:t>Rights Agreement, dated as of March 26, 2013, between Euronet Worldwide, Inc. and Computershare Trust Company, N.A., as Rights Agent</w:t>
            </w: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3"/>
              </w:rPr>
              <w:t>(filed as Exhibit 4.1 to the Company's Current Report on Form 8-K filed on March 29, 2013 (File No. 001-31648), and incorporated herein</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by reference)</w:t>
            </w:r>
          </w:p>
        </w:tc>
      </w:tr>
      <w:tr>
        <w:trPr>
          <w:trHeight w:val="580"/>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6"/>
              </w:rPr>
              <w:t>Indenture, dated November 5, 2014, between the Company and U.S. Bank National Association, as trustee (filed as Exhibit 4.1 to the</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Company's Current Report on Form 8-K filed on November 5, 2014 (File No. 001-31648), and incorporated herein by reference)</w:t>
            </w:r>
          </w:p>
        </w:tc>
      </w:tr>
      <w:tr>
        <w:trPr>
          <w:trHeight w:val="594"/>
        </w:trPr>
        <w:tc>
          <w:tcPr>
            <w:tcW w:w="1040" w:type="dxa"/>
            <w:vAlign w:val="bottom"/>
          </w:tcPr>
          <w:p>
            <w:pPr>
              <w:jc w:val="right"/>
              <w:ind w:right="692"/>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1.50% Convertible Senior Note due 2044 (included as Exhibit A to Exhibit 4.2 above)</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Euronet Worldwide, Inc. 2002 Stock Incentive Plan (Amended and Restated) (included as Appendix B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20, 2004 (File No. 000-22167),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Rules and Procedures for Euronet Matching Stock Option Grant Program (filed as Exhibit 10.3 to Company's Form 10-Q filed on November</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14, 2002 (File No. 000-22167)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Grant Agreement pursuant to Euronet Worldwide, Inc. 2006 Stock Incentive Plan (filed as Exhibit 10.8</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to the Company's Quarterly Report on Form 10-Q filed on August 4, 2006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10.4</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Form of Employee Restricted Stock Unit Agreement for Executives and Directors pursuant to Euronet Worldwide, Inc. 2006 Stock Incentive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Plan (filed as Exhibit 10.39 to the Company's Annual Report on Form 10- K filed February 28, 2007 (File No. 001-31648), and incorporated</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10.5</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Employment Agreement dated June 19, 2007 between Euronet Worldwide, Inc. and Kevin J. Caponecchi (filed as Exhibit 10.1 to the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Company's Current Report on Form 8-K filed on June 25, 2007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10.6</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Euronet Worldwide, Inc. Executive Annual Incentive Plan (filed as Appendix 2 to the Company's Definitive Proxy Statement filed on April</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12,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10520" w:type="dxa"/>
            <w:vAlign w:val="bottom"/>
          </w:tcPr>
          <w:p>
            <w:pPr>
              <w:ind w:left="360"/>
              <w:spacing w:after="0"/>
              <w:rPr>
                <w:sz w:val="20"/>
                <w:szCs w:val="20"/>
                <w:color w:val="auto"/>
              </w:rPr>
            </w:pPr>
            <w:r>
              <w:rPr>
                <w:rFonts w:ascii="Arial" w:cs="Arial" w:eastAsia="Arial" w:hAnsi="Arial"/>
                <w:sz w:val="18"/>
                <w:szCs w:val="18"/>
                <w:color w:val="auto"/>
                <w:w w:val="93"/>
              </w:rPr>
              <w:t>Amended and Restated Employment Agreement dated April 10, 2008 between Euronet Worldwide, Inc. and Michael J. Brown, Chairman</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and Chief Executive Officer (filed as Exhibit 10.3 to the Company's Quarterly Report on Form 10-Q filed on May 9, 2008 (File No. 001-</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Amended and Restated Employment Agreement dated April 10, 2008 between Euronet Worldwide, Inc. and Rick L. Weller,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President and Chief Financial Officer (filed as Exhibit 10.4 to the Company's Quarterly Report on Form 10-Q filed on May 9, 2008 (File No.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10.9</w:t>
            </w: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Amended and Restated Employment Agreement dated April 10, 2008 between Euronet Worldwide, Inc. and Jeffrey B. Newman, Executive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Vice President and General Counsel (filed as Exhibit 10.5 to the Company's Quarterly Report on Form 10-Q filed on May 9, 2008 (File No.</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520" w:type="dxa"/>
            <w:vAlign w:val="bottom"/>
          </w:tcPr>
          <w:p>
            <w:pPr>
              <w:ind w:left="360"/>
              <w:spacing w:after="0"/>
              <w:rPr>
                <w:sz w:val="20"/>
                <w:szCs w:val="20"/>
                <w:color w:val="auto"/>
              </w:rPr>
            </w:pPr>
            <w:r>
              <w:rPr>
                <w:rFonts w:ascii="Arial" w:cs="Arial" w:eastAsia="Arial" w:hAnsi="Arial"/>
                <w:sz w:val="18"/>
                <w:szCs w:val="18"/>
                <w:color w:val="auto"/>
                <w:w w:val="90"/>
              </w:rPr>
              <w:t>Amended and Restated Employment Agreement dated April 10, 2008 between Euronet Worldwide, Inc. and Juan C. Bianchi, Executive Vice</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1"/>
              </w:rPr>
              <w:t>President and Managing Director, Money Transfer Segment (filed as Exhibit 10.6 to the Company's Quarterly Report on Form 10-Q filed on</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May 9, 2008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Indemnification Agreement, (filed as Exhibit 10.1 to the Company's Current Report on Form 8-K filed on December 22, 2008 (File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520" w:type="dxa"/>
            <w:vAlign w:val="bottom"/>
          </w:tcPr>
          <w:p>
            <w:pPr>
              <w:ind w:left="360"/>
              <w:spacing w:after="0"/>
              <w:rPr>
                <w:sz w:val="20"/>
                <w:szCs w:val="20"/>
                <w:color w:val="auto"/>
              </w:rPr>
            </w:pPr>
            <w:r>
              <w:rPr>
                <w:rFonts w:ascii="Arial" w:cs="Arial" w:eastAsia="Arial" w:hAnsi="Arial"/>
                <w:sz w:val="18"/>
                <w:szCs w:val="18"/>
                <w:color w:val="auto"/>
                <w:w w:val="95"/>
              </w:rPr>
              <w:t>Euronet Worldwide, Inc. 2006 Stock Incentive Plan, as amended and restated (filed as Appendix A to the Company's Definitive Proxy</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Statement filed on April 15, 2013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520" w:type="dxa"/>
            <w:vAlign w:val="bottom"/>
          </w:tcPr>
          <w:p>
            <w:pPr>
              <w:ind w:left="360"/>
              <w:spacing w:after="0"/>
              <w:rPr>
                <w:sz w:val="20"/>
                <w:szCs w:val="20"/>
                <w:color w:val="auto"/>
              </w:rPr>
            </w:pPr>
            <w:r>
              <w:rPr>
                <w:rFonts w:ascii="Arial" w:cs="Arial" w:eastAsia="Arial" w:hAnsi="Arial"/>
                <w:sz w:val="18"/>
                <w:szCs w:val="18"/>
                <w:color w:val="auto"/>
                <w:w w:val="92"/>
              </w:rPr>
              <w:t>Form of Employee Restricted Stock Unit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10.1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520" w:type="dxa"/>
            <w:vAlign w:val="bottom"/>
          </w:tcPr>
          <w:p>
            <w:pPr>
              <w:ind w:left="360"/>
              <w:spacing w:after="0"/>
              <w:rPr>
                <w:sz w:val="20"/>
                <w:szCs w:val="20"/>
                <w:color w:val="auto"/>
              </w:rPr>
            </w:pPr>
            <w:r>
              <w:rPr>
                <w:rFonts w:ascii="Arial" w:cs="Arial" w:eastAsia="Arial" w:hAnsi="Arial"/>
                <w:sz w:val="18"/>
                <w:szCs w:val="18"/>
                <w:color w:val="auto"/>
                <w:w w:val="96"/>
              </w:rPr>
              <w:t>Form of Nonqualified Stock Option Agreement, as amended, pursuant to Euronet Worldwide, Inc. 2006 Stock Incentive Plan (filed as</w:t>
            </w:r>
          </w:p>
        </w:tc>
      </w:tr>
      <w:tr>
        <w:trPr>
          <w:trHeight w:val="216"/>
        </w:trPr>
        <w:tc>
          <w:tcPr>
            <w:tcW w:w="780" w:type="dxa"/>
            <w:vAlign w:val="bottom"/>
          </w:tcPr>
          <w:p>
            <w:pPr>
              <w:spacing w:after="0"/>
              <w:rPr>
                <w:sz w:val="18"/>
                <w:szCs w:val="18"/>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w w:val="94"/>
              </w:rPr>
              <w:t>Exhibit 10.2 to the Company's Quarterly Report on Form 10-Q filed on May 7, 2010 (File No. 001-31648) and incorporated by reference</w:t>
            </w:r>
          </w:p>
        </w:tc>
      </w:tr>
      <w:tr>
        <w:trPr>
          <w:trHeight w:val="230"/>
        </w:trPr>
        <w:tc>
          <w:tcPr>
            <w:tcW w:w="780" w:type="dxa"/>
            <w:vAlign w:val="bottom"/>
          </w:tcPr>
          <w:p>
            <w:pPr>
              <w:spacing w:after="0"/>
              <w:rPr>
                <w:sz w:val="20"/>
                <w:szCs w:val="20"/>
                <w:color w:val="auto"/>
              </w:rPr>
            </w:pPr>
          </w:p>
        </w:tc>
        <w:tc>
          <w:tcPr>
            <w:tcW w:w="10520" w:type="dxa"/>
            <w:vAlign w:val="bottom"/>
          </w:tcPr>
          <w:p>
            <w:pPr>
              <w:ind w:left="360"/>
              <w:spacing w:after="0"/>
              <w:rPr>
                <w:sz w:val="20"/>
                <w:szCs w:val="20"/>
                <w:color w:val="auto"/>
              </w:rPr>
            </w:pPr>
            <w:r>
              <w:rPr>
                <w:rFonts w:ascii="Arial" w:cs="Arial" w:eastAsia="Arial" w:hAnsi="Arial"/>
                <w:sz w:val="18"/>
                <w:szCs w:val="18"/>
                <w:color w:val="auto"/>
              </w:rPr>
              <w:t>herein) (2)</w:t>
            </w:r>
          </w:p>
        </w:tc>
      </w:tr>
    </w:tbl>
    <w:p>
      <w:pPr>
        <w:spacing w:after="0" w:line="200" w:lineRule="exact"/>
        <w:rPr>
          <w:sz w:val="20"/>
          <w:szCs w:val="20"/>
          <w:color w:val="auto"/>
        </w:rPr>
      </w:pPr>
    </w:p>
    <w:p>
      <w:pPr>
        <w:sectPr>
          <w:pgSz w:w="11900" w:h="16838" w:orient="portrait"/>
          <w:cols w:equalWidth="0" w:num="1">
            <w:col w:w="11340"/>
          </w:cols>
          <w:pgMar w:left="240" w:top="125" w:right="319" w:bottom="1440" w:gutter="0" w:footer="0" w:header="0"/>
        </w:sect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340"/>
          </w:cols>
          <w:pgMar w:left="240" w:top="125" w:right="319" w:bottom="1440" w:gutter="0" w:footer="0" w:header="0"/>
          <w:type w:val="continuous"/>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Employee Stock Purchase Plan, as amended (filed as Exhibit 10.22 to the Company's Annual Report on Form 10-K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February 25,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Euronet Worldwide, Inc. Long-Term Incentive Stock Option Plan (1996), as amended (filed as Exhibit 10.23 to the Company's Annual</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Report on Form 10-K filed on February 25, 2011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Euronet Worldwide, Inc. Stock Option Plan (1998), as amended (filed as Exhibit 10.24 to the Company's Annual Report on Form 10-K filed</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on February 25,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Employment Agreement dated February 24, 2011 between Euronet Card Services SA and Nikos Fountas, Senior Vice President - Managing</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Director, Europe EFT Processing Segment (filed as Exhibit 10.25 to the Company's Annual Report on Form 10-K filed on February 25, 2011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Bonus Compensation Agreement between Euronet Worldwide, Inc. and Nikos Fountas, Senior Vice President - Managing Director, Europe</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EFT Processing Segment (filed as Exhibit 10.26 to the Company's Annual Report on Form 10-K filed on February 25, 2011 (File No. 001-</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Euronet Worldwide, Inc. Employee Stock Purchase Plan, as amended (filed as Exhibit 10.1 to the Company's Quarterly Report on Form 10-Q</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4,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10.21</w:t>
            </w:r>
          </w:p>
        </w:tc>
        <w:tc>
          <w:tcPr>
            <w:tcW w:w="10560" w:type="dxa"/>
            <w:vAlign w:val="bottom"/>
          </w:tcPr>
          <w:p>
            <w:pPr>
              <w:ind w:left="360"/>
              <w:spacing w:after="0"/>
              <w:rPr>
                <w:sz w:val="20"/>
                <w:szCs w:val="20"/>
                <w:color w:val="auto"/>
              </w:rPr>
            </w:pPr>
            <w:r>
              <w:rPr>
                <w:rFonts w:ascii="Arial" w:cs="Arial" w:eastAsia="Arial" w:hAnsi="Arial"/>
                <w:sz w:val="18"/>
                <w:szCs w:val="18"/>
                <w:color w:val="auto"/>
                <w:w w:val="91"/>
              </w:rPr>
              <w:t>Euronet Worldwide, Inc. Executive Annual Incentive Plan, as amended (filed as Exhibit 10.2 to the Company's Quarterly Report on Form 10-</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Q filed on August 4, 2011 (File No. 001-31648) and incorporated by reference herein) (2)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Amended and Restated Credit Agreement dated as of August 18, 2011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Affiliates, as Borrowers, certain Subsidiaries and Affiliates as Guarantors, the Lenders Party Hereto, Bank of America, N.A., as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Administrative Agent and Collateral Agent, U.S. Bank National Association, as Syndication Agent and Bank of Montreal, BBVA Compass</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Bank, Keybank National Association, as Co-Documentation Agents (filed as Exhibit 10.1 to the Company's Current Report on Form 8-K</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filed on August 23, 2011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60"/>
              <w:spacing w:after="0"/>
              <w:rPr>
                <w:sz w:val="20"/>
                <w:szCs w:val="20"/>
                <w:color w:val="auto"/>
              </w:rPr>
            </w:pPr>
            <w:r>
              <w:rPr>
                <w:rFonts w:ascii="Arial" w:cs="Arial" w:eastAsia="Arial" w:hAnsi="Arial"/>
                <w:sz w:val="18"/>
                <w:szCs w:val="18"/>
                <w:color w:val="auto"/>
                <w:w w:val="95"/>
              </w:rPr>
              <w:t>Commitment Increase Agreement, dated as of October 11, 2012 by and among Euronet Worldwide, Inc., and certain Subsidiaries and</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Affiliates, as Borrowers under the Master Revolving Commitments, certain Subsidiaries and Affiliates as Guarantors, the Incremental</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Commitment Lenders, and Bank of America, N.A., as Administrative Agent (filed as Exhibit 10.1 to the Company's Current Report on Form</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8-K filed on October 15, 2012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Stock Purchase Agreement dated November 29, 2012, between Euronet Worldwide, Inc. and West Side Investment Management, Inc., 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3"/>
              </w:rPr>
              <w:t>subsidiary of DST Systems, Inc. (filed as Exhibit 10.1 to the Company's Current Report on Form 8-K filed on December 3, 2012 (File No.</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10.25</w:t>
            </w:r>
          </w:p>
        </w:tc>
        <w:tc>
          <w:tcPr>
            <w:tcW w:w="10560" w:type="dxa"/>
            <w:vAlign w:val="bottom"/>
          </w:tcPr>
          <w:p>
            <w:pPr>
              <w:ind w:left="360"/>
              <w:spacing w:after="0"/>
              <w:rPr>
                <w:sz w:val="20"/>
                <w:szCs w:val="20"/>
                <w:color w:val="auto"/>
              </w:rPr>
            </w:pPr>
            <w:r>
              <w:rPr>
                <w:rFonts w:ascii="Arial" w:cs="Arial" w:eastAsia="Arial" w:hAnsi="Arial"/>
                <w:sz w:val="18"/>
                <w:szCs w:val="18"/>
                <w:color w:val="auto"/>
                <w:w w:val="96"/>
              </w:rPr>
              <w:t>Amendment No. 1 dated April 9, 2014, to the Amended and Restated Credit Agreement dated as of August 18, 2011 among Euronet</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Worldwide, Inc., and certain Subsidiaries and Affiliates, as Borrowers, certain Subsidiaries and Affiliates as Guarantors, the Lenders, Bank</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9"/>
              </w:rPr>
              <w:t>of America, N.A., as Administrative Agent and Collateral Agent, U.S. Bank National Association, BMO Capital Markets and BBVA</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2"/>
              </w:rPr>
              <w:t>Compass Bank, as Syndication Agent and Wells Fargo as Documentation Agent (filed as Exhibit 10.1 to the Company's Annual Report on</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Form 10-Q filed on May 2, 2014 (File No. 001-31648) and incorporated by reference herein)</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10.26</w:t>
            </w:r>
          </w:p>
        </w:tc>
        <w:tc>
          <w:tcPr>
            <w:tcW w:w="10560" w:type="dxa"/>
            <w:vAlign w:val="bottom"/>
          </w:tcPr>
          <w:p>
            <w:pPr>
              <w:ind w:left="360"/>
              <w:spacing w:after="0"/>
              <w:rPr>
                <w:sz w:val="20"/>
                <w:szCs w:val="20"/>
                <w:color w:val="auto"/>
              </w:rPr>
            </w:pPr>
            <w:r>
              <w:rPr>
                <w:rFonts w:ascii="Arial" w:cs="Arial" w:eastAsia="Arial" w:hAnsi="Arial"/>
                <w:sz w:val="18"/>
                <w:szCs w:val="18"/>
                <w:color w:val="auto"/>
                <w:w w:val="90"/>
              </w:rPr>
              <w:t>Purchase Agreement, dated October 30, 2014, among the Company and Merrill Lynch, Pierce, Fenner &amp; Smith Incorporated and Wells Fargo</w:t>
            </w:r>
          </w:p>
        </w:tc>
      </w:tr>
      <w:tr>
        <w:trPr>
          <w:trHeight w:val="216"/>
        </w:trPr>
        <w:tc>
          <w:tcPr>
            <w:tcW w:w="780" w:type="dxa"/>
            <w:vAlign w:val="bottom"/>
          </w:tcPr>
          <w:p>
            <w:pPr>
              <w:spacing w:after="0"/>
              <w:rPr>
                <w:sz w:val="18"/>
                <w:szCs w:val="18"/>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w w:val="94"/>
              </w:rPr>
              <w:t>Securities, LLC, for themselves and on behalf of several initial purchasers named therein (filed as Exhibit 10.1 to the Company's Current</w:t>
            </w:r>
          </w:p>
        </w:tc>
      </w:tr>
      <w:tr>
        <w:trPr>
          <w:trHeight w:val="230"/>
        </w:trPr>
        <w:tc>
          <w:tcPr>
            <w:tcW w:w="780" w:type="dxa"/>
            <w:vAlign w:val="bottom"/>
          </w:tcPr>
          <w:p>
            <w:pPr>
              <w:spacing w:after="0"/>
              <w:rPr>
                <w:sz w:val="20"/>
                <w:szCs w:val="20"/>
                <w:color w:val="auto"/>
              </w:rPr>
            </w:pPr>
          </w:p>
        </w:tc>
        <w:tc>
          <w:tcPr>
            <w:tcW w:w="10560" w:type="dxa"/>
            <w:vAlign w:val="bottom"/>
          </w:tcPr>
          <w:p>
            <w:pPr>
              <w:ind w:left="360"/>
              <w:spacing w:after="0"/>
              <w:rPr>
                <w:sz w:val="20"/>
                <w:szCs w:val="20"/>
                <w:color w:val="auto"/>
              </w:rPr>
            </w:pPr>
            <w:r>
              <w:rPr>
                <w:rFonts w:ascii="Arial" w:cs="Arial" w:eastAsia="Arial" w:hAnsi="Arial"/>
                <w:sz w:val="18"/>
                <w:szCs w:val="18"/>
                <w:color w:val="auto"/>
              </w:rPr>
              <w:t>Report on Form 8-K filed on November 5, 2014 (File No. 001-31648), and incorporated herein by reference)</w:t>
            </w:r>
          </w:p>
        </w:tc>
      </w:tr>
      <w:tr>
        <w:trPr>
          <w:trHeight w:val="594"/>
        </w:trPr>
        <w:tc>
          <w:tcPr>
            <w:tcW w:w="780" w:type="dxa"/>
            <w:vAlign w:val="bottom"/>
          </w:tcPr>
          <w:p>
            <w:pPr>
              <w:spacing w:after="0"/>
              <w:rPr>
                <w:sz w:val="20"/>
                <w:szCs w:val="20"/>
                <w:color w:val="auto"/>
              </w:rPr>
            </w:pPr>
            <w:r>
              <w:rPr>
                <w:rFonts w:ascii="Arial" w:cs="Arial" w:eastAsia="Arial" w:hAnsi="Arial"/>
                <w:sz w:val="18"/>
                <w:szCs w:val="18"/>
                <w:color w:val="auto"/>
              </w:rPr>
              <w:t>12.1</w:t>
            </w:r>
          </w:p>
        </w:tc>
        <w:tc>
          <w:tcPr>
            <w:tcW w:w="1056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 (1)</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380"/>
          </w:cols>
          <w:pgMar w:left="240" w:top="125" w:right="279" w:bottom="1440" w:gutter="0" w:footer="0" w:header="0"/>
          <w:type w:val="continuous"/>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20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00" w:type="dxa"/>
            <w:vAlign w:val="bottom"/>
          </w:tcPr>
          <w:p>
            <w:pPr>
              <w:spacing w:after="0"/>
              <w:rPr>
                <w:sz w:val="17"/>
                <w:szCs w:val="17"/>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r>
      <w:tr>
        <w:trPr>
          <w:trHeight w:val="966"/>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21.1</w:t>
            </w: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Subsidiaries of the Registrant (1)</w:t>
            </w:r>
          </w:p>
        </w:tc>
      </w:tr>
      <w:tr>
        <w:trPr>
          <w:trHeight w:val="594"/>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23.1</w:t>
            </w: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w w:val="91"/>
              </w:rPr>
              <w:t>Consent of Independent Registered Public Accounting Firm (1)</w:t>
            </w:r>
          </w:p>
        </w:tc>
      </w:tr>
      <w:tr>
        <w:trPr>
          <w:trHeight w:val="594"/>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31.1</w:t>
            </w:r>
          </w:p>
        </w:tc>
        <w:tc>
          <w:tcPr>
            <w:tcW w:w="5000" w:type="dxa"/>
            <w:vAlign w:val="bottom"/>
            <w:gridSpan w:val="3"/>
          </w:tcPr>
          <w:p>
            <w:pPr>
              <w:ind w:left="42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540"/>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31.2</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w w:val="90"/>
              </w:rPr>
              <w:t>Section 302</w:t>
            </w:r>
          </w:p>
        </w:tc>
        <w:tc>
          <w:tcPr>
            <w:tcW w:w="370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540"/>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32.1</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w w:val="90"/>
              </w:rPr>
              <w:t>Section 906</w:t>
            </w:r>
          </w:p>
        </w:tc>
        <w:tc>
          <w:tcPr>
            <w:tcW w:w="370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(3)</w:t>
            </w:r>
          </w:p>
        </w:tc>
      </w:tr>
      <w:tr>
        <w:trPr>
          <w:trHeight w:val="540"/>
        </w:trPr>
        <w:tc>
          <w:tcPr>
            <w:tcW w:w="760" w:type="dxa"/>
            <w:vAlign w:val="bottom"/>
          </w:tcPr>
          <w:p>
            <w:pPr>
              <w:jc w:val="right"/>
              <w:ind w:right="310"/>
              <w:spacing w:after="0"/>
              <w:rPr>
                <w:sz w:val="20"/>
                <w:szCs w:val="20"/>
                <w:color w:val="auto"/>
              </w:rPr>
            </w:pPr>
            <w:r>
              <w:rPr>
                <w:rFonts w:ascii="Arial" w:cs="Arial" w:eastAsia="Arial" w:hAnsi="Arial"/>
                <w:sz w:val="18"/>
                <w:szCs w:val="18"/>
                <w:color w:val="auto"/>
                <w:w w:val="96"/>
              </w:rPr>
              <w:t>32.2</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w w:val="90"/>
              </w:rPr>
              <w:t>Section 906</w:t>
            </w:r>
          </w:p>
        </w:tc>
        <w:tc>
          <w:tcPr>
            <w:tcW w:w="370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(3)</w:t>
            </w:r>
          </w:p>
        </w:tc>
      </w:tr>
    </w:tbl>
    <w:p>
      <w:pPr>
        <w:spacing w:after="0" w:line="310" w:lineRule="exact"/>
        <w:rPr>
          <w:sz w:val="20"/>
          <w:szCs w:val="20"/>
          <w:color w:val="auto"/>
        </w:rPr>
      </w:pPr>
    </w:p>
    <w:p>
      <w:pPr>
        <w:ind w:left="1180" w:right="160" w:hanging="1145"/>
        <w:spacing w:after="0" w:line="255"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materials from Euronet Worldwide, Inc.’s Annual Report on Form 10-K for the year ended December 31, 2014, formatted in XBRL (eXtensible Business Reporting Language): (i) Consolidated Balance Sheets at December 31, 2014 and 2013, (ii) Consolidated Statements of Income for the years ended December 31, 2014, 2013 and 2012, (iii) Consolidated Statements of Comprehensive Income for the years ended December 31, 2014, 2013 and 2012, (iv) Consolidated Statements of Changes in Equity for the years ended December 31, 2014, 2013 and 2012, (v) Consolidated Statements of Cash Flows for the years ended December 31, 2014, 2013 and 2012, and (vi) Notes to the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w:t>
      </w:r>
    </w:p>
    <w:p>
      <w:pPr>
        <w:spacing w:after="0" w:line="117"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Management contracts and compensatory plans and arrangements required to be filed as Exhibits pursuant to Item 15(a) of this report.</w:t>
      </w:r>
    </w:p>
    <w:p>
      <w:pPr>
        <w:spacing w:after="0" w:line="117" w:lineRule="exact"/>
        <w:rPr>
          <w:rFonts w:ascii="Arial" w:cs="Arial" w:eastAsia="Arial" w:hAnsi="Arial"/>
          <w:sz w:val="18"/>
          <w:szCs w:val="18"/>
          <w:color w:val="auto"/>
        </w:rPr>
      </w:pPr>
    </w:p>
    <w:p>
      <w:pPr>
        <w:ind w:left="400" w:hanging="378"/>
        <w:spacing w:after="0"/>
        <w:tabs>
          <w:tab w:leader="none" w:pos="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Pursuant to Item 601(b)(32) of Regulation S-K, this Exhibit is furnished rather than filed with this Form 10-K.</w:t>
      </w:r>
    </w:p>
    <w:p>
      <w:pPr>
        <w:spacing w:after="0" w:line="117" w:lineRule="exact"/>
        <w:rPr>
          <w:rFonts w:ascii="Arial" w:cs="Arial" w:eastAsia="Arial" w:hAnsi="Arial"/>
          <w:sz w:val="18"/>
          <w:szCs w:val="18"/>
          <w:color w:val="auto"/>
        </w:rPr>
      </w:pPr>
    </w:p>
    <w:p>
      <w:pPr>
        <w:ind w:left="400" w:right="140" w:hanging="378"/>
        <w:spacing w:after="0" w:line="277" w:lineRule="auto"/>
        <w:tabs>
          <w:tab w:leader="none" w:pos="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Portions of this document have been redacted and are subject to an order granting confidential treatment under the Securities Exchange Act of 1934, as amended (File No. 1-31648 - CF#30821). Redacted portions are indicated with the notation [***].</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the Company's public disclosures. Accordingly, investors should not rely on the representations, warranties and covenants in the agreements as characterizations of the actual state of facts about the Company or its business or operations on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08"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Euronet Worldwide,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17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31750</wp:posOffset>
            </wp:positionV>
            <wp:extent cx="3721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53" w:lineRule="exact"/>
        <w:rPr>
          <w:sz w:val="20"/>
          <w:szCs w:val="20"/>
          <w:color w:val="auto"/>
        </w:rPr>
      </w:pPr>
    </w:p>
    <w:p>
      <w:pPr>
        <w:ind w:left="646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Chairman of the Board of Directors, Chief Executive</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Officer, President and Director (principal executive officer)</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2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9"/>
          </w:tcPr>
          <w:p>
            <w:pPr>
              <w:jc w:val="center"/>
              <w:ind w:right="1420"/>
              <w:spacing w:after="0"/>
              <w:rPr>
                <w:sz w:val="20"/>
                <w:szCs w:val="20"/>
                <w:color w:val="auto"/>
              </w:rPr>
            </w:pPr>
            <w:r>
              <w:rPr>
                <w:rFonts w:ascii="Arial" w:cs="Arial" w:eastAsia="Arial" w:hAnsi="Arial"/>
                <w:sz w:val="14"/>
                <w:szCs w:val="14"/>
                <w:b w:val="1"/>
                <w:bCs w:val="1"/>
                <w:color w:val="auto"/>
                <w:w w:val="92"/>
              </w:rPr>
              <w:t>Signature</w:t>
            </w:r>
          </w:p>
        </w:tc>
        <w:tc>
          <w:tcPr>
            <w:tcW w:w="6220" w:type="dxa"/>
            <w:vAlign w:val="bottom"/>
            <w:gridSpan w:val="3"/>
          </w:tcPr>
          <w:p>
            <w:pPr>
              <w:ind w:left="3380"/>
              <w:spacing w:after="0"/>
              <w:rPr>
                <w:sz w:val="20"/>
                <w:szCs w:val="20"/>
                <w:color w:val="auto"/>
              </w:rPr>
            </w:pPr>
            <w:r>
              <w:rPr>
                <w:rFonts w:ascii="Arial" w:cs="Arial" w:eastAsia="Arial" w:hAnsi="Arial"/>
                <w:sz w:val="14"/>
                <w:szCs w:val="14"/>
                <w:b w:val="1"/>
                <w:bCs w:val="1"/>
                <w:color w:val="auto"/>
              </w:rPr>
              <w:t>Title</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93"/>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3"/>
          </w:tcPr>
          <w:p>
            <w:pPr>
              <w:jc w:val="center"/>
              <w:ind w:right="940"/>
              <w:spacing w:after="0"/>
              <w:rPr>
                <w:sz w:val="20"/>
                <w:szCs w:val="20"/>
                <w:color w:val="auto"/>
              </w:rPr>
            </w:pPr>
            <w:r>
              <w:rPr>
                <w:rFonts w:ascii="Arial" w:cs="Arial" w:eastAsia="Arial" w:hAnsi="Arial"/>
                <w:sz w:val="18"/>
                <w:szCs w:val="18"/>
                <w:color w:val="auto"/>
                <w:w w:val="93"/>
              </w:rPr>
              <w:t>/s/ Michael J. Brown</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6"/>
          </w:tcPr>
          <w:p>
            <w:pPr>
              <w:jc w:val="center"/>
              <w:ind w:right="60"/>
              <w:spacing w:after="0"/>
              <w:rPr>
                <w:sz w:val="20"/>
                <w:szCs w:val="20"/>
                <w:color w:val="auto"/>
              </w:rPr>
            </w:pPr>
            <w:r>
              <w:rPr>
                <w:rFonts w:ascii="Arial" w:cs="Arial" w:eastAsia="Arial" w:hAnsi="Arial"/>
                <w:sz w:val="18"/>
                <w:szCs w:val="18"/>
                <w:b w:val="1"/>
                <w:bCs w:val="1"/>
                <w:color w:val="auto"/>
                <w:w w:val="92"/>
              </w:rPr>
              <w:t>Michael J. Brown</w:t>
            </w:r>
          </w:p>
        </w:tc>
        <w:tc>
          <w:tcPr>
            <w:tcW w:w="960" w:type="dxa"/>
            <w:vAlign w:val="bottom"/>
            <w:gridSpan w:val="5"/>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1"/>
              </w:rPr>
              <w:t>Chairman of the Board of Directors, Chief Executive Officer, President and</w:t>
            </w: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 (principal executive officer)</w:t>
            </w:r>
          </w:p>
        </w:tc>
      </w:tr>
      <w:tr>
        <w:trPr>
          <w:trHeight w:val="50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0"/>
          </w:tcPr>
          <w:p>
            <w:pPr>
              <w:jc w:val="center"/>
              <w:ind w:right="1080"/>
              <w:spacing w:after="0"/>
              <w:rPr>
                <w:sz w:val="20"/>
                <w:szCs w:val="20"/>
                <w:color w:val="auto"/>
              </w:rPr>
            </w:pPr>
            <w:r>
              <w:rPr>
                <w:rFonts w:ascii="Arial" w:cs="Arial" w:eastAsia="Arial" w:hAnsi="Arial"/>
                <w:sz w:val="18"/>
                <w:szCs w:val="18"/>
                <w:color w:val="auto"/>
                <w:w w:val="94"/>
              </w:rPr>
              <w:t>/s/ Rick L. Weller</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4"/>
              </w:rPr>
              <w:t>Rick L. Weller</w:t>
            </w:r>
          </w:p>
        </w:tc>
        <w:tc>
          <w:tcPr>
            <w:tcW w:w="1080" w:type="dxa"/>
            <w:vAlign w:val="bottom"/>
            <w:gridSpan w:val="7"/>
          </w:tcPr>
          <w:p>
            <w:pPr>
              <w:spacing w:after="0"/>
              <w:rPr>
                <w:sz w:val="19"/>
                <w:szCs w:val="19"/>
                <w:color w:val="auto"/>
              </w:rPr>
            </w:pP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w w:val="96"/>
              </w:rPr>
              <w:t>Chief Financial Officer and Chief Accounting Officer (principal financial</w:t>
            </w: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officer and principal accounting officer)</w:t>
            </w:r>
          </w:p>
        </w:tc>
      </w:tr>
      <w:tr>
        <w:trPr>
          <w:trHeight w:val="527"/>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0"/>
              </w:rPr>
              <w:t>/s/ Paul S. Althasen</w:t>
            </w:r>
          </w:p>
        </w:tc>
        <w:tc>
          <w:tcPr>
            <w:tcW w:w="1000" w:type="dxa"/>
            <w:vAlign w:val="bottom"/>
            <w:gridSpan w:val="6"/>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60" w:type="dxa"/>
            <w:vAlign w:val="bottom"/>
            <w:gridSpan w:val="10"/>
          </w:tcPr>
          <w:p>
            <w:pPr>
              <w:jc w:val="center"/>
              <w:ind w:right="1060"/>
              <w:spacing w:after="0"/>
              <w:rPr>
                <w:sz w:val="20"/>
                <w:szCs w:val="20"/>
                <w:color w:val="auto"/>
              </w:rPr>
            </w:pPr>
            <w:r>
              <w:rPr>
                <w:rFonts w:ascii="Arial" w:cs="Arial" w:eastAsia="Arial" w:hAnsi="Arial"/>
                <w:sz w:val="18"/>
                <w:szCs w:val="18"/>
                <w:b w:val="1"/>
                <w:bCs w:val="1"/>
                <w:color w:val="auto"/>
                <w:w w:val="89"/>
              </w:rPr>
              <w:t>Paul S. Althasen</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783"/>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4"/>
          </w:tcPr>
          <w:p>
            <w:pPr>
              <w:jc w:val="center"/>
              <w:ind w:right="920"/>
              <w:spacing w:after="0"/>
              <w:rPr>
                <w:sz w:val="20"/>
                <w:szCs w:val="20"/>
                <w:color w:val="auto"/>
              </w:rPr>
            </w:pPr>
            <w:r>
              <w:rPr>
                <w:rFonts w:ascii="Arial" w:cs="Arial" w:eastAsia="Arial" w:hAnsi="Arial"/>
                <w:sz w:val="18"/>
                <w:szCs w:val="18"/>
                <w:b w:val="1"/>
                <w:bCs w:val="1"/>
                <w:color w:val="auto"/>
                <w:w w:val="91"/>
              </w:rPr>
              <w:t>Andrzej Olechowski</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27"/>
        </w:trPr>
        <w:tc>
          <w:tcPr>
            <w:tcW w:w="40" w:type="dxa"/>
            <w:vAlign w:val="bottom"/>
          </w:tcPr>
          <w:p>
            <w:pPr>
              <w:spacing w:after="0"/>
              <w:rPr>
                <w:sz w:val="24"/>
                <w:szCs w:val="24"/>
                <w:color w:val="auto"/>
              </w:rPr>
            </w:pPr>
          </w:p>
        </w:tc>
        <w:tc>
          <w:tcPr>
            <w:tcW w:w="1820" w:type="dxa"/>
            <w:vAlign w:val="bottom"/>
            <w:tcBorders>
              <w:bottom w:val="single" w:sz="8" w:color="auto"/>
            </w:tcBorders>
            <w:gridSpan w:val="12"/>
          </w:tcPr>
          <w:p>
            <w:pPr>
              <w:jc w:val="center"/>
              <w:spacing w:after="0"/>
              <w:rPr>
                <w:sz w:val="20"/>
                <w:szCs w:val="20"/>
                <w:color w:val="auto"/>
              </w:rPr>
            </w:pPr>
            <w:r>
              <w:rPr>
                <w:rFonts w:ascii="Arial" w:cs="Arial" w:eastAsia="Arial" w:hAnsi="Arial"/>
                <w:sz w:val="18"/>
                <w:szCs w:val="18"/>
                <w:color w:val="auto"/>
                <w:w w:val="90"/>
              </w:rPr>
              <w:t>/s/ Eriberto R. Scocimara</w:t>
            </w:r>
          </w:p>
        </w:tc>
        <w:tc>
          <w:tcPr>
            <w:tcW w:w="800" w:type="dxa"/>
            <w:vAlign w:val="bottom"/>
            <w:gridSpan w:val="3"/>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2620" w:type="dxa"/>
            <w:vAlign w:val="bottom"/>
            <w:gridSpan w:val="15"/>
          </w:tcPr>
          <w:p>
            <w:pPr>
              <w:jc w:val="center"/>
              <w:ind w:right="800"/>
              <w:spacing w:after="0"/>
              <w:rPr>
                <w:sz w:val="20"/>
                <w:szCs w:val="20"/>
                <w:color w:val="auto"/>
              </w:rPr>
            </w:pPr>
            <w:r>
              <w:rPr>
                <w:rFonts w:ascii="Arial" w:cs="Arial" w:eastAsia="Arial" w:hAnsi="Arial"/>
                <w:sz w:val="18"/>
                <w:szCs w:val="18"/>
                <w:b w:val="1"/>
                <w:bCs w:val="1"/>
                <w:color w:val="auto"/>
                <w:w w:val="92"/>
              </w:rPr>
              <w:t>Eriberto R. Scocimara</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2660" w:type="dxa"/>
            <w:vAlign w:val="bottom"/>
            <w:gridSpan w:val="16"/>
          </w:tcPr>
          <w:p>
            <w:pPr>
              <w:jc w:val="center"/>
              <w:ind w:right="780"/>
              <w:spacing w:after="0"/>
              <w:rPr>
                <w:sz w:val="20"/>
                <w:szCs w:val="20"/>
                <w:color w:val="auto"/>
              </w:rPr>
            </w:pPr>
            <w:r>
              <w:rPr>
                <w:rFonts w:ascii="Arial" w:cs="Arial" w:eastAsia="Arial" w:hAnsi="Arial"/>
                <w:sz w:val="18"/>
                <w:szCs w:val="18"/>
                <w:color w:val="auto"/>
                <w:w w:val="93"/>
              </w:rPr>
              <w:t>/s/ Thomas A. McDonnell</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13"/>
          </w:tcPr>
          <w:p>
            <w:pPr>
              <w:jc w:val="center"/>
              <w:ind w:right="20"/>
              <w:spacing w:after="0"/>
              <w:rPr>
                <w:sz w:val="20"/>
                <w:szCs w:val="20"/>
                <w:color w:val="auto"/>
              </w:rPr>
            </w:pPr>
            <w:r>
              <w:rPr>
                <w:rFonts w:ascii="Arial" w:cs="Arial" w:eastAsia="Arial" w:hAnsi="Arial"/>
                <w:sz w:val="18"/>
                <w:szCs w:val="18"/>
                <w:b w:val="1"/>
                <w:bCs w:val="1"/>
                <w:color w:val="auto"/>
                <w:w w:val="92"/>
              </w:rPr>
              <w:t>Thomas A. McDonnell</w:t>
            </w:r>
          </w:p>
        </w:tc>
        <w:tc>
          <w:tcPr>
            <w:tcW w:w="780" w:type="dxa"/>
            <w:vAlign w:val="bottom"/>
            <w:gridSpan w:val="2"/>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color w:val="auto"/>
                <w:w w:val="94"/>
              </w:rPr>
              <w:t>/s/ Andrew B. Schmitt</w:t>
            </w:r>
          </w:p>
        </w:tc>
        <w:tc>
          <w:tcPr>
            <w:tcW w:w="900" w:type="dxa"/>
            <w:vAlign w:val="bottom"/>
            <w:gridSpan w:val="4"/>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60" w:type="dxa"/>
            <w:vAlign w:val="bottom"/>
            <w:gridSpan w:val="12"/>
          </w:tcPr>
          <w:p>
            <w:pPr>
              <w:jc w:val="center"/>
              <w:ind w:right="980"/>
              <w:spacing w:after="0"/>
              <w:rPr>
                <w:sz w:val="20"/>
                <w:szCs w:val="20"/>
                <w:color w:val="auto"/>
              </w:rPr>
            </w:pPr>
            <w:r>
              <w:rPr>
                <w:rFonts w:ascii="Arial" w:cs="Arial" w:eastAsia="Arial" w:hAnsi="Arial"/>
                <w:sz w:val="18"/>
                <w:szCs w:val="18"/>
                <w:b w:val="1"/>
                <w:bCs w:val="1"/>
                <w:color w:val="auto"/>
                <w:w w:val="92"/>
              </w:rPr>
              <w:t>Andrew B. Schmitt</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1900" w:type="dxa"/>
            <w:vAlign w:val="bottom"/>
            <w:tcBorders>
              <w:bottom w:val="single" w:sz="8" w:color="auto"/>
            </w:tcBorders>
            <w:gridSpan w:val="15"/>
          </w:tcPr>
          <w:p>
            <w:pPr>
              <w:jc w:val="center"/>
              <w:spacing w:after="0"/>
              <w:rPr>
                <w:sz w:val="20"/>
                <w:szCs w:val="20"/>
                <w:color w:val="auto"/>
              </w:rPr>
            </w:pPr>
            <w:r>
              <w:rPr>
                <w:rFonts w:ascii="Arial" w:cs="Arial" w:eastAsia="Arial" w:hAnsi="Arial"/>
                <w:sz w:val="18"/>
                <w:szCs w:val="18"/>
                <w:color w:val="auto"/>
                <w:w w:val="90"/>
              </w:rPr>
              <w:t>/s/ M. Jeannine Strandjord</w:t>
            </w:r>
          </w:p>
        </w:tc>
        <w:tc>
          <w:tcPr>
            <w:tcW w:w="7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2660" w:type="dxa"/>
            <w:vAlign w:val="bottom"/>
            <w:gridSpan w:val="16"/>
          </w:tcPr>
          <w:p>
            <w:pPr>
              <w:jc w:val="center"/>
              <w:ind w:right="760"/>
              <w:spacing w:after="0"/>
              <w:rPr>
                <w:sz w:val="20"/>
                <w:szCs w:val="20"/>
                <w:color w:val="auto"/>
              </w:rPr>
            </w:pPr>
            <w:r>
              <w:rPr>
                <w:rFonts w:ascii="Arial" w:cs="Arial" w:eastAsia="Arial" w:hAnsi="Arial"/>
                <w:sz w:val="18"/>
                <w:szCs w:val="18"/>
                <w:b w:val="1"/>
                <w:bCs w:val="1"/>
                <w:color w:val="auto"/>
                <w:w w:val="93"/>
              </w:rPr>
              <w:t>M. Jeannine Strandjord</w:t>
            </w: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4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gridSpan w:val="10"/>
          </w:tcPr>
          <w:p>
            <w:pPr>
              <w:jc w:val="center"/>
              <w:ind w:right="1080"/>
              <w:spacing w:after="0"/>
              <w:rPr>
                <w:sz w:val="20"/>
                <w:szCs w:val="20"/>
                <w:color w:val="auto"/>
              </w:rPr>
            </w:pPr>
            <w:r>
              <w:rPr>
                <w:rFonts w:ascii="Arial" w:cs="Arial" w:eastAsia="Arial" w:hAnsi="Arial"/>
                <w:sz w:val="18"/>
                <w:szCs w:val="18"/>
                <w:b w:val="1"/>
                <w:bCs w:val="1"/>
                <w:color w:val="auto"/>
                <w:w w:val="95"/>
              </w:rPr>
              <w:t>Lu M. Cordova</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r>
        <w:trPr>
          <w:trHeight w:val="500"/>
        </w:trPr>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3"/>
          </w:tcPr>
          <w:p>
            <w:pPr>
              <w:jc w:val="center"/>
              <w:ind w:right="960"/>
              <w:spacing w:after="0"/>
              <w:rPr>
                <w:sz w:val="20"/>
                <w:szCs w:val="20"/>
                <w:color w:val="auto"/>
              </w:rPr>
            </w:pPr>
            <w:r>
              <w:rPr>
                <w:rFonts w:ascii="Arial" w:cs="Arial" w:eastAsia="Arial" w:hAnsi="Arial"/>
                <w:sz w:val="18"/>
                <w:szCs w:val="18"/>
                <w:color w:val="auto"/>
                <w:w w:val="93"/>
              </w:rPr>
              <w:t>/s/ Mark R. Callegari</w:t>
            </w:r>
          </w:p>
        </w:tc>
        <w:tc>
          <w:tcPr>
            <w:tcW w:w="3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22"/>
        </w:trPr>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7"/>
              </w:rPr>
              <w:t>Mark R. Callegari</w:t>
            </w:r>
          </w:p>
        </w:tc>
        <w:tc>
          <w:tcPr>
            <w:tcW w:w="960" w:type="dxa"/>
            <w:vAlign w:val="bottom"/>
            <w:gridSpan w:val="5"/>
          </w:tcPr>
          <w:p>
            <w:pPr>
              <w:spacing w:after="0"/>
              <w:rPr>
                <w:sz w:val="19"/>
                <w:szCs w:val="19"/>
                <w:color w:val="auto"/>
              </w:rPr>
            </w:pPr>
          </w:p>
        </w:tc>
        <w:tc>
          <w:tcPr>
            <w:tcW w:w="3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gridSpan w:val="11"/>
          </w:tcPr>
          <w:p>
            <w:pPr>
              <w:jc w:val="center"/>
              <w:ind w:right="1020"/>
              <w:spacing w:after="0"/>
              <w:rPr>
                <w:sz w:val="20"/>
                <w:szCs w:val="20"/>
                <w:color w:val="auto"/>
              </w:rPr>
            </w:pPr>
            <w:r>
              <w:rPr>
                <w:rFonts w:ascii="Arial" w:cs="Arial" w:eastAsia="Arial" w:hAnsi="Arial"/>
                <w:sz w:val="18"/>
                <w:szCs w:val="18"/>
                <w:color w:val="auto"/>
                <w:w w:val="89"/>
              </w:rPr>
              <w:t>February 24, 2015</w:t>
            </w:r>
          </w:p>
        </w:tc>
        <w:tc>
          <w:tcPr>
            <w:tcW w:w="6220" w:type="dxa"/>
            <w:vAlign w:val="bottom"/>
            <w:gridSpan w:val="3"/>
          </w:tcPr>
          <w:p>
            <w:pPr>
              <w:ind w:left="78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11180"/>
          </w:cols>
          <w:pgMar w:left="240" w:top="125" w:right="479" w:bottom="1440" w:gutter="0" w:footer="0" w:header="0"/>
        </w:sectPr>
      </w:pP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180"/>
          </w:cols>
          <w:pgMar w:left="240" w:top="125" w:right="47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EURONET WORLDWIDE, INC.</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7"/>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6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Pretax income before adjustment for income from unconsolidated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114,879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46,392</w:t>
            </w:r>
          </w:p>
        </w:tc>
        <w:tc>
          <w:tcPr>
            <w:tcW w:w="0" w:type="dxa"/>
            <w:vAlign w:val="bottom"/>
          </w:tcPr>
          <w:p>
            <w:pPr>
              <w:spacing w:after="0"/>
              <w:rPr>
                <w:sz w:val="1"/>
                <w:szCs w:val="1"/>
                <w:color w:val="auto"/>
              </w:rPr>
            </w:pP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20"/>
              <w:spacing w:after="0"/>
              <w:rPr>
                <w:sz w:val="20"/>
                <w:szCs w:val="20"/>
                <w:color w:val="auto"/>
              </w:rPr>
            </w:pPr>
            <w:r>
              <w:rPr>
                <w:rFonts w:ascii="Arial" w:cs="Arial" w:eastAsia="Arial" w:hAnsi="Arial"/>
                <w:sz w:val="18"/>
                <w:szCs w:val="18"/>
                <w:color w:val="auto"/>
              </w:rPr>
              <w:t>Dividends received</w:t>
            </w:r>
          </w:p>
        </w:tc>
        <w:tc>
          <w:tcPr>
            <w:tcW w:w="14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pretax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160,190</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132,135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77,726</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19,653</w:t>
            </w:r>
          </w:p>
        </w:tc>
        <w:tc>
          <w:tcPr>
            <w:tcW w:w="0" w:type="dxa"/>
            <w:vAlign w:val="bottom"/>
          </w:tcPr>
          <w:p>
            <w:pPr>
              <w:spacing w:after="0"/>
              <w:rPr>
                <w:sz w:val="1"/>
                <w:szCs w:val="1"/>
                <w:color w:val="auto"/>
              </w:rPr>
            </w:pPr>
          </w:p>
        </w:tc>
      </w:tr>
      <w:tr>
        <w:trPr>
          <w:trHeight w:val="243"/>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Estimate of interest within rental expense</w:t>
            </w: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9,660</w:t>
            </w:r>
          </w:p>
        </w:tc>
        <w:tc>
          <w:tcPr>
            <w:tcW w:w="0" w:type="dxa"/>
            <w:vAlign w:val="bottom"/>
          </w:tcPr>
          <w:p>
            <w:pPr>
              <w:spacing w:after="0"/>
              <w:rPr>
                <w:sz w:val="1"/>
                <w:szCs w:val="1"/>
                <w:color w:val="auto"/>
              </w:rPr>
            </w:pPr>
          </w:p>
        </w:tc>
      </w:tr>
      <w:tr>
        <w:trPr>
          <w:trHeight w:val="27"/>
        </w:trPr>
        <w:tc>
          <w:tcPr>
            <w:tcW w:w="6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fixed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18,641</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29,313</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0300"/>
          </w:cols>
          <w:pgMar w:left="136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Euronet Worldwide, Inc.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Euronet's wholly owned subsidiaries were:</w:t>
      </w:r>
    </w:p>
    <w:p>
      <w:pPr>
        <w:spacing w:after="0" w:line="252" w:lineRule="exact"/>
        <w:rPr>
          <w:sz w:val="20"/>
          <w:szCs w:val="20"/>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epay Australia Holdings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epay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HiFX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Pure Commerce Japan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Pure Commerce Pty Limited,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Australia Pty. Ltd., incorporated in Australia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Middle East W.L.L., incorporated in Bahrain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Envia Financial Services Belgium SPRL, incorporated in Belgium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Telecom Net S.A. Logistica Digital, incorporated in Brazil</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Gescoro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Telecommunications of Canada Inc., incorporated in Canada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Chile Servicios Financieros SpA, incorporated in Chile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epay (Shanghai) Technology Development Co., Ltd. d.b.a. epay China, incorporated in China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EFT-Usluge d.o.o., incorporated in Croatia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EWI Foreign Holdings Limited, incorporated in Cyprus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Spol. s r.o., incorporated in the Czech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Denmark ApS, incorporated in Denmark</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de la Hispaniola, C.porA, incorporated in Dominican Republic</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Middle East, Africa &amp; Pakistan LLC, incorporated in Egypt</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de Centroamerica, S.A. de C.V., incorporated in El Salvador</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epay Digital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France SAS, incorporated in France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cadooz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cadooz rewards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Delta Euronet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Deutschland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Envia Financial Services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transact Elektronische Zahlungssysteme GmbH, incorporated in Germany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Card Services S.A.,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Prepaid Hellas Ltd.,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Asia Holdings Limited, incorporated in Greece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Banktechnikai Szolgaltato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Kft., incorporated in Hungary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India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Money Transfer Services Pvt. Ltd., incorporated in India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Ireland Limited, incorporated in Ireland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Pure-Commerce Ltd, incorporated in Isle of Man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Pay &amp; Transaction Services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Italia S.R.L., incorporated in Italy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Pure Commerce Korea YH, incorporated in Korea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Malaysia Sdn. Bhd., incorporated in Malaysia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Money Transfer, S.A. de C.V., incorporated in Mexico</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EFT Services Holding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Netherlands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Netherlands Holding B.V., incorporated in Netherlands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Online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DFX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epay New Zealand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HiFX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New Zealand Limited, incorporated in New Zealand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Norway AS, incorporated in Norway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Polska Spolka z o.o., incorporated in Poland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RIA Financial Services Puerto Rico, Inc., incorporated in Puerto Rico</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Euronet Services S.R.L., incorporated in Romania</w:t>
      </w:r>
    </w:p>
    <w:p>
      <w:pPr>
        <w:sectPr>
          <w:pgSz w:w="11900" w:h="16838" w:orient="portrait"/>
          <w:cols w:equalWidth="0" w:num="1">
            <w:col w:w="11420"/>
          </w:cols>
          <w:pgMar w:left="240" w:top="580" w:right="239" w:bottom="775" w:gutter="0" w:footer="0" w:header="0"/>
        </w:sectPr>
      </w:pPr>
    </w:p>
    <w:bookmarkStart w:id="117" w:name="page118"/>
    <w:bookmarkEnd w:id="117"/>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Smart PayNetWork SA, incorporated in Romania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O.O.O., incorporated in Russia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d.o.o., incorporated in Serbia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Commerce (S) Pte. Ltd., incorporated in Singapore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Commerce Shared Service Pte. Ltd., incorporated in Singapore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Pure Processing Pte. Ltd., incorporated in Singapore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Slovakia, spol. s r.o., incorporated in Slovakia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Business Holdings, S.L.U., incorporated in Spain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Telerecarga, S.L.U., incorporated in Spain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Payment Institution EP, S.A.U., incorporated in Spain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Spain Holdings S.L.U., incorporated in Spain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Sweden AB, incorporated in Sweden</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Services Schweiz GmbH, incorporated in Switzerland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AG, incorporated in Switzerland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Elektronik Islem Hizmetleri Limited Sirketi, incorporated in Turkey</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Ukraine" Limited Liability Company, incorporated in Ukraine</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Digital Middle East FZ-LLC, incorporated in United Arab Emirates</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121 Payments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ATX Software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Online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EIM (FX)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Holdings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epay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(London) UK Holdings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360 Finance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Payment Services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Software UK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HiFM Holdings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HiFM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Developments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Europe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Foreign Exchange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Insurance Services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Mortgage Services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HiFX Products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Omega Logic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Financial Services Ltd,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TBK (FM) Limited, incorporated in United Kingdom</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Continental Exchange Solutions, Inc., incorporated in Delaware,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Continental Payment Solutions, Inc., incorporated in California,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EFT Americas, Inc., incorporated in Delaware,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Pakistan Holdings Inc., incorporated in Delaware,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Euronet USA, LLC, incorporated in Arkansas,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PaySpot, Inc., incorporated in Delaware,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Envia, Inc., incorporated in Delaware,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RIA Telecommunications of New York, Inc., incorporated in New York, U.S.A.</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Telecomnet LLC, incorporated in Delaware, U.S.A.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 Euronet also had shareholdings in the following companies that are not wholly owned:</w:t>
      </w:r>
    </w:p>
    <w:p>
      <w:pPr>
        <w:spacing w:after="0" w:line="22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Cashlink Bangladesh Ltd., incorporated in Bangladesh, of which 10% is owned by EFT Services Holding B.V.</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Electronic Transactions Network Ltd., incorporated in Bangladesh, of which 100% is owned by Cashlink Bangladesh Ltd.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Euronet ETT (China) Co. Ltd., incorporated in China, of which 49% is owned by Euronet Asia Holdings Limited</w:t>
      </w:r>
    </w:p>
    <w:p>
      <w:pPr>
        <w:spacing w:after="0" w:line="9"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Jiayintong (Beijing) Technology Development Co. Ltd. d.b.a. Euronet China, incorporated in China, of which 75% is owned by Euronet Asia Holdings Limited</w:t>
      </w:r>
    </w:p>
    <w:p>
      <w:pPr>
        <w:sectPr>
          <w:pgSz w:w="11900" w:h="16838" w:orient="portrait"/>
          <w:cols w:equalWidth="0" w:num="1">
            <w:col w:w="11120"/>
          </w:cols>
          <w:pgMar w:left="240" w:top="611" w:right="539" w:bottom="1440" w:gutter="0" w:footer="0" w:header="0"/>
        </w:sectPr>
      </w:pPr>
    </w:p>
    <w:bookmarkStart w:id="118" w:name="page119"/>
    <w:bookmarkEnd w:id="118"/>
    <w:p>
      <w:pPr>
        <w:ind w:left="644" w:hanging="644"/>
        <w:spacing w:after="0"/>
        <w:tabs>
          <w:tab w:leader="none" w:pos="6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PT G4S Euronet Nusantara, incorporated in Indonesia, of which 47.02% is owned by EFT Services Holding B.V.</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Euronet Pakistan (Pvt.) Limited, incorporated in Pakistan, of which 70% is owned by Euronet Pakistan Holdings, Inc.</w:t>
      </w:r>
    </w:p>
    <w:p>
      <w:pPr>
        <w:spacing w:after="0" w:line="21" w:lineRule="exact"/>
        <w:rPr>
          <w:rFonts w:ascii="Arial" w:cs="Arial" w:eastAsia="Arial" w:hAnsi="Arial"/>
          <w:sz w:val="18"/>
          <w:szCs w:val="18"/>
          <w:color w:val="auto"/>
        </w:rPr>
      </w:pPr>
    </w:p>
    <w:p>
      <w:pPr>
        <w:ind w:left="704" w:hanging="704"/>
        <w:spacing w:after="0"/>
        <w:tabs>
          <w:tab w:leader="none" w:pos="7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Euronet Movilcarga S.L., incorporated in Spain, of which 80% is owned by Euronet Telerecarga S.L.U.</w:t>
      </w:r>
    </w:p>
    <w:p>
      <w:pPr>
        <w:spacing w:after="0" w:line="23" w:lineRule="exact"/>
        <w:rPr>
          <w:rFonts w:ascii="Arial" w:cs="Arial" w:eastAsia="Arial" w:hAnsi="Arial"/>
          <w:sz w:val="18"/>
          <w:szCs w:val="18"/>
          <w:color w:val="auto"/>
        </w:rPr>
      </w:pPr>
    </w:p>
    <w:p>
      <w:pPr>
        <w:ind w:left="644" w:hanging="644"/>
        <w:spacing w:after="0"/>
        <w:tabs>
          <w:tab w:leader="none" w:pos="6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ATX Middle East FZC, incorporated in United Arab Emirates, of which 51% is owned by EFT Services Holding B.V.</w:t>
      </w:r>
    </w:p>
    <w:p>
      <w:pPr>
        <w:spacing w:after="0" w:line="22" w:lineRule="exact"/>
        <w:rPr>
          <w:rFonts w:ascii="Arial" w:cs="Arial" w:eastAsia="Arial" w:hAnsi="Arial"/>
          <w:sz w:val="18"/>
          <w:szCs w:val="18"/>
          <w:color w:val="auto"/>
        </w:rPr>
      </w:pPr>
    </w:p>
    <w:p>
      <w:pPr>
        <w:ind w:left="644" w:hanging="644"/>
        <w:spacing w:after="0"/>
        <w:tabs>
          <w:tab w:leader="none" w:pos="644"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Universal Solution Providers FZ-LLC, incorporated in United Arab Emirates, of which 51% is owned by EFT Services Holding B.V.</w:t>
      </w:r>
    </w:p>
    <w:p>
      <w:pPr>
        <w:sectPr>
          <w:pgSz w:w="11900" w:h="16838" w:orient="portrait"/>
          <w:cols w:equalWidth="0" w:num="1">
            <w:col w:w="10224"/>
          </w:cols>
          <w:pgMar w:left="896" w:top="584" w:right="7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on Form S-3 (Nos. 333-84046, 333-105478, 333-111361, 333-111363, 333-117948 and 333-128228), Form S-4 (No. 333-116938) and Form S-8 (Nos. 333-24539, 333-83555, 333-44890, 333-64634, 333-71766, 333-98013, 333-102875, 333-116920, 333-136485, 333-161245, 333-176238 and 333-190337) of Euronet Worldwide, Inc. and subsidiaries (the Company) of our report dated February 27, 2015, with respect to the consolidated balance sheets of the Company as of December 31, 2014 and 2013, and the related consolidated statements of income, comprehensive income, changes in equity and cash flows for each of the years in the three-year period ended December 31, 2014, and the effectiveness of internal control over financial reporting as of December 31, 2014, which report appears in the December 31, 2014 annual report on Form 10-K of Euronet Worldwide, Inc.</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acquired HiFX during 2014, and management excluded from its assessment of the effectiveness of the Company's internal control over financial reporting as of December 31, 2014, HiFX's internal control over financial reporting associated with total assets of $367.4 million and total revenues of $38.1 million included in the consolidated financial statements of the Company as of and for the year ended December 31, 2014. Our audit of internal control over financial reporting of the Company also excluded an evaluation of the internal control over financial reporting of HiFX.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Kansas City, Missouri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80"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71"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10-K of Euronet Worldwide,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38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ectPr>
          <w:pgSz w:w="11900" w:h="16838" w:orient="portrait"/>
          <w:cols w:equalWidth="0" w:num="1">
            <w:col w:w="11420"/>
          </w:cols>
          <w:pgMar w:left="240" w:top="580"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on Form 10-K of Euronet Worldwide, Inc. (the “Company”) for the period ended December 31, 2014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70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1)"/>
      <w:numFmt w:val="lowerRoman"/>
      <w:start w:val="3"/>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lowerLetter"/>
      <w:start w:val="1"/>
    </w:lvl>
    <w:lvl w:ilvl="1">
      <w:lvlJc w:val="left"/>
      <w:lvlText w:val="%2."/>
      <w:numFmt w:val="decimal"/>
      <w:start w:val="1"/>
    </w:lvl>
  </w:abstractNum>
  <w:abstractNum w:abstractNumId="27">
    <w:nsid w:val="22221A70"/>
    <w:multiLevelType w:val="hybridMultilevel"/>
    <w:lvl w:ilvl="0">
      <w:lvlJc w:val="left"/>
      <w:lvlText w:val="%1"/>
      <w:numFmt w:val="decimal"/>
      <w:start w:val="101"/>
    </w:lvl>
  </w:abstractNum>
  <w:abstractNum w:abstractNumId="28">
    <w:nsid w:val="4516DDE9"/>
    <w:multiLevelType w:val="hybridMultilevel"/>
    <w:lvl w:ilvl="0">
      <w:lvlJc w:val="left"/>
      <w:lvlText w:val="(%1)"/>
      <w:numFmt w:val="decimal"/>
      <w:start w:val="1"/>
    </w:lvl>
    <w:lvl w:ilvl="1">
      <w:lvlJc w:val="left"/>
      <w:lvlText w:val="(%2)"/>
      <w:numFmt w:val="decimal"/>
      <w:start w:val="2"/>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2019-12-29T19:26:38Z</dcterms:created>
  <dcterms:modified xsi:type="dcterms:W3CDTF">2019-12-29T19:26:38Z</dcterms:modified>
</cp:coreProperties>
</file>