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87" w:lineRule="exact"/>
        <w:rPr>
          <w:sz w:val="24"/>
          <w:szCs w:val="24"/>
          <w:color w:val="auto"/>
        </w:rPr>
      </w:pPr>
    </w:p>
    <w:p>
      <w:pPr>
        <w:ind w:left="520" w:hanging="20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QUARTERLY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40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quarterly period ended June 30, 2021</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80" w:lineRule="exact"/>
        <w:rPr>
          <w:sz w:val="24"/>
          <w:szCs w:val="24"/>
          <w:color w:val="auto"/>
        </w:rPr>
      </w:pPr>
    </w:p>
    <w:p>
      <w:pPr>
        <w:ind w:left="520" w:hanging="20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8"/>
          <w:szCs w:val="18"/>
          <w:color w:val="auto"/>
        </w:rPr>
        <w:t>TRANSITION REPORT PURSUANT TO SECTION 13 OR 15(d) OF THE SECURITIES EXCHANGE ACT OF 1934</w:t>
      </w:r>
    </w:p>
    <w:p>
      <w:pPr>
        <w:spacing w:after="0" w:line="212" w:lineRule="exact"/>
        <w:rPr>
          <w:sz w:val="24"/>
          <w:szCs w:val="24"/>
          <w:color w:val="auto"/>
        </w:rPr>
      </w:pPr>
    </w:p>
    <w:p>
      <w:pPr>
        <w:ind w:left="3900"/>
        <w:spacing w:after="0"/>
        <w:tabs>
          <w:tab w:leader="none" w:pos="61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001-31648</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EURONET WORLDWIDE, INC.</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Delaware</w:t>
            </w:r>
          </w:p>
        </w:tc>
        <w:tc>
          <w:tcPr>
            <w:tcW w:w="4660" w:type="dxa"/>
            <w:vAlign w:val="bottom"/>
          </w:tcPr>
          <w:p>
            <w:pPr>
              <w:jc w:val="right"/>
              <w:ind w:right="779"/>
              <w:spacing w:after="0"/>
              <w:rPr>
                <w:sz w:val="20"/>
                <w:szCs w:val="20"/>
                <w:color w:val="auto"/>
              </w:rPr>
            </w:pPr>
            <w:r>
              <w:rPr>
                <w:rFonts w:ascii="Arial" w:cs="Arial" w:eastAsia="Arial" w:hAnsi="Arial"/>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Arial" w:cs="Arial" w:eastAsia="Arial" w:hAnsi="Arial"/>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Arial" w:cs="Arial" w:eastAsia="Arial" w:hAnsi="Arial"/>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66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(Zip Code)</w:t>
            </w:r>
          </w:p>
        </w:tc>
      </w:tr>
      <w:tr>
        <w:trPr>
          <w:trHeight w:val="297"/>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Arial" w:cs="Arial" w:eastAsia="Arial" w:hAnsi="Arial"/>
                <w:sz w:val="16"/>
                <w:szCs w:val="16"/>
                <w:b w:val="1"/>
                <w:bCs w:val="1"/>
                <w:color w:val="auto"/>
              </w:rPr>
              <w:t>(913) 327-4200</w:t>
            </w: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56"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Arial" w:cs="Arial" w:eastAsia="Arial" w:hAnsi="Arial"/>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Arial" w:cs="Arial" w:eastAsia="Arial" w:hAnsi="Arial"/>
                <w:sz w:val="16"/>
                <w:szCs w:val="16"/>
                <w:b w:val="1"/>
                <w:bCs w:val="1"/>
                <w:color w:val="auto"/>
                <w:w w:val="90"/>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7"/>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Arial" w:cs="Arial" w:eastAsia="Arial" w:hAnsi="Arial"/>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5"/>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58" w:lineRule="exact"/>
        <w:rPr>
          <w:sz w:val="24"/>
          <w:szCs w:val="24"/>
          <w:color w:val="auto"/>
        </w:rPr>
      </w:pPr>
    </w:p>
    <w:p>
      <w:pPr>
        <w:ind w:right="20"/>
        <w:spacing w:after="0" w:line="22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ind w:right="26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83"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60"/>
              <w:spacing w:after="0"/>
              <w:rPr>
                <w:sz w:val="20"/>
                <w:szCs w:val="20"/>
                <w:color w:val="auto"/>
              </w:rPr>
            </w:pPr>
            <w:r>
              <w:rPr>
                <w:rFonts w:ascii="Arial" w:cs="Arial" w:eastAsia="Arial" w:hAnsi="Arial"/>
                <w:sz w:val="16"/>
                <w:szCs w:val="16"/>
                <w:color w:val="auto"/>
              </w:rPr>
              <w:t>o</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00" w:type="dxa"/>
            <w:vAlign w:val="bottom"/>
          </w:tcPr>
          <w:p>
            <w:pPr>
              <w:ind w:left="500"/>
              <w:spacing w:after="0"/>
              <w:rPr>
                <w:sz w:val="20"/>
                <w:szCs w:val="20"/>
                <w:color w:val="auto"/>
              </w:rPr>
            </w:pPr>
            <w:r>
              <w:rPr>
                <w:rFonts w:ascii="Arial" w:cs="Arial" w:eastAsia="Arial" w:hAnsi="Arial"/>
                <w:sz w:val="16"/>
                <w:szCs w:val="16"/>
                <w:color w:val="auto"/>
              </w:rPr>
              <w:t>o</w:t>
            </w:r>
          </w:p>
        </w:tc>
        <w:tc>
          <w:tcPr>
            <w:tcW w:w="47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7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580"/>
        <w:spacing w:after="0" w:line="27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right="300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August 2, 2021, Euronet Worldwide, Inc. had 52,824,377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08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3"/>
              </w:rPr>
              <w:t>Page</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gridSpan w:val="2"/>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380" w:type="dxa"/>
            <w:vAlign w:val="bottom"/>
            <w:gridSpan w:val="22"/>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2021 and December 31, 2020</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and Six Months Ended June 30, 2021 and 2020</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Comprehensive Income for the Three and Six Months Ended June 30, 2021 and 2020</w:t>
              </w:r>
            </w:hyperlink>
          </w:p>
        </w:tc>
        <w:tc>
          <w:tcPr>
            <w:tcW w:w="20" w:type="dxa"/>
            <w:vAlign w:val="bottom"/>
            <w:vMerge w:val="continue"/>
          </w:tcPr>
          <w:p>
            <w:pPr>
              <w:spacing w:after="0"/>
              <w:rPr>
                <w:sz w:val="17"/>
                <w:szCs w:val="17"/>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3</w:t>
            </w: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8160" w:type="dxa"/>
            <w:vAlign w:val="bottom"/>
            <w:tcBorders>
              <w:top w:val="single" w:sz="8" w:color="0000EE"/>
            </w:tcBorders>
            <w:gridSpan w:val="17"/>
          </w:tcPr>
          <w:p>
            <w:pPr>
              <w:spacing w:after="0" w:line="202" w:lineRule="exact"/>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Changes in Equity for the Three and Six Months Ended June 30, 2021 and 2020</w:t>
              </w:r>
            </w:hyperlink>
          </w:p>
        </w:tc>
        <w:tc>
          <w:tcPr>
            <w:tcW w:w="118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CCEEFF"/>
            </w:tcBorders>
            <w:gridSpan w:val="2"/>
          </w:tcPr>
          <w:p>
            <w:pPr>
              <w:jc w:val="center"/>
              <w:ind w:left="110"/>
              <w:spacing w:after="0" w:line="202" w:lineRule="exact"/>
              <w:rPr>
                <w:sz w:val="20"/>
                <w:szCs w:val="20"/>
                <w:color w:val="auto"/>
              </w:rPr>
            </w:pPr>
            <w:r>
              <w:rPr>
                <w:rFonts w:ascii="Arial" w:cs="Arial" w:eastAsia="Arial" w:hAnsi="Arial"/>
                <w:sz w:val="18"/>
                <w:szCs w:val="18"/>
                <w:color w:val="auto"/>
                <w:w w:val="99"/>
              </w:rPr>
              <w:t>4</w:t>
            </w:r>
          </w:p>
        </w:tc>
        <w:tc>
          <w:tcPr>
            <w:tcW w:w="2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Six Months Ended June 30, 2021 and 2020</w:t>
              </w:r>
            </w:hyperlink>
          </w:p>
        </w:tc>
        <w:tc>
          <w:tcPr>
            <w:tcW w:w="20" w:type="dxa"/>
            <w:vAlign w:val="bottom"/>
            <w:vMerge w:val="continue"/>
          </w:tcPr>
          <w:p>
            <w:pPr>
              <w:spacing w:after="0"/>
              <w:rPr>
                <w:sz w:val="17"/>
                <w:szCs w:val="17"/>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6</w:t>
            </w: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6520" w:type="dxa"/>
            <w:vAlign w:val="bottom"/>
            <w:tcBorders>
              <w:top w:val="single" w:sz="8" w:color="0000EE"/>
            </w:tcBorders>
            <w:gridSpan w:val="14"/>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the Unaudited Consolidated Financial Statements</w:t>
              </w:r>
            </w:hyperlink>
          </w:p>
        </w:tc>
        <w:tc>
          <w:tcPr>
            <w:tcW w:w="2820" w:type="dxa"/>
            <w:vAlign w:val="bottom"/>
            <w:tcBorders>
              <w:top w:val="single" w:sz="8" w:color="CCEEFF"/>
            </w:tcBorders>
            <w:gridSpan w:val="4"/>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Borders>
              <w:top w:val="single" w:sz="8" w:color="CCEEFF"/>
            </w:tcBorders>
            <w:gridSpan w:val="2"/>
          </w:tcPr>
          <w:p>
            <w:pPr>
              <w:jc w:val="center"/>
              <w:ind w:left="110"/>
              <w:spacing w:after="0" w:line="202" w:lineRule="exact"/>
              <w:rPr>
                <w:sz w:val="20"/>
                <w:szCs w:val="20"/>
                <w:color w:val="auto"/>
              </w:rPr>
            </w:pPr>
            <w:r>
              <w:rPr>
                <w:rFonts w:ascii="Arial" w:cs="Arial" w:eastAsia="Arial" w:hAnsi="Arial"/>
                <w:sz w:val="18"/>
                <w:szCs w:val="18"/>
                <w:color w:val="auto"/>
                <w:w w:val="99"/>
              </w:rPr>
              <w:t>7</w:t>
            </w:r>
          </w:p>
        </w:tc>
        <w:tc>
          <w:tcPr>
            <w:tcW w:w="20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22</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3.</w:t>
            </w: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89"/>
              </w:rPr>
              <w:t>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39</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380" w:type="dxa"/>
            <w:vAlign w:val="bottom"/>
            <w:gridSpan w:val="22"/>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PART II—OTHER INFORMATION</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39</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1A.</w:t>
            </w: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89"/>
              </w:rPr>
              <w:t>40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0" w:type="dxa"/>
            <w:vAlign w:val="bottom"/>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40</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3"/>
          </w:tcPr>
          <w:p>
            <w:pPr>
              <w:spacing w:after="0" w:line="202" w:lineRule="exact"/>
              <w:rPr>
                <w:sz w:val="20"/>
                <w:szCs w:val="20"/>
                <w:color w:val="auto"/>
              </w:rPr>
            </w:pPr>
            <w:r>
              <w:rPr>
                <w:rFonts w:ascii="Arial" w:cs="Arial" w:eastAsia="Arial" w:hAnsi="Arial"/>
                <w:sz w:val="18"/>
                <w:szCs w:val="18"/>
                <w:color w:val="auto"/>
              </w:rPr>
              <w:t>Item 6.</w:t>
            </w:r>
          </w:p>
        </w:tc>
        <w:tc>
          <w:tcPr>
            <w:tcW w:w="40" w:type="dxa"/>
            <w:vAlign w:val="bottom"/>
          </w:tcPr>
          <w:p>
            <w:pPr>
              <w:spacing w:after="0"/>
              <w:rPr>
                <w:sz w:val="17"/>
                <w:szCs w:val="17"/>
                <w:color w:val="auto"/>
              </w:rPr>
            </w:pPr>
          </w:p>
        </w:tc>
        <w:tc>
          <w:tcPr>
            <w:tcW w:w="9340" w:type="dxa"/>
            <w:vAlign w:val="bottom"/>
            <w:gridSpan w:val="18"/>
          </w:tcPr>
          <w:p>
            <w:pPr>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89"/>
              </w:rPr>
              <w:t>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0" w:type="dxa"/>
            <w:vAlign w:val="bottom"/>
            <w:vMerge w:val="continue"/>
          </w:tcPr>
          <w:p>
            <w:pPr>
              <w:spacing w:after="0"/>
              <w:rPr>
                <w:sz w:val="17"/>
                <w:szCs w:val="17"/>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42</w:t>
            </w: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0" w:type="dxa"/>
            <w:vAlign w:val="bottom"/>
            <w:tcBorders>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3"/>
                <w:szCs w:val="13"/>
                <w:color w:val="auto"/>
              </w:rPr>
            </w:pPr>
          </w:p>
        </w:tc>
        <w:tc>
          <w:tcPr>
            <w:tcW w:w="1080" w:type="dxa"/>
            <w:vAlign w:val="bottom"/>
          </w:tcPr>
          <w:p>
            <w:pPr>
              <w:jc w:val="right"/>
              <w:ind w:right="9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2"/>
        </w:trPr>
        <w:tc>
          <w:tcPr>
            <w:tcW w:w="8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994,488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1,420,255</w:t>
            </w: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Arial" w:cs="Arial" w:eastAsia="Arial" w:hAnsi="Arial"/>
                <w:sz w:val="18"/>
                <w:szCs w:val="18"/>
                <w:color w:val="auto"/>
              </w:rPr>
              <w:t>ATM cash</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565,084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411,054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3,334</w:t>
            </w: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929,722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of credit losses of $4,604 and $5,926</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138,563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117,517</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270,503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272,900</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2,901,688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3,365,935</w:t>
            </w:r>
          </w:p>
        </w:tc>
        <w:tc>
          <w:tcPr>
            <w:tcW w:w="0" w:type="dxa"/>
            <w:vAlign w:val="bottom"/>
          </w:tcPr>
          <w:p>
            <w:pPr>
              <w:spacing w:after="0"/>
              <w:rPr>
                <w:sz w:val="1"/>
                <w:szCs w:val="1"/>
                <w:color w:val="auto"/>
              </w:rPr>
            </w:pPr>
          </w:p>
        </w:tc>
      </w:tr>
      <w:tr>
        <w:trPr>
          <w:trHeight w:val="216"/>
        </w:trPr>
        <w:tc>
          <w:tcPr>
            <w:tcW w:w="866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173,611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162,074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$512,831 and $490,429</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362,946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378,441</w:t>
            </w:r>
          </w:p>
        </w:tc>
        <w:tc>
          <w:tcPr>
            <w:tcW w:w="0" w:type="dxa"/>
            <w:vAlign w:val="bottom"/>
          </w:tcPr>
          <w:p>
            <w:pPr>
              <w:spacing w:after="0"/>
              <w:rPr>
                <w:sz w:val="1"/>
                <w:szCs w:val="1"/>
                <w:color w:val="auto"/>
              </w:rPr>
            </w:pPr>
          </w:p>
        </w:tc>
      </w:tr>
      <w:tr>
        <w:trPr>
          <w:trHeight w:val="216"/>
        </w:trPr>
        <w:tc>
          <w:tcPr>
            <w:tcW w:w="8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657,327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665,821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intangible assets, net of accumulated amortization of $177,693 and $175,210</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109,320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121,883</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 of accumulated amortization of $59,408 and $55,710</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234,191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232,557</w:t>
            </w:r>
          </w:p>
        </w:tc>
        <w:tc>
          <w:tcPr>
            <w:tcW w:w="0" w:type="dxa"/>
            <w:vAlign w:val="bottom"/>
          </w:tcPr>
          <w:p>
            <w:pPr>
              <w:spacing w:after="0"/>
              <w:rPr>
                <w:sz w:val="1"/>
                <w:szCs w:val="1"/>
                <w:color w:val="auto"/>
              </w:rPr>
            </w:pPr>
          </w:p>
        </w:tc>
      </w:tr>
      <w:tr>
        <w:trPr>
          <w:trHeight w:val="209"/>
        </w:trPr>
        <w:tc>
          <w:tcPr>
            <w:tcW w:w="8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4,439,083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4,926,711</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929,722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1,140,875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141,018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147,593</w:t>
            </w: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388,833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404,021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53,659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52,436</w:t>
            </w: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35,814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36,359</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71,667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73,360</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1,621,459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1,855,441</w:t>
            </w:r>
          </w:p>
        </w:tc>
        <w:tc>
          <w:tcPr>
            <w:tcW w:w="0" w:type="dxa"/>
            <w:vAlign w:val="bottom"/>
          </w:tcPr>
          <w:p>
            <w:pPr>
              <w:spacing w:after="0"/>
              <w:rPr>
                <w:sz w:val="1"/>
                <w:szCs w:val="1"/>
                <w:color w:val="auto"/>
              </w:rPr>
            </w:pPr>
          </w:p>
        </w:tc>
      </w:tr>
      <w:tr>
        <w:trPr>
          <w:trHeight w:val="216"/>
        </w:trPr>
        <w:tc>
          <w:tcPr>
            <w:tcW w:w="866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1,176,441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1,437,589</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122,043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106,502</w:t>
            </w:r>
          </w:p>
        </w:tc>
        <w:tc>
          <w:tcPr>
            <w:tcW w:w="0" w:type="dxa"/>
            <w:vAlign w:val="bottom"/>
          </w:tcPr>
          <w:p>
            <w:pPr>
              <w:spacing w:after="0"/>
              <w:rPr>
                <w:sz w:val="1"/>
                <w:szCs w:val="1"/>
                <w:color w:val="auto"/>
              </w:rPr>
            </w:pPr>
          </w:p>
        </w:tc>
      </w:tr>
      <w:tr>
        <w:trPr>
          <w:trHeight w:val="216"/>
        </w:trPr>
        <w:tc>
          <w:tcPr>
            <w:tcW w:w="86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39,114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37,875</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40,530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43,401</w:t>
            </w:r>
          </w:p>
        </w:tc>
        <w:tc>
          <w:tcPr>
            <w:tcW w:w="0" w:type="dxa"/>
            <w:vAlign w:val="bottom"/>
          </w:tcPr>
          <w:p>
            <w:pPr>
              <w:spacing w:after="0"/>
              <w:rPr>
                <w:sz w:val="1"/>
                <w:szCs w:val="1"/>
                <w:color w:val="auto"/>
              </w:rPr>
            </w:pPr>
          </w:p>
        </w:tc>
      </w:tr>
      <w:tr>
        <w:trPr>
          <w:trHeight w:val="210"/>
        </w:trPr>
        <w:tc>
          <w:tcPr>
            <w:tcW w:w="86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2,999,587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3,480,808</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Arial" w:cs="Arial" w:eastAsia="Arial" w:hAnsi="Arial"/>
                <w:sz w:val="18"/>
                <w:szCs w:val="18"/>
                <w:color w:val="auto"/>
                <w:w w:val="97"/>
              </w:rPr>
              <w:t>Common Stock, $0.02 par value. 90,000,000 shares authorized; shares issued 63,451,545 and 63,366,010</w:t>
            </w:r>
          </w:p>
        </w:tc>
        <w:tc>
          <w:tcPr>
            <w:tcW w:w="180" w:type="dxa"/>
            <w:vAlign w:val="bottom"/>
          </w:tcPr>
          <w:p>
            <w:pPr>
              <w:spacing w:after="0"/>
              <w:rPr>
                <w:sz w:val="18"/>
                <w:szCs w:val="18"/>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1,252,456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1,228,446</w:t>
            </w:r>
          </w:p>
        </w:tc>
        <w:tc>
          <w:tcPr>
            <w:tcW w:w="0" w:type="dxa"/>
            <w:vAlign w:val="bottom"/>
          </w:tcPr>
          <w:p>
            <w:pPr>
              <w:spacing w:after="0"/>
              <w:rPr>
                <w:sz w:val="1"/>
                <w:szCs w:val="1"/>
                <w:color w:val="auto"/>
              </w:rPr>
            </w:pPr>
          </w:p>
        </w:tc>
      </w:tr>
      <w:tr>
        <w:trPr>
          <w:trHeight w:val="216"/>
        </w:trPr>
        <w:tc>
          <w:tcPr>
            <w:tcW w:w="8660" w:type="dxa"/>
            <w:vAlign w:val="bottom"/>
          </w:tcPr>
          <w:p>
            <w:pPr>
              <w:ind w:left="380"/>
              <w:spacing w:after="0"/>
              <w:rPr>
                <w:sz w:val="20"/>
                <w:szCs w:val="20"/>
                <w:color w:val="auto"/>
              </w:rPr>
            </w:pPr>
            <w:r>
              <w:rPr>
                <w:rFonts w:ascii="Arial" w:cs="Arial" w:eastAsia="Arial" w:hAnsi="Arial"/>
                <w:sz w:val="18"/>
                <w:szCs w:val="18"/>
                <w:color w:val="auto"/>
              </w:rPr>
              <w:t>Treasury stock, at cost, shares issued 10,629,291 and 10,631,961</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(703,247)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(703,032)</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1,013,125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1,013,155</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(94,214)</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1,439,219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1,445,622</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1,439,496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1,445,903</w:t>
            </w:r>
          </w:p>
        </w:tc>
        <w:tc>
          <w:tcPr>
            <w:tcW w:w="0" w:type="dxa"/>
            <w:vAlign w:val="bottom"/>
          </w:tcPr>
          <w:p>
            <w:pPr>
              <w:spacing w:after="0"/>
              <w:rPr>
                <w:sz w:val="1"/>
                <w:szCs w:val="1"/>
                <w:color w:val="auto"/>
              </w:rPr>
            </w:pPr>
          </w:p>
        </w:tc>
      </w:tr>
      <w:tr>
        <w:trPr>
          <w:trHeight w:val="209"/>
        </w:trPr>
        <w:tc>
          <w:tcPr>
            <w:tcW w:w="866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4,439,083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4,926,711</w:t>
            </w:r>
          </w:p>
        </w:tc>
        <w:tc>
          <w:tcPr>
            <w:tcW w:w="0" w:type="dxa"/>
            <w:vAlign w:val="bottom"/>
          </w:tcPr>
          <w:p>
            <w:pPr>
              <w:spacing w:after="0"/>
              <w:rPr>
                <w:sz w:val="1"/>
                <w:szCs w:val="1"/>
                <w:color w:val="auto"/>
              </w:rPr>
            </w:pPr>
          </w:p>
        </w:tc>
      </w:tr>
      <w:tr>
        <w:trPr>
          <w:trHeight w:val="20"/>
        </w:trPr>
        <w:tc>
          <w:tcPr>
            <w:tcW w:w="8660" w:type="dxa"/>
            <w:vAlign w:val="bottom"/>
            <w:vMerge w:val="restart"/>
          </w:tcPr>
          <w:p>
            <w:pPr>
              <w:ind w:left="2900"/>
              <w:spacing w:after="0"/>
              <w:rPr>
                <w:sz w:val="20"/>
                <w:szCs w:val="20"/>
                <w:color w:val="auto"/>
              </w:rPr>
            </w:pPr>
            <w:r>
              <w:rPr>
                <w:rFonts w:ascii="Arial" w:cs="Arial" w:eastAsia="Arial" w:hAnsi="Arial"/>
                <w:sz w:val="18"/>
                <w:szCs w:val="18"/>
                <w:color w:val="auto"/>
                <w:w w:val="93"/>
              </w:rPr>
              <w:t>See accompanying notes to the unaudited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55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86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3"/>
        </w:trPr>
        <w:tc>
          <w:tcPr>
            <w:tcW w:w="5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527,803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1,367,356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1,111,710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350,011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905,332</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709,467</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121,071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90,952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236,739</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192,192</w:t>
            </w:r>
          </w:p>
        </w:tc>
        <w:tc>
          <w:tcPr>
            <w:tcW w:w="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53,315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117,895</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114,108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104,554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104,554</w:t>
            </w:r>
          </w:p>
        </w:tc>
        <w:tc>
          <w:tcPr>
            <w:tcW w:w="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30,242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66,820</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61,058</w:t>
            </w:r>
          </w:p>
        </w:tc>
        <w:tc>
          <w:tcPr>
            <w:tcW w:w="80" w:type="dxa"/>
            <w:vAlign w:val="bottom"/>
            <w:tcBorders>
              <w:bottom w:val="single" w:sz="8" w:color="CCEEFF"/>
            </w:tcBorders>
            <w:shd w:val="clear" w:color="auto" w:fill="CCEEFF"/>
          </w:tcPr>
          <w:p>
            <w:pPr>
              <w:spacing w:after="0"/>
              <w:rPr>
                <w:sz w:val="23"/>
                <w:szCs w:val="23"/>
                <w:color w:val="auto"/>
              </w:rPr>
            </w:pPr>
          </w:p>
        </w:tc>
      </w:tr>
      <w:tr>
        <w:trPr>
          <w:trHeight w:val="237"/>
        </w:trPr>
        <w:tc>
          <w:tcPr>
            <w:tcW w:w="586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684,565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1,326,786</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1,181,379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(101,271)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40,570</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(69,669</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3"/>
                <w:szCs w:val="2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(9,457)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(8,884)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(18,646)</w:t>
            </w:r>
          </w:p>
        </w:tc>
        <w:tc>
          <w:tcPr>
            <w:tcW w:w="200" w:type="dxa"/>
            <w:vAlign w:val="bottom"/>
          </w:tcPr>
          <w:p>
            <w:pPr>
              <w:spacing w:after="0"/>
              <w:rPr>
                <w:sz w:val="23"/>
                <w:szCs w:val="23"/>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(18,117)</w:t>
            </w:r>
          </w:p>
        </w:tc>
      </w:tr>
      <w:tr>
        <w:trPr>
          <w:trHeight w:val="270"/>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exchange gain (loss), net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(3,916)</w:t>
            </w:r>
          </w:p>
        </w:tc>
        <w:tc>
          <w:tcPr>
            <w:tcW w:w="2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(16,311)</w:t>
            </w:r>
          </w:p>
        </w:tc>
      </w:tr>
      <w:tr>
        <w:trPr>
          <w:trHeight w:val="243"/>
        </w:trPr>
        <w:tc>
          <w:tcPr>
            <w:tcW w:w="5860" w:type="dxa"/>
            <w:vAlign w:val="bottom"/>
          </w:tcPr>
          <w:p>
            <w:pPr>
              <w:ind w:left="180"/>
              <w:spacing w:after="0"/>
              <w:rPr>
                <w:sz w:val="20"/>
                <w:szCs w:val="20"/>
                <w:color w:val="auto"/>
              </w:rPr>
            </w:pPr>
            <w:r>
              <w:rPr>
                <w:rFonts w:ascii="Arial" w:cs="Arial" w:eastAsia="Arial" w:hAnsi="Arial"/>
                <w:sz w:val="18"/>
                <w:szCs w:val="18"/>
                <w:color w:val="auto"/>
              </w:rPr>
              <w:t>Other gains, net</w:t>
            </w:r>
          </w:p>
        </w:tc>
        <w:tc>
          <w:tcPr>
            <w:tcW w:w="20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21"/>
                <w:szCs w:val="2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63"/>
        </w:trPr>
        <w:tc>
          <w:tcPr>
            <w:tcW w:w="5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(22,145)</w:t>
            </w:r>
          </w:p>
        </w:tc>
        <w:tc>
          <w:tcPr>
            <w:tcW w:w="2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(32,972)</w:t>
            </w:r>
          </w:p>
        </w:tc>
      </w:tr>
      <w:tr>
        <w:trPr>
          <w:trHeight w:val="20"/>
        </w:trPr>
        <w:tc>
          <w:tcPr>
            <w:tcW w:w="5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63"/>
        </w:trPr>
        <w:tc>
          <w:tcPr>
            <w:tcW w:w="586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20,984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(106,802)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18,425</w:t>
            </w:r>
          </w:p>
        </w:tc>
        <w:tc>
          <w:tcPr>
            <w:tcW w:w="200" w:type="dxa"/>
            <w:vAlign w:val="bottom"/>
          </w:tcPr>
          <w:p>
            <w:pPr>
              <w:spacing w:after="0"/>
              <w:rPr>
                <w:sz w:val="22"/>
                <w:szCs w:val="22"/>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(102,641)</w:t>
            </w:r>
          </w:p>
        </w:tc>
      </w:tr>
      <w:tr>
        <w:trPr>
          <w:trHeight w:val="270"/>
        </w:trPr>
        <w:tc>
          <w:tcPr>
            <w:tcW w:w="5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(12,352)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(18,414)</w:t>
            </w:r>
          </w:p>
        </w:tc>
        <w:tc>
          <w:tcPr>
            <w:tcW w:w="2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(11,372)</w:t>
            </w:r>
          </w:p>
        </w:tc>
      </w:tr>
      <w:tr>
        <w:trPr>
          <w:trHeight w:val="237"/>
        </w:trPr>
        <w:tc>
          <w:tcPr>
            <w:tcW w:w="586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(115,733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(114,013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97"/>
        </w:trPr>
        <w:tc>
          <w:tcPr>
            <w:tcW w:w="5860" w:type="dxa"/>
            <w:vAlign w:val="bottom"/>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(115,804)</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(113,883)</w:t>
            </w:r>
          </w:p>
        </w:tc>
      </w:tr>
      <w:tr>
        <w:trPr>
          <w:trHeight w:val="257"/>
        </w:trPr>
        <w:tc>
          <w:tcPr>
            <w:tcW w:w="58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w w:val="93"/>
              </w:rPr>
              <w:t>Earnings (loss) per share attributable to Euronet Worldwide, Inc. stockholders: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3"/>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r>
      <w:tr>
        <w:trPr>
          <w:trHeight w:val="290"/>
        </w:trPr>
        <w:tc>
          <w:tcPr>
            <w:tcW w:w="5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(2.15)</w:t>
            </w:r>
          </w:p>
        </w:tc>
      </w:tr>
      <w:tr>
        <w:trPr>
          <w:trHeight w:val="257"/>
        </w:trPr>
        <w:tc>
          <w:tcPr>
            <w:tcW w:w="58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
        </w:trPr>
        <w:tc>
          <w:tcPr>
            <w:tcW w:w="5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3"/>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52,805,367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52,234,465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52,784,106</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52,920,784</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58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54,008,839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52,234,465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52,784,106</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52,920,784</w:t>
            </w:r>
          </w:p>
        </w:tc>
        <w:tc>
          <w:tcPr>
            <w:tcW w:w="80" w:type="dxa"/>
            <w:vAlign w:val="bottom"/>
          </w:tcPr>
          <w:p>
            <w:pPr>
              <w:spacing w:after="0"/>
              <w:rPr>
                <w:sz w:val="21"/>
                <w:szCs w:val="2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EURONET WORLDWIDE, INC. AND SUBSIDIARIES CONSOLIDATED STATEMENTS OF COMPREHENSIVE INCOME (LOSS) (Unaudited,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57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8,632</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(115,733)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(114,013)</w:t>
            </w: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12,686</w:t>
            </w:r>
          </w:p>
        </w:tc>
        <w:tc>
          <w:tcPr>
            <w:tcW w:w="4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32,172</w:t>
            </w:r>
          </w:p>
        </w:tc>
        <w:tc>
          <w:tcPr>
            <w:tcW w:w="26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(30,215)</w:t>
            </w:r>
          </w:p>
        </w:tc>
        <w:tc>
          <w:tcPr>
            <w:tcW w:w="30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(27,646)</w:t>
            </w: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Comprehensive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21,318</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(83,561)</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(30,204)</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(141,659)</w:t>
            </w: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w w:val="99"/>
              </w:rPr>
              <w:t>Comprehensive (income) loss attributable to noncontrolling interests</w:t>
            </w:r>
          </w:p>
        </w:tc>
        <w:tc>
          <w:tcPr>
            <w:tcW w:w="34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Comprehensive income (loss) attributable to Euronet Worldwide, Inc.</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21,310</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(83,659)</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(30,200)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(141,515)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17"/>
                <w:szCs w:val="17"/>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Common</w:t>
            </w:r>
          </w:p>
        </w:tc>
        <w:tc>
          <w:tcPr>
            <w:tcW w:w="180" w:type="dxa"/>
            <w:vAlign w:val="bottom"/>
          </w:tcPr>
          <w:p>
            <w:pPr>
              <w:spacing w:after="0"/>
              <w:rPr>
                <w:sz w:val="17"/>
                <w:szCs w:val="17"/>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7"/>
                <w:szCs w:val="17"/>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6"/>
                <w:szCs w:val="16"/>
                <w:b w:val="1"/>
                <w:bCs w:val="1"/>
                <w:color w:val="auto"/>
                <w:w w:val="91"/>
              </w:rPr>
              <w:t>Treasury</w:t>
            </w:r>
          </w:p>
        </w:tc>
      </w:tr>
      <w:tr>
        <w:trPr>
          <w:trHeight w:val="210"/>
        </w:trPr>
        <w:tc>
          <w:tcPr>
            <w:tcW w:w="54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Shares Outstanding</w:t>
            </w: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Stock</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Paid-in Capital</w:t>
            </w:r>
          </w:p>
        </w:tc>
        <w:tc>
          <w:tcPr>
            <w:tcW w:w="180" w:type="dxa"/>
            <w:vAlign w:val="bottom"/>
          </w:tcPr>
          <w:p>
            <w:pPr>
              <w:spacing w:after="0"/>
              <w:rPr>
                <w:sz w:val="18"/>
                <w:szCs w:val="18"/>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6"/>
                <w:szCs w:val="16"/>
                <w:b w:val="1"/>
                <w:bCs w:val="1"/>
                <w:color w:val="auto"/>
                <w:w w:val="87"/>
              </w:rPr>
              <w:t>Stock</w:t>
            </w:r>
          </w:p>
        </w:tc>
      </w:tr>
      <w:tr>
        <w:trPr>
          <w:trHeight w:val="33"/>
        </w:trPr>
        <w:tc>
          <w:tcPr>
            <w:tcW w:w="54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54,220,854</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1,256</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1,190,058</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(463,704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80,519</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1,701</w:t>
            </w: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249)</w:t>
            </w:r>
          </w:p>
        </w:tc>
      </w:tr>
      <w:tr>
        <w:trPr>
          <w:trHeight w:val="27"/>
        </w:trPr>
        <w:tc>
          <w:tcPr>
            <w:tcW w:w="5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6,338</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(2,095,683)</w:t>
            </w: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239,763)</w:t>
            </w:r>
          </w:p>
        </w:tc>
      </w:tr>
      <w:tr>
        <w:trPr>
          <w:trHeight w:val="27"/>
        </w:trPr>
        <w:tc>
          <w:tcPr>
            <w:tcW w:w="54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2020</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52,205,690</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1,257</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1,198,097</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703,716)</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82,841</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3,763</w:t>
            </w:r>
          </w:p>
        </w:tc>
        <w:tc>
          <w:tcPr>
            <w:tcW w:w="180" w:type="dxa"/>
            <w:vAlign w:val="bottom"/>
          </w:tcPr>
          <w:p>
            <w:pPr>
              <w:spacing w:after="0"/>
              <w:rPr>
                <w:sz w:val="21"/>
                <w:szCs w:val="21"/>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59</w:t>
            </w:r>
          </w:p>
        </w:tc>
      </w:tr>
      <w:tr>
        <w:trPr>
          <w:trHeight w:val="27"/>
        </w:trPr>
        <w:tc>
          <w:tcPr>
            <w:tcW w:w="5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5400" w:type="dxa"/>
            <w:vAlign w:val="bottom"/>
          </w:tcPr>
          <w:p>
            <w:pPr>
              <w:ind w:left="40"/>
              <w:spacing w:after="0"/>
              <w:rPr>
                <w:sz w:val="20"/>
                <w:szCs w:val="20"/>
                <w:color w:val="auto"/>
              </w:rPr>
            </w:pPr>
            <w:r>
              <w:rPr>
                <w:rFonts w:ascii="Arial" w:cs="Arial" w:eastAsia="Arial" w:hAnsi="Arial"/>
                <w:sz w:val="16"/>
                <w:szCs w:val="16"/>
                <w:color w:val="auto"/>
              </w:rPr>
              <w:t>Balance as of June 30, 2020</w:t>
            </w:r>
          </w:p>
        </w:tc>
        <w:tc>
          <w:tcPr>
            <w:tcW w:w="1440" w:type="dxa"/>
            <w:vAlign w:val="bottom"/>
          </w:tcPr>
          <w:p>
            <w:pPr>
              <w:jc w:val="right"/>
              <w:spacing w:after="0"/>
              <w:rPr>
                <w:sz w:val="20"/>
                <w:szCs w:val="20"/>
                <w:color w:val="auto"/>
              </w:rPr>
            </w:pPr>
            <w:r>
              <w:rPr>
                <w:rFonts w:ascii="Arial" w:cs="Arial" w:eastAsia="Arial" w:hAnsi="Arial"/>
                <w:sz w:val="16"/>
                <w:szCs w:val="16"/>
                <w:color w:val="auto"/>
              </w:rPr>
              <w:t>52,288,531</w:t>
            </w:r>
          </w:p>
        </w:tc>
        <w:tc>
          <w:tcPr>
            <w:tcW w:w="2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1,259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1,204,985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(703,657</w:t>
            </w:r>
            <w:r>
              <w:rPr>
                <w:rFonts w:ascii="Arial" w:cs="Arial" w:eastAsia="Arial" w:hAnsi="Arial"/>
                <w:sz w:val="17"/>
                <w:szCs w:val="17"/>
                <w:color w:val="auto"/>
              </w:rPr>
              <w:t>)</w:t>
            </w:r>
          </w:p>
        </w:tc>
      </w:tr>
      <w:tr>
        <w:trPr>
          <w:trHeight w:val="20"/>
        </w:trPr>
        <w:tc>
          <w:tcPr>
            <w:tcW w:w="54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5400" w:type="dxa"/>
            <w:vAlign w:val="bottom"/>
          </w:tcPr>
          <w:p>
            <w:pPr>
              <w:spacing w:after="0"/>
              <w:rPr>
                <w:sz w:val="24"/>
                <w:szCs w:val="24"/>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Number of</w:t>
            </w:r>
          </w:p>
        </w:tc>
        <w:tc>
          <w:tcPr>
            <w:tcW w:w="18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Common</w:t>
            </w:r>
          </w:p>
        </w:tc>
        <w:tc>
          <w:tcPr>
            <w:tcW w:w="18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24"/>
                <w:szCs w:val="24"/>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6"/>
                <w:szCs w:val="16"/>
                <w:b w:val="1"/>
                <w:bCs w:val="1"/>
                <w:color w:val="auto"/>
                <w:w w:val="91"/>
              </w:rPr>
              <w:t>Treasury</w:t>
            </w:r>
          </w:p>
        </w:tc>
      </w:tr>
      <w:tr>
        <w:trPr>
          <w:trHeight w:val="210"/>
        </w:trPr>
        <w:tc>
          <w:tcPr>
            <w:tcW w:w="54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Shares Outstanding</w:t>
            </w:r>
          </w:p>
        </w:tc>
        <w:tc>
          <w:tcPr>
            <w:tcW w:w="1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Stock</w:t>
            </w:r>
          </w:p>
        </w:tc>
        <w:tc>
          <w:tcPr>
            <w:tcW w:w="14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5"/>
              </w:rPr>
              <w:t>Paid-in Capital</w:t>
            </w:r>
          </w:p>
        </w:tc>
        <w:tc>
          <w:tcPr>
            <w:tcW w:w="180" w:type="dxa"/>
            <w:vAlign w:val="bottom"/>
          </w:tcPr>
          <w:p>
            <w:pPr>
              <w:spacing w:after="0"/>
              <w:rPr>
                <w:sz w:val="18"/>
                <w:szCs w:val="18"/>
                <w:color w:val="auto"/>
              </w:rPr>
            </w:pPr>
          </w:p>
        </w:tc>
        <w:tc>
          <w:tcPr>
            <w:tcW w:w="1140" w:type="dxa"/>
            <w:vAlign w:val="bottom"/>
            <w:gridSpan w:val="2"/>
          </w:tcPr>
          <w:p>
            <w:pPr>
              <w:jc w:val="center"/>
              <w:ind w:right="201"/>
              <w:spacing w:after="0"/>
              <w:rPr>
                <w:sz w:val="20"/>
                <w:szCs w:val="20"/>
                <w:color w:val="auto"/>
              </w:rPr>
            </w:pPr>
            <w:r>
              <w:rPr>
                <w:rFonts w:ascii="Arial" w:cs="Arial" w:eastAsia="Arial" w:hAnsi="Arial"/>
                <w:sz w:val="16"/>
                <w:szCs w:val="16"/>
                <w:b w:val="1"/>
                <w:bCs w:val="1"/>
                <w:color w:val="auto"/>
                <w:w w:val="87"/>
              </w:rPr>
              <w:t>Stock</w:t>
            </w:r>
          </w:p>
        </w:tc>
      </w:tr>
      <w:tr>
        <w:trPr>
          <w:trHeight w:val="33"/>
        </w:trPr>
        <w:tc>
          <w:tcPr>
            <w:tcW w:w="54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2020</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52,734,049</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1,267</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1,228,446</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(703,032)</w:t>
            </w: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62,436</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3,335</w:t>
            </w:r>
          </w:p>
        </w:tc>
        <w:tc>
          <w:tcPr>
            <w:tcW w:w="18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482</w:t>
            </w:r>
            <w:r>
              <w:rPr>
                <w:rFonts w:ascii="Arial" w:cs="Arial" w:eastAsia="Arial" w:hAnsi="Arial"/>
                <w:sz w:val="16"/>
                <w:szCs w:val="16"/>
                <w:color w:val="auto"/>
              </w:rPr>
              <w:t>)</w:t>
            </w:r>
          </w:p>
        </w:tc>
      </w:tr>
      <w:tr>
        <w:trPr>
          <w:trHeight w:val="27"/>
        </w:trPr>
        <w:tc>
          <w:tcPr>
            <w:tcW w:w="5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8,492</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0"/>
        </w:trPr>
        <w:tc>
          <w:tcPr>
            <w:tcW w:w="54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Balance as of March 31, 2021</w:t>
            </w:r>
          </w:p>
        </w:tc>
        <w:tc>
          <w:tcPr>
            <w:tcW w:w="1440" w:type="dxa"/>
            <w:vAlign w:val="bottom"/>
          </w:tcPr>
          <w:p>
            <w:pPr>
              <w:jc w:val="right"/>
              <w:spacing w:after="0"/>
              <w:rPr>
                <w:sz w:val="20"/>
                <w:szCs w:val="20"/>
                <w:color w:val="auto"/>
              </w:rPr>
            </w:pPr>
            <w:r>
              <w:rPr>
                <w:rFonts w:ascii="Arial" w:cs="Arial" w:eastAsia="Arial" w:hAnsi="Arial"/>
                <w:sz w:val="18"/>
                <w:szCs w:val="18"/>
                <w:color w:val="auto"/>
              </w:rPr>
              <w:t>52,796,485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1,268</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1,240,273</w:t>
            </w: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703,514)</w:t>
            </w:r>
          </w:p>
        </w:tc>
      </w:tr>
      <w:tr>
        <w:trPr>
          <w:trHeight w:val="27"/>
        </w:trPr>
        <w:tc>
          <w:tcPr>
            <w:tcW w:w="5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
        </w:trPr>
        <w:tc>
          <w:tcPr>
            <w:tcW w:w="54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25,769</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267</w:t>
            </w:r>
          </w:p>
        </w:tc>
      </w:tr>
      <w:tr>
        <w:trPr>
          <w:trHeight w:val="243"/>
        </w:trPr>
        <w:tc>
          <w:tcPr>
            <w:tcW w:w="540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10,984</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5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2021</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52,822,254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1,269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1,252,456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(703,247)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EURONET WORLDWIDE,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Retained</w:t>
            </w:r>
          </w:p>
        </w:tc>
        <w:tc>
          <w:tcPr>
            <w:tcW w:w="144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7"/>
                <w:szCs w:val="17"/>
                <w:color w:val="auto"/>
              </w:rPr>
            </w:pPr>
          </w:p>
        </w:tc>
        <w:tc>
          <w:tcPr>
            <w:tcW w:w="13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1"/>
              </w:rPr>
              <w:t>Noncontrolling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8"/>
                <w:szCs w:val="18"/>
                <w:color w:val="auto"/>
              </w:rPr>
            </w:pPr>
          </w:p>
        </w:tc>
        <w:tc>
          <w:tcPr>
            <w:tcW w:w="132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3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89"/>
              </w:rPr>
              <w:t>Interests</w:t>
            </w: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1,016,554</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(164,890)</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68</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1,579,342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201</w:t>
            </w: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59,777</w:t>
            </w: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41</w:t>
            </w: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59,818</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239,763)</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March 31, 2020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1,018,475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224,667</w:t>
            </w: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174</w:t>
            </w: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1,289,272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115,804</w:t>
            </w: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139"/>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115,733)</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32,145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32,172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3,824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line="162" w:lineRule="exact"/>
              <w:rPr>
                <w:sz w:val="20"/>
                <w:szCs w:val="20"/>
                <w:color w:val="auto"/>
              </w:rPr>
            </w:pPr>
            <w:r>
              <w:rPr>
                <w:rFonts w:ascii="Arial" w:cs="Arial" w:eastAsia="Arial" w:hAnsi="Arial"/>
                <w:sz w:val="16"/>
                <w:szCs w:val="16"/>
                <w:color w:val="auto"/>
                <w:w w:val="74"/>
              </w:rPr>
              <w:t>)</w:t>
            </w: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79"/>
              <w:spacing w:after="0" w:line="162" w:lineRule="exact"/>
              <w:rPr>
                <w:sz w:val="20"/>
                <w:szCs w:val="20"/>
                <w:color w:val="auto"/>
              </w:rPr>
            </w:pPr>
            <w:r>
              <w:rPr>
                <w:rFonts w:ascii="Arial" w:cs="Arial" w:eastAsia="Arial" w:hAnsi="Arial"/>
                <w:sz w:val="16"/>
                <w:szCs w:val="16"/>
                <w:color w:val="auto"/>
                <w:w w:val="74"/>
              </w:rPr>
              <w:t>)</w:t>
            </w: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20" w:type="dxa"/>
            <w:vAlign w:val="bottom"/>
            <w:vMerge w:val="restart"/>
          </w:tcPr>
          <w:p>
            <w:pPr>
              <w:ind w:left="40"/>
              <w:spacing w:after="0"/>
              <w:rPr>
                <w:sz w:val="20"/>
                <w:szCs w:val="20"/>
                <w:color w:val="auto"/>
              </w:rPr>
            </w:pPr>
            <w:r>
              <w:rPr>
                <w:rFonts w:ascii="Arial" w:cs="Arial" w:eastAsia="Arial" w:hAnsi="Arial"/>
                <w:sz w:val="16"/>
                <w:szCs w:val="16"/>
                <w:color w:val="auto"/>
              </w:rPr>
              <w:t>Balance as of June 30, 2020</w:t>
            </w:r>
          </w:p>
        </w:tc>
        <w:tc>
          <w:tcPr>
            <w:tcW w:w="220" w:type="dxa"/>
            <w:vAlign w:val="bottom"/>
            <w:vMerge w:val="restart"/>
          </w:tcPr>
          <w:p>
            <w:pPr>
              <w:jc w:val="right"/>
              <w:ind w:right="35"/>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902,671</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1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1,212,660</w:t>
            </w:r>
          </w:p>
        </w:tc>
        <w:tc>
          <w:tcPr>
            <w:tcW w:w="0" w:type="dxa"/>
            <w:vAlign w:val="bottom"/>
          </w:tcPr>
          <w:p>
            <w:pPr>
              <w:spacing w:after="0"/>
              <w:rPr>
                <w:sz w:val="1"/>
                <w:szCs w:val="1"/>
                <w:color w:val="auto"/>
              </w:rPr>
            </w:pPr>
          </w:p>
        </w:tc>
      </w:tr>
      <w:tr>
        <w:trPr>
          <w:trHeight w:val="68"/>
        </w:trPr>
        <w:tc>
          <w:tcPr>
            <w:tcW w:w="5520" w:type="dxa"/>
            <w:vAlign w:val="bottom"/>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320" w:type="dxa"/>
            <w:vAlign w:val="bottom"/>
            <w:gridSpan w:val="2"/>
          </w:tcPr>
          <w:p>
            <w:pPr>
              <w:jc w:val="right"/>
              <w:ind w:right="139"/>
              <w:spacing w:after="0" w:line="68" w:lineRule="exact"/>
              <w:rPr>
                <w:sz w:val="20"/>
                <w:szCs w:val="20"/>
                <w:color w:val="auto"/>
              </w:rPr>
            </w:pPr>
            <w:r>
              <w:rPr>
                <w:rFonts w:ascii="Arial" w:cs="Arial" w:eastAsia="Arial" w:hAnsi="Arial"/>
                <w:sz w:val="7"/>
                <w:szCs w:val="7"/>
                <w:color w:val="auto"/>
              </w:rPr>
              <w:t>(192,522</w:t>
            </w:r>
          </w:p>
        </w:tc>
        <w:tc>
          <w:tcPr>
            <w:tcW w:w="100" w:type="dxa"/>
            <w:vAlign w:val="bottom"/>
            <w:vMerge w:val="continue"/>
          </w:tcPr>
          <w:p>
            <w:pPr>
              <w:spacing w:after="0"/>
              <w:rPr>
                <w:sz w:val="5"/>
                <w:szCs w:val="5"/>
                <w:color w:val="auto"/>
              </w:rPr>
            </w:pPr>
          </w:p>
        </w:tc>
        <w:tc>
          <w:tcPr>
            <w:tcW w:w="1340" w:type="dxa"/>
            <w:vAlign w:val="bottom"/>
            <w:gridSpan w:val="2"/>
          </w:tcPr>
          <w:p>
            <w:pPr>
              <w:jc w:val="right"/>
              <w:ind w:right="139"/>
              <w:spacing w:after="0" w:line="68" w:lineRule="exact"/>
              <w:rPr>
                <w:sz w:val="20"/>
                <w:szCs w:val="20"/>
                <w:color w:val="auto"/>
              </w:rPr>
            </w:pPr>
            <w:r>
              <w:rPr>
                <w:rFonts w:ascii="Arial" w:cs="Arial" w:eastAsia="Arial" w:hAnsi="Arial"/>
                <w:sz w:val="7"/>
                <w:szCs w:val="7"/>
                <w:color w:val="auto"/>
              </w:rPr>
              <w:t>(76</w:t>
            </w:r>
          </w:p>
        </w:tc>
        <w:tc>
          <w:tcPr>
            <w:tcW w:w="26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5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9"/>
              </w:rPr>
              <w:t>Accumulated</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98"/>
              </w:rPr>
              <w:t>Other</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1"/>
              </w:rPr>
              <w:t>Retained</w:t>
            </w:r>
          </w:p>
        </w:tc>
        <w:tc>
          <w:tcPr>
            <w:tcW w:w="1440" w:type="dxa"/>
            <w:vAlign w:val="bottom"/>
            <w:gridSpan w:val="3"/>
          </w:tcPr>
          <w:p>
            <w:pPr>
              <w:jc w:val="center"/>
              <w:ind w:right="139"/>
              <w:spacing w:after="0"/>
              <w:rPr>
                <w:sz w:val="20"/>
                <w:szCs w:val="20"/>
                <w:color w:val="auto"/>
              </w:rPr>
            </w:pPr>
            <w:r>
              <w:rPr>
                <w:rFonts w:ascii="Arial" w:cs="Arial" w:eastAsia="Arial" w:hAnsi="Arial"/>
                <w:sz w:val="16"/>
                <w:szCs w:val="16"/>
                <w:b w:val="1"/>
                <w:bCs w:val="1"/>
                <w:color w:val="auto"/>
                <w:w w:val="88"/>
              </w:rPr>
              <w:t>Comprehensive</w:t>
            </w:r>
          </w:p>
        </w:tc>
        <w:tc>
          <w:tcPr>
            <w:tcW w:w="100" w:type="dxa"/>
            <w:vAlign w:val="bottom"/>
          </w:tcPr>
          <w:p>
            <w:pPr>
              <w:spacing w:after="0"/>
              <w:rPr>
                <w:sz w:val="17"/>
                <w:szCs w:val="17"/>
                <w:color w:val="auto"/>
              </w:rPr>
            </w:pPr>
          </w:p>
        </w:tc>
        <w:tc>
          <w:tcPr>
            <w:tcW w:w="13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91"/>
              </w:rPr>
              <w:t>Noncontrolling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3"/>
              </w:rPr>
              <w:t>Earnings</w:t>
            </w:r>
          </w:p>
        </w:tc>
        <w:tc>
          <w:tcPr>
            <w:tcW w:w="120" w:type="dxa"/>
            <w:vAlign w:val="bottom"/>
          </w:tcPr>
          <w:p>
            <w:pPr>
              <w:spacing w:after="0"/>
              <w:rPr>
                <w:sz w:val="18"/>
                <w:szCs w:val="18"/>
                <w:color w:val="auto"/>
              </w:rPr>
            </w:pPr>
          </w:p>
        </w:tc>
        <w:tc>
          <w:tcPr>
            <w:tcW w:w="1320" w:type="dxa"/>
            <w:vAlign w:val="bottom"/>
            <w:gridSpan w:val="2"/>
          </w:tcPr>
          <w:p>
            <w:pPr>
              <w:jc w:val="center"/>
              <w:ind w:right="259"/>
              <w:spacing w:after="0"/>
              <w:rPr>
                <w:sz w:val="20"/>
                <w:szCs w:val="20"/>
                <w:color w:val="auto"/>
              </w:rPr>
            </w:pPr>
            <w:r>
              <w:rPr>
                <w:rFonts w:ascii="Arial" w:cs="Arial" w:eastAsia="Arial" w:hAnsi="Arial"/>
                <w:sz w:val="16"/>
                <w:szCs w:val="16"/>
                <w:b w:val="1"/>
                <w:bCs w:val="1"/>
                <w:color w:val="auto"/>
                <w:w w:val="80"/>
              </w:rPr>
              <w:t>Loss</w:t>
            </w:r>
          </w:p>
        </w:tc>
        <w:tc>
          <w:tcPr>
            <w:tcW w:w="100" w:type="dxa"/>
            <w:vAlign w:val="bottom"/>
          </w:tcPr>
          <w:p>
            <w:pPr>
              <w:spacing w:after="0"/>
              <w:rPr>
                <w:sz w:val="18"/>
                <w:szCs w:val="18"/>
                <w:color w:val="auto"/>
              </w:rPr>
            </w:pPr>
          </w:p>
        </w:tc>
        <w:tc>
          <w:tcPr>
            <w:tcW w:w="13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w w:val="89"/>
              </w:rPr>
              <w:t>Interests</w:t>
            </w:r>
          </w:p>
        </w:tc>
        <w:tc>
          <w:tcPr>
            <w:tcW w:w="26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2020</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1,013,155</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(94,214)</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281</w:t>
            </w:r>
          </w:p>
        </w:tc>
        <w:tc>
          <w:tcPr>
            <w:tcW w:w="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1,445,903</w:t>
            </w:r>
          </w:p>
        </w:tc>
        <w:tc>
          <w:tcPr>
            <w:tcW w:w="0" w:type="dxa"/>
            <w:vAlign w:val="bottom"/>
          </w:tcPr>
          <w:p>
            <w:pPr>
              <w:spacing w:after="0"/>
              <w:rPr>
                <w:sz w:val="1"/>
                <w:szCs w:val="1"/>
                <w:color w:val="auto"/>
              </w:rPr>
            </w:pPr>
          </w:p>
        </w:tc>
      </w:tr>
      <w:tr>
        <w:trPr>
          <w:trHeight w:val="260"/>
        </w:trPr>
        <w:tc>
          <w:tcPr>
            <w:tcW w:w="55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20" w:type="dxa"/>
            <w:vAlign w:val="bottom"/>
          </w:tcPr>
          <w:p>
            <w:pPr>
              <w:spacing w:after="0"/>
              <w:rPr>
                <w:sz w:val="22"/>
                <w:szCs w:val="22"/>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8,665</w:t>
            </w: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139"/>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(8,621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42,845</w:t>
            </w: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56</w:t>
            </w: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(42,901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8,492</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6"/>
                <w:szCs w:val="16"/>
                <w:color w:val="auto"/>
              </w:rPr>
              <w:t>Balance as of March 31, 2021</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1,004,490</w:t>
            </w:r>
          </w:p>
        </w:tc>
        <w:tc>
          <w:tcPr>
            <w:tcW w:w="120" w:type="dxa"/>
            <w:vAlign w:val="bottom"/>
          </w:tcPr>
          <w:p>
            <w:pPr>
              <w:spacing w:after="0"/>
              <w:rPr>
                <w:sz w:val="20"/>
                <w:szCs w:val="20"/>
                <w:color w:val="auto"/>
              </w:rPr>
            </w:pPr>
          </w:p>
        </w:tc>
        <w:tc>
          <w:tcPr>
            <w:tcW w:w="13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137,059</w:t>
            </w: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1,405,727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8,635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39"/>
              <w:spacing w:after="0"/>
              <w:rPr>
                <w:sz w:val="20"/>
                <w:szCs w:val="20"/>
                <w:color w:val="auto"/>
              </w:rPr>
            </w:pPr>
            <w:r>
              <w:rPr>
                <w:rFonts w:ascii="Arial" w:cs="Arial" w:eastAsia="Arial" w:hAnsi="Arial"/>
                <w:sz w:val="18"/>
                <w:szCs w:val="18"/>
                <w:color w:val="auto"/>
              </w:rPr>
              <w:t>12,675</w:t>
            </w:r>
          </w:p>
        </w:tc>
        <w:tc>
          <w:tcPr>
            <w:tcW w:w="100" w:type="dxa"/>
            <w:vAlign w:val="bottom"/>
          </w:tcPr>
          <w:p>
            <w:pPr>
              <w:spacing w:after="0"/>
              <w:rPr>
                <w:sz w:val="21"/>
                <w:szCs w:val="21"/>
                <w:color w:val="auto"/>
              </w:rPr>
            </w:pPr>
          </w:p>
        </w:tc>
        <w:tc>
          <w:tcPr>
            <w:tcW w:w="1340" w:type="dxa"/>
            <w:vAlign w:val="bottom"/>
            <w:gridSpan w:val="2"/>
          </w:tcPr>
          <w:p>
            <w:pPr>
              <w:jc w:val="right"/>
              <w:ind w:right="139"/>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12,686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10,984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June 30, 2021</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1,013,125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(124,384)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277</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1,439,496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13335</wp:posOffset>
            </wp:positionV>
            <wp:extent cx="16370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210"/>
        </w:trPr>
        <w:tc>
          <w:tcPr>
            <w:tcW w:w="8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(114,013)</w:t>
            </w: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66,820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61,058</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9,463</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16,311</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104,554</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10,012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9,281</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Income taxes payable, net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(16,433)</w:t>
            </w: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136,121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229,597</w:t>
            </w: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136,331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(16,999)</w:t>
            </w: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(135,121)</w:t>
            </w:r>
          </w:p>
        </w:tc>
      </w:tr>
      <w:tr>
        <w:trPr>
          <w:trHeight w:val="216"/>
        </w:trPr>
        <w:tc>
          <w:tcPr>
            <w:tcW w:w="850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16"/>
        </w:trPr>
        <w:tc>
          <w:tcPr>
            <w:tcW w:w="8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57,281</w:t>
            </w:r>
          </w:p>
        </w:tc>
      </w:tr>
      <w:tr>
        <w:trPr>
          <w:trHeight w:val="216"/>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(25,021)</w:t>
            </w:r>
          </w:p>
        </w:tc>
      </w:tr>
      <w:tr>
        <w:trPr>
          <w:trHeight w:val="210"/>
        </w:trPr>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173,307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178,557</w:t>
            </w: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Acquisitions, net of cash acquired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(45,500)</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other long-term assets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r>
      <w:tr>
        <w:trPr>
          <w:trHeight w:val="216"/>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486</w:t>
            </w:r>
          </w:p>
        </w:tc>
      </w:tr>
      <w:tr>
        <w:trPr>
          <w:trHeight w:val="210"/>
        </w:trPr>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(48,624)</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8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shares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5,271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5,668</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Repurchase of shares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(240,684)</w:t>
            </w:r>
          </w:p>
        </w:tc>
      </w:tr>
      <w:tr>
        <w:trPr>
          <w:trHeight w:val="230"/>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1,606,100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1,425,100</w:t>
            </w:r>
          </w:p>
        </w:tc>
      </w:tr>
      <w:tr>
        <w:trPr>
          <w:trHeight w:val="216"/>
        </w:trPr>
        <w:tc>
          <w:tcPr>
            <w:tcW w:w="8500" w:type="dxa"/>
            <w:vAlign w:val="bottom"/>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(1,855,700)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(1,425,100)</w:t>
            </w:r>
          </w:p>
        </w:tc>
      </w:tr>
      <w:tr>
        <w:trPr>
          <w:trHeight w:val="216"/>
        </w:trPr>
        <w:tc>
          <w:tcPr>
            <w:tcW w:w="8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repayments from short-term debt obligations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r>
      <w:tr>
        <w:trPr>
          <w:trHeight w:val="216"/>
        </w:trPr>
        <w:tc>
          <w:tcPr>
            <w:tcW w:w="85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r>
      <w:tr>
        <w:trPr>
          <w:trHeight w:val="263"/>
        </w:trPr>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(248,553)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(240,974)</w:t>
            </w: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(27,787)</w:t>
            </w:r>
          </w:p>
        </w:tc>
      </w:tr>
      <w:tr>
        <w:trPr>
          <w:trHeight w:val="216"/>
        </w:trPr>
        <w:tc>
          <w:tcPr>
            <w:tcW w:w="85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Decrease in cash and cash equivalents and restricted cash</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(138,828)</w:t>
            </w: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2,099,508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1,817,379</w:t>
            </w:r>
          </w:p>
        </w:tc>
      </w:tr>
      <w:tr>
        <w:trPr>
          <w:trHeight w:val="175"/>
        </w:trPr>
        <w:tc>
          <w:tcPr>
            <w:tcW w:w="8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r>
      <w:tr>
        <w:trPr>
          <w:trHeight w:val="250"/>
        </w:trPr>
        <w:tc>
          <w:tcPr>
            <w:tcW w:w="8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1,932,652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1,678,551</w:t>
            </w:r>
          </w:p>
        </w:tc>
      </w:tr>
      <w:tr>
        <w:trPr>
          <w:trHeight w:val="156"/>
        </w:trPr>
        <w:tc>
          <w:tcPr>
            <w:tcW w:w="8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216"/>
        </w:trPr>
        <w:tc>
          <w:tcPr>
            <w:tcW w:w="8500" w:type="dxa"/>
            <w:vAlign w:val="bottom"/>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paid during the period</w:t>
            </w:r>
          </w:p>
        </w:tc>
        <w:tc>
          <w:tcPr>
            <w:tcW w:w="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13,359</w:t>
            </w:r>
          </w:p>
        </w:tc>
      </w:tr>
      <w:tr>
        <w:trPr>
          <w:trHeight w:val="202"/>
        </w:trPr>
        <w:tc>
          <w:tcPr>
            <w:tcW w:w="8500" w:type="dxa"/>
            <w:vAlign w:val="bottom"/>
          </w:tcPr>
          <w:p>
            <w:pPr>
              <w:ind w:left="40"/>
              <w:spacing w:after="0" w:line="201" w:lineRule="exact"/>
              <w:rPr>
                <w:sz w:val="20"/>
                <w:szCs w:val="20"/>
                <w:color w:val="auto"/>
              </w:rPr>
            </w:pPr>
            <w:r>
              <w:rPr>
                <w:rFonts w:ascii="Arial" w:cs="Arial" w:eastAsia="Arial" w:hAnsi="Arial"/>
                <w:sz w:val="18"/>
                <w:szCs w:val="18"/>
                <w:color w:val="auto"/>
              </w:rPr>
              <w:t>Income taxes paid during the period</w:t>
            </w:r>
          </w:p>
        </w:tc>
        <w:tc>
          <w:tcPr>
            <w:tcW w:w="380" w:type="dxa"/>
            <w:vAlign w:val="bottom"/>
            <w:gridSpan w:val="2"/>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18,886</w:t>
            </w:r>
          </w:p>
        </w:tc>
        <w:tc>
          <w:tcPr>
            <w:tcW w:w="100" w:type="dxa"/>
            <w:vAlign w:val="bottom"/>
          </w:tcPr>
          <w:p>
            <w:pPr>
              <w:spacing w:after="0"/>
              <w:rPr>
                <w:sz w:val="17"/>
                <w:szCs w:val="17"/>
                <w:color w:val="auto"/>
              </w:rPr>
            </w:pPr>
          </w:p>
        </w:tc>
        <w:tc>
          <w:tcPr>
            <w:tcW w:w="220" w:type="dxa"/>
            <w:vAlign w:val="bottom"/>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line="201" w:lineRule="exact"/>
              <w:rPr>
                <w:sz w:val="20"/>
                <w:szCs w:val="20"/>
                <w:color w:val="auto"/>
              </w:rPr>
            </w:pPr>
            <w:r>
              <w:rPr>
                <w:rFonts w:ascii="Arial" w:cs="Arial" w:eastAsia="Arial" w:hAnsi="Arial"/>
                <w:sz w:val="18"/>
                <w:szCs w:val="18"/>
                <w:color w:val="auto"/>
              </w:rPr>
              <w:t>29,695</w:t>
            </w:r>
          </w:p>
        </w:tc>
      </w:tr>
      <w:tr>
        <w:trPr>
          <w:trHeight w:val="230"/>
        </w:trPr>
        <w:tc>
          <w:tcPr>
            <w:tcW w:w="8500" w:type="dxa"/>
            <w:vAlign w:val="bottom"/>
          </w:tcPr>
          <w:p>
            <w:pPr>
              <w:ind w:left="2900"/>
              <w:spacing w:after="0"/>
              <w:rPr>
                <w:sz w:val="20"/>
                <w:szCs w:val="20"/>
                <w:color w:val="auto"/>
              </w:rPr>
            </w:pPr>
            <w:r>
              <w:rPr>
                <w:rFonts w:ascii="Arial" w:cs="Arial" w:eastAsia="Arial" w:hAnsi="Arial"/>
                <w:sz w:val="18"/>
                <w:szCs w:val="18"/>
                <w:color w:val="auto"/>
                <w:w w:val="91"/>
              </w:rPr>
              <w:t>See accompanying notes to the unaudited consolidated financial statements.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8500" w:type="dxa"/>
            <w:vAlign w:val="bottom"/>
          </w:tcPr>
          <w:p>
            <w:pPr>
              <w:ind w:left="558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28"/>
        </w:trPr>
        <w:tc>
          <w:tcPr>
            <w:tcW w:w="8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Euronet Worldwide, Inc. (the “Company” or “Euronet”) was established as a Delaware corporation on December 13, 1997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automated teller machine (“ATM”), point-of-sale (“POS”), card outsourcing, card issuing and merchant acquiring services, electronic distribution of prepaid mobile airtime and other electronic payment products, and global money transfer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the audited consolidated financial statements of the Company for the year ended December 31, 2020, including the notes thereto, set forth in the Company’s 2020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Euronet’s Electronic Funds Transfer ("EFT") Processing Segment normally experiences its heaviest demand for dynamic currency conversion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August 2020, the Financial Accounting Standards Board ("FASB") issued ASU 2020-06, </w:t>
      </w:r>
      <w:r>
        <w:rPr>
          <w:rFonts w:ascii="Arial" w:cs="Arial" w:eastAsia="Arial" w:hAnsi="Arial"/>
          <w:sz w:val="16"/>
          <w:szCs w:val="16"/>
          <w:i w:val="1"/>
          <w:iCs w:val="1"/>
          <w:color w:val="auto"/>
        </w:rPr>
        <w:t>"Accounting for Convertible Instruments and Contracts in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Entity's Own Equity" </w:t>
      </w:r>
      <w:r>
        <w:rPr>
          <w:rFonts w:ascii="Arial" w:cs="Arial" w:eastAsia="Arial" w:hAnsi="Arial"/>
          <w:sz w:val="16"/>
          <w:szCs w:val="16"/>
          <w:color w:val="auto"/>
        </w:rPr>
        <w:t>which simplifies the accounting for convertible instruments by eliminating certain accounting models when the conversion features</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The new guidance is effective for annual periods beginning after December 15, 2021, including interim periods within those fiscal years. Early adoption is permitted. The Company is currently evaluating the impact the adoption of ASU 2020-06 will have on the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PENDING ACQUISITION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2021, the Company entered into an agreement to purchase the Piraeus Bank Merchant Acquiring business of Piraeus Bank for €300 million, or approximately $360 million. The proposed arrangement will include separate commercial agreements for a long-term strategic partnership with Piraeus Bank for collaborative product distribution, processing and customer referrals. The acquisition will expand the Company’s omnichannel payments strategy and position the Company in Greece’s growing market for merchant acquiring services. The closing is targeted for late 2021 and is subject to regulatory approvals, finalization of the commercial agreements, and customary closing conditions. The Company expects to finance the purchase price using cash on hand.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SETTLEMENT ASSETS AND OBLIGATIONS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Settlement assets represent funds received or to be received from agents for unsettled money transfers and from merchants for unsettled prepaid transactions. The Company records corresponding settlement obligations relating to accounts payable. Settlement assets consist of cash and cash equivalents, restricted cash, accounts receivable and prepaid expenses and other current assets. Cash received by Euronet agents and merchants generally becomes available to the Company within two weeks after initial receipt by the business partner. Receivables from business partners represent funds collected by such business partners that are in transit to the Company.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Settlement obligations consist of money transfers and accounts payable to agents and content providers. Money transfer accounts payable represent amounts to be paid to transferees when they request funds. Most agents typically settle with transferees first then obtain reimbursement from the Company. Money order accounts payable represent amounts not yet presented for payment. Due to the agent funding and settlement process, accounts payable to agents represent amounts due to agents for money transfers that have not been settled with transferees.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2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jc w:val="center"/>
              <w:ind w:right="460"/>
              <w:spacing w:after="0" w:line="147"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3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Settlement cash and cash equivalents</w:t>
            </w:r>
          </w:p>
        </w:tc>
        <w:tc>
          <w:tcPr>
            <w:tcW w:w="34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311,131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188,191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 restricted cash</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w w:val="96"/>
              </w:rPr>
              <w:t>Accounts receivable, net of credit losses of $30,582 and $35,800</w:t>
            </w:r>
          </w:p>
        </w:tc>
        <w:tc>
          <w:tcPr>
            <w:tcW w:w="3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467,293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641,955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234,055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5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settlement assets</w:t>
            </w:r>
          </w:p>
        </w:tc>
        <w:tc>
          <w:tcPr>
            <w:tcW w:w="3240" w:type="dxa"/>
            <w:vAlign w:val="bottom"/>
            <w:tcBorders>
              <w:bottom w:val="single" w:sz="8" w:color="CCEEFF"/>
            </w:tcBorders>
            <w:gridSpan w:val="2"/>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929,722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1,140,875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3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180"/>
              <w:spacing w:after="0"/>
              <w:rPr>
                <w:sz w:val="20"/>
                <w:szCs w:val="20"/>
                <w:color w:val="auto"/>
              </w:rPr>
            </w:pPr>
            <w:r>
              <w:rPr>
                <w:rFonts w:ascii="Arial" w:cs="Arial" w:eastAsia="Arial" w:hAnsi="Arial"/>
                <w:sz w:val="18"/>
                <w:szCs w:val="18"/>
                <w:color w:val="auto"/>
              </w:rPr>
              <w:t>Trade account payables</w:t>
            </w:r>
          </w:p>
        </w:tc>
        <w:tc>
          <w:tcPr>
            <w:tcW w:w="34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353,502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571,175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576,220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569,700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00" w:type="dxa"/>
            <w:vAlign w:val="bottom"/>
          </w:tcPr>
          <w:p>
            <w:pPr>
              <w:ind w:left="40"/>
              <w:spacing w:after="0"/>
              <w:rPr>
                <w:sz w:val="20"/>
                <w:szCs w:val="20"/>
                <w:color w:val="auto"/>
              </w:rPr>
            </w:pPr>
            <w:r>
              <w:rPr>
                <w:rFonts w:ascii="Arial" w:cs="Arial" w:eastAsia="Arial" w:hAnsi="Arial"/>
                <w:sz w:val="18"/>
                <w:szCs w:val="18"/>
                <w:color w:val="auto"/>
              </w:rPr>
              <w:t>Total settlement obligations</w:t>
            </w:r>
          </w:p>
        </w:tc>
        <w:tc>
          <w:tcPr>
            <w:tcW w:w="3240" w:type="dxa"/>
            <w:vAlign w:val="bottom"/>
            <w:gridSpan w:val="2"/>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929,722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1,140,875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120" w:type="dxa"/>
            <w:vAlign w:val="bottom"/>
            <w:vMerge w:val="restart"/>
          </w:tcPr>
          <w:p>
            <w:pPr>
              <w:jc w:val="right"/>
              <w:ind w:right="257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20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3"/>
                <w:szCs w:val="13"/>
                <w:color w:val="auto"/>
              </w:rPr>
            </w:pPr>
          </w:p>
        </w:tc>
        <w:tc>
          <w:tcPr>
            <w:tcW w:w="11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12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49"/>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994,488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864,871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786,081</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34,301</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665,641</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188,191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340,915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282,188</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49,168</w:t>
            </w:r>
          </w:p>
        </w:tc>
      </w:tr>
      <w:tr>
        <w:trPr>
          <w:trHeight w:val="25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1,932,652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2,099,508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1,678,551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1,817,379</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the Company's common stock, assumed vesting of restricted stock and the assumed conversion of the Company's convertible debt, if such conversion would be dilutive.</w:t>
      </w:r>
    </w:p>
    <w:p>
      <w:pPr>
        <w:sectPr>
          <w:pgSz w:w="11900" w:h="16838" w:orient="portrait"/>
          <w:cols w:equalWidth="0" w:num="1">
            <w:col w:w="11240"/>
          </w:cols>
          <w:pgMar w:left="320" w:top="125" w:right="3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computation of diluted weighted average number of common shares outstanding:</w:t>
      </w:r>
    </w:p>
    <w:p>
      <w:pPr>
        <w:spacing w:after="0" w:line="267"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13335</wp:posOffset>
            </wp:positionV>
            <wp:extent cx="16287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r>
      <w:tr>
        <w:trPr>
          <w:trHeight w:val="243"/>
        </w:trPr>
        <w:tc>
          <w:tcPr>
            <w:tcW w:w="5720" w:type="dxa"/>
            <w:vAlign w:val="bottom"/>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0"/>
        </w:trPr>
        <w:tc>
          <w:tcPr>
            <w:tcW w:w="572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1120" w:type="dxa"/>
            <w:vAlign w:val="bottom"/>
          </w:tcPr>
          <w:p>
            <w:pPr>
              <w:jc w:val="right"/>
              <w:spacing w:after="0"/>
              <w:rPr>
                <w:sz w:val="20"/>
                <w:szCs w:val="20"/>
                <w:color w:val="auto"/>
              </w:rPr>
            </w:pPr>
            <w:r>
              <w:rPr>
                <w:rFonts w:ascii="Arial" w:cs="Arial" w:eastAsia="Arial" w:hAnsi="Arial"/>
                <w:sz w:val="18"/>
                <w:szCs w:val="18"/>
                <w:color w:val="auto"/>
              </w:rPr>
              <w:t>52,805,367</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52,234,465</w:t>
            </w:r>
          </w:p>
        </w:tc>
      </w:tr>
      <w:tr>
        <w:trPr>
          <w:trHeight w:val="256"/>
        </w:trPr>
        <w:tc>
          <w:tcPr>
            <w:tcW w:w="5720" w:type="dxa"/>
            <w:vAlign w:val="bottom"/>
          </w:tcPr>
          <w:p>
            <w:pPr>
              <w:ind w:left="140"/>
              <w:spacing w:after="0"/>
              <w:rPr>
                <w:sz w:val="20"/>
                <w:szCs w:val="20"/>
                <w:color w:val="auto"/>
              </w:rPr>
            </w:pPr>
            <w:r>
              <w:rPr>
                <w:rFonts w:ascii="Arial" w:cs="Arial" w:eastAsia="Arial" w:hAnsi="Arial"/>
                <w:sz w:val="18"/>
                <w:szCs w:val="18"/>
                <w:color w:val="auto"/>
                <w:w w:val="94"/>
              </w:rPr>
              <w:t>Incremental shares from assumed exercise of stock options and vesting of</w:t>
            </w: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5720" w:type="dxa"/>
            <w:vAlign w:val="bottom"/>
          </w:tcPr>
          <w:p>
            <w:pPr>
              <w:ind w:left="460"/>
              <w:spacing w:after="0"/>
              <w:rPr>
                <w:sz w:val="20"/>
                <w:szCs w:val="20"/>
                <w:color w:val="auto"/>
              </w:rPr>
            </w:pPr>
            <w:r>
              <w:rPr>
                <w:rFonts w:ascii="Arial" w:cs="Arial" w:eastAsia="Arial" w:hAnsi="Arial"/>
                <w:sz w:val="18"/>
                <w:szCs w:val="18"/>
                <w:color w:val="auto"/>
              </w:rPr>
              <w:t>restricted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1,203,472</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720" w:type="dxa"/>
            <w:vAlign w:val="bottom"/>
          </w:tcPr>
          <w:p>
            <w:pPr>
              <w:ind w:left="240"/>
              <w:spacing w:after="0"/>
              <w:rPr>
                <w:sz w:val="20"/>
                <w:szCs w:val="20"/>
                <w:color w:val="auto"/>
              </w:rPr>
            </w:pPr>
            <w:r>
              <w:rPr>
                <w:rFonts w:ascii="Arial" w:cs="Arial" w:eastAsia="Arial" w:hAnsi="Arial"/>
                <w:sz w:val="18"/>
                <w:szCs w:val="18"/>
                <w:color w:val="auto"/>
              </w:rPr>
              <w:t>Diluted weighted average shares outstanding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54,008,839</w:t>
            </w:r>
          </w:p>
        </w:tc>
        <w:tc>
          <w:tcPr>
            <w:tcW w:w="3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52,234,465</w:t>
            </w: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115175"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-864870</wp:posOffset>
            </wp:positionV>
            <wp:extent cx="711517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-3175</wp:posOffset>
            </wp:positionV>
            <wp:extent cx="1560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ind w:left="100"/>
        <w:spacing w:after="0"/>
        <w:tabs>
          <w:tab w:leader="none" w:pos="1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333" w:lineRule="exact"/>
        <w:rPr>
          <w:sz w:val="20"/>
          <w:szCs w:val="20"/>
          <w:color w:val="auto"/>
        </w:rPr>
      </w:pPr>
    </w:p>
    <w:p>
      <w:pPr>
        <w:spacing w:after="0"/>
        <w:tabs>
          <w:tab w:leader="none" w:pos="1320" w:val="left"/>
        </w:tabs>
        <w:rPr>
          <w:sz w:val="20"/>
          <w:szCs w:val="20"/>
          <w:color w:val="auto"/>
        </w:rPr>
      </w:pPr>
      <w:r>
        <w:rPr>
          <w:rFonts w:ascii="Arial" w:cs="Arial" w:eastAsia="Arial" w:hAnsi="Arial"/>
          <w:sz w:val="15"/>
          <w:szCs w:val="15"/>
          <w:color w:val="auto"/>
        </w:rPr>
        <w:t>52,784,106</w:t>
      </w:r>
      <w:r>
        <w:rPr>
          <w:sz w:val="20"/>
          <w:szCs w:val="20"/>
          <w:color w:val="auto"/>
        </w:rPr>
        <w:tab/>
      </w:r>
      <w:r>
        <w:rPr>
          <w:rFonts w:ascii="Arial" w:cs="Arial" w:eastAsia="Arial" w:hAnsi="Arial"/>
          <w:sz w:val="15"/>
          <w:szCs w:val="15"/>
          <w:color w:val="auto"/>
        </w:rPr>
        <w:t>52,920,784</w:t>
      </w:r>
    </w:p>
    <w:p>
      <w:pPr>
        <w:spacing w:after="0" w:line="314" w:lineRule="exact"/>
        <w:rPr>
          <w:sz w:val="20"/>
          <w:szCs w:val="20"/>
          <w:color w:val="auto"/>
        </w:rPr>
      </w:pPr>
    </w:p>
    <w:p>
      <w:pPr>
        <w:ind w:left="620"/>
        <w:spacing w:after="0"/>
        <w:tabs>
          <w:tab w:leader="none" w:pos="1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31750</wp:posOffset>
            </wp:positionV>
            <wp:extent cx="1560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57" w:lineRule="exact"/>
        <w:rPr>
          <w:sz w:val="20"/>
          <w:szCs w:val="20"/>
          <w:color w:val="auto"/>
        </w:rPr>
      </w:pPr>
    </w:p>
    <w:p>
      <w:pPr>
        <w:spacing w:after="0"/>
        <w:tabs>
          <w:tab w:leader="none" w:pos="1320" w:val="left"/>
        </w:tabs>
        <w:rPr>
          <w:sz w:val="20"/>
          <w:szCs w:val="20"/>
          <w:color w:val="auto"/>
        </w:rPr>
      </w:pPr>
      <w:r>
        <w:rPr>
          <w:rFonts w:ascii="Arial" w:cs="Arial" w:eastAsia="Arial" w:hAnsi="Arial"/>
          <w:sz w:val="15"/>
          <w:szCs w:val="15"/>
          <w:color w:val="auto"/>
        </w:rPr>
        <w:t>52,784,106</w:t>
      </w:r>
      <w:r>
        <w:rPr>
          <w:sz w:val="20"/>
          <w:szCs w:val="20"/>
          <w:color w:val="auto"/>
        </w:rPr>
        <w:tab/>
      </w:r>
      <w:r>
        <w:rPr>
          <w:rFonts w:ascii="Arial" w:cs="Arial" w:eastAsia="Arial" w:hAnsi="Arial"/>
          <w:sz w:val="15"/>
          <w:szCs w:val="15"/>
          <w:color w:val="auto"/>
        </w:rPr>
        <w:t>52,920,784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53975</wp:posOffset>
            </wp:positionV>
            <wp:extent cx="156019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0195" cy="25400"/>
                    </a:xfrm>
                    <a:prstGeom prst="rect">
                      <a:avLst/>
                    </a:prstGeom>
                    <a:noFill/>
                  </pic:spPr>
                </pic:pic>
              </a:graphicData>
            </a:graphic>
          </wp:anchor>
        </w:drawing>
      </w:r>
    </w:p>
    <w:p>
      <w:pPr>
        <w:spacing w:after="0" w:line="325" w:lineRule="exact"/>
        <w:rPr>
          <w:sz w:val="20"/>
          <w:szCs w:val="20"/>
          <w:color w:val="auto"/>
        </w:rPr>
      </w:pPr>
    </w:p>
    <w:p>
      <w:pPr>
        <w:sectPr>
          <w:pgSz w:w="11900" w:h="16838" w:orient="portrait"/>
          <w:cols w:equalWidth="0" w:num="2">
            <w:col w:w="8320" w:space="640"/>
            <w:col w:w="2280"/>
          </w:cols>
          <w:pgMar w:left="320" w:top="125" w:right="339" w:bottom="1440" w:gutter="0" w:footer="0" w:header="0"/>
          <w:type w:val="continuous"/>
        </w:sectPr>
      </w:pP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table includes all stock options and restricted stock that are dilutive to the Company's weighted average common shares outstanding during the period. The calculation of diluted earnings (loss) per share excludes stock options or shares of restricted stock that are anti-dilutive to the Company’s weighted average common shares outstanding of approximately 1,239,000 and 2,429,000 for the three and six months ended June 30, 2021, respectively, and approximately 2,533,000 and 1,608,000 for the three and six months ended June 30, 2020, respectively.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Company issued Convertible Senior Notes ("Convertible Notes") due March 2049 on March 18, 2019. The Company's Convertible Notes currently have a settlement feature requiring the Company upon conversion to settle the principal amount of the debt and any conversion value in excess of the principal value ("conversion premium"), for cash or shares of the Company's common stock or a combination thereof, at the Company's option. The Company has stated its intent to settle any conversion of these notes by paying cash for the principal value and issuing common stock for any conversion premium. Accordingly, the Convertible Notes were included in the calculation of diluted earnings (loss) per share if their inclusion was dilutive. The dilutive effect increases the more the market price exceeds the conversion price. The Convertible Notes would only have a dilutive effect if the market price per share of common stock exceeds the conversion price of $188.73 per share. The market price per share of common stock was $135.35 on June 30, 2021 and $95.82 on June 30, 2020, therefore, according to ASC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(“ASC 260”)</w:t>
      </w:r>
      <w:r>
        <w:rPr>
          <w:rFonts w:ascii="Arial" w:cs="Arial" w:eastAsia="Arial" w:hAnsi="Arial"/>
          <w:sz w:val="17"/>
          <w:szCs w:val="17"/>
          <w:i w:val="1"/>
          <w:iCs w:val="1"/>
          <w:color w:val="auto"/>
        </w:rPr>
        <w:t>,</w:t>
      </w:r>
      <w:r>
        <w:rPr>
          <w:rFonts w:ascii="Arial" w:cs="Arial" w:eastAsia="Arial" w:hAnsi="Arial"/>
          <w:sz w:val="17"/>
          <w:szCs w:val="17"/>
          <w:color w:val="auto"/>
        </w:rPr>
        <w:t xml:space="preserve"> there was no dilutive effect of the assumed conversion of the debentures for the three and six months ended June 30, 2021 and 2020. See Note 9, Debt Obligations, to the consolidated financial statements for more information about the Convertible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11, 2019, in connection with the issuance of the Convertible Notes, the Board of Directors authorized a repurchase program of $120 million in value of the Company's common stock through March 11, 2021. On February 26, 2020, the Company put a repurchase program in place to repurchase up to $250 million in value, but not more than 5.0 million shares of common stock through February 28, 2022. For the three and six months ended June 30, 2021, there were no repurchases of stock under the repurchase programs. Repurchases under the current program may take place in the open market or in privately negotiated transactions, including derivative transactions, and may be made under a Rule 10b5-1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Accumulated other comprehensive income (loss) consists entirely of foreign currency translation adjustments. The Company recorded a foreign currency translation gain of $12.7 million and a loss of $30.2 million for the three and six months ended June 30, 2021, respectively, and a gain of $32.2 million and a loss of $27.6 million for the three and six months ended June 30, 2020, respectively. There were no reclassifications of foreign currency translation into the consolidated statements of income for the three and six months ended June 30, 2021 and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six months ended June 30, 2021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Acquired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Intangible</w:t>
            </w:r>
          </w:p>
        </w:tc>
        <w:tc>
          <w:tcPr>
            <w:tcW w:w="24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Goodwill</w:t>
            </w:r>
          </w:p>
        </w:tc>
        <w:tc>
          <w:tcPr>
            <w:tcW w:w="22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3"/>
              </w:rPr>
              <w:t>Intangible</w:t>
            </w:r>
          </w:p>
        </w:tc>
        <w:tc>
          <w:tcPr>
            <w:tcW w:w="0" w:type="dxa"/>
            <w:vAlign w:val="bottom"/>
          </w:tcPr>
          <w:p>
            <w:pPr>
              <w:spacing w:after="0"/>
              <w:rPr>
                <w:sz w:val="1"/>
                <w:szCs w:val="1"/>
                <w:color w:val="auto"/>
              </w:rPr>
            </w:pPr>
          </w:p>
        </w:tc>
      </w:tr>
      <w:tr>
        <w:trPr>
          <w:trHeight w:val="171"/>
        </w:trPr>
        <w:tc>
          <w:tcPr>
            <w:tcW w:w="69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37"/>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121,883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665,821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787,704</w:t>
            </w:r>
          </w:p>
        </w:tc>
        <w:tc>
          <w:tcPr>
            <w:tcW w:w="0" w:type="dxa"/>
            <w:vAlign w:val="bottom"/>
          </w:tcPr>
          <w:p>
            <w:pPr>
              <w:spacing w:after="0"/>
              <w:rPr>
                <w:sz w:val="1"/>
                <w:szCs w:val="1"/>
                <w:color w:val="auto"/>
              </w:rPr>
            </w:pPr>
          </w:p>
        </w:tc>
      </w:tr>
      <w:tr>
        <w:trPr>
          <w:trHeight w:val="216"/>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Decreases: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(9,457)</w:t>
            </w:r>
          </w:p>
        </w:tc>
        <w:tc>
          <w:tcPr>
            <w:tcW w:w="0" w:type="dxa"/>
            <w:vAlign w:val="bottom"/>
          </w:tcPr>
          <w:p>
            <w:pPr>
              <w:spacing w:after="0"/>
              <w:rPr>
                <w:sz w:val="1"/>
                <w:szCs w:val="1"/>
                <w:color w:val="auto"/>
              </w:rPr>
            </w:pPr>
          </w:p>
        </w:tc>
      </w:tr>
      <w:tr>
        <w:trPr>
          <w:trHeight w:val="209"/>
        </w:trPr>
        <w:tc>
          <w:tcPr>
            <w:tcW w:w="6980" w:type="dxa"/>
            <w:vAlign w:val="bottom"/>
            <w:gridSpan w:val="2"/>
          </w:tcPr>
          <w:p>
            <w:pPr>
              <w:ind w:left="40"/>
              <w:spacing w:after="0"/>
              <w:rPr>
                <w:sz w:val="20"/>
                <w:szCs w:val="20"/>
                <w:color w:val="auto"/>
              </w:rPr>
            </w:pPr>
            <w:r>
              <w:rPr>
                <w:rFonts w:ascii="Arial" w:cs="Arial" w:eastAsia="Arial" w:hAnsi="Arial"/>
                <w:sz w:val="18"/>
                <w:szCs w:val="18"/>
                <w:color w:val="auto"/>
              </w:rPr>
              <w:t>Balance as of June 30, 2021</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109,320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657,327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766,647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goodwill balance of $657.3 million as of June 30, 2021, $400.6 million relates to the Money Transfer Segment, $133.3 million relates to the epay Segment and the remaining $123.4 million relates to the EFT Processing Segment. Estimated amortization expense on acquired intangible assets with finite lives as of June 30, 2021, is expected to total $11.4 million for the remainder of 2021, $21.7 million for 2022, $16.7 million for 2023, $9.8 million for 2024, $6.4 million for 2025 and $6.3 million for 2026.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207"/>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4"/>
                <w:szCs w:val="14"/>
                <w:color w:val="auto"/>
              </w:rPr>
            </w:pPr>
          </w:p>
        </w:tc>
      </w:tr>
      <w:tr>
        <w:trPr>
          <w:trHeight w:val="210"/>
        </w:trPr>
        <w:tc>
          <w:tcPr>
            <w:tcW w:w="83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December 31, 2020</w:t>
            </w:r>
          </w:p>
        </w:tc>
      </w:tr>
      <w:tr>
        <w:trPr>
          <w:trHeight w:val="223"/>
        </w:trPr>
        <w:tc>
          <w:tcPr>
            <w:tcW w:w="8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357,308</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331,713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26,224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65,905</w:t>
            </w:r>
          </w:p>
        </w:tc>
      </w:tr>
      <w:tr>
        <w:trPr>
          <w:trHeight w:val="257"/>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portion of finance lease obligations</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5,301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6,403</w:t>
            </w:r>
          </w:p>
        </w:tc>
      </w:tr>
      <w:tr>
        <w:trPr>
          <w:trHeight w:val="210"/>
        </w:trPr>
        <w:tc>
          <w:tcPr>
            <w:tcW w:w="832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388,833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404,021</w:t>
            </w: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UNEARNED REVENUES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deferred revenues when cash payments are received or due in advance of its performance. The increase in the deferred revenue balance for the six months ended June 30, 2021 is primarily driven by $33.4 million of cash payments received in the current year for which the Company has not yet satisfied the performance obligations, offset by $35.1 million of revenues recognized that were included in the deferred revenue balance as of December 31, 2020.</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June 30, 2021</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5"/>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Revolving credit agreement</w:t>
            </w:r>
          </w:p>
        </w:tc>
        <w:tc>
          <w:tcPr>
            <w:tcW w:w="760" w:type="dxa"/>
            <w:vAlign w:val="bottom"/>
            <w:gridSpan w:val="3"/>
          </w:tcPr>
          <w:p>
            <w:pPr>
              <w:jc w:val="right"/>
              <w:ind w:right="3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20,800</w:t>
            </w:r>
          </w:p>
        </w:tc>
        <w:tc>
          <w:tcPr>
            <w:tcW w:w="520" w:type="dxa"/>
            <w:vAlign w:val="bottom"/>
            <w:gridSpan w:val="3"/>
          </w:tcPr>
          <w:p>
            <w:pPr>
              <w:jc w:val="right"/>
              <w:ind w:right="199"/>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270,400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460,136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452,228</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1.375% Senior Notes, due 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711,300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732,840</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debt obligations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1,193,044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1,456,318</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(15,857)</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(17,932)</w:t>
            </w:r>
          </w:p>
        </w:tc>
        <w:tc>
          <w:tcPr>
            <w:tcW w:w="0" w:type="dxa"/>
            <w:vAlign w:val="bottom"/>
          </w:tcPr>
          <w:p>
            <w:pPr>
              <w:spacing w:after="0"/>
              <w:rPr>
                <w:sz w:val="1"/>
                <w:szCs w:val="1"/>
                <w:color w:val="auto"/>
              </w:rPr>
            </w:pPr>
          </w:p>
        </w:tc>
      </w:tr>
      <w:tr>
        <w:trPr>
          <w:trHeight w:val="209"/>
        </w:trPr>
        <w:tc>
          <w:tcPr>
            <w:tcW w:w="82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7"/>
              </w:rPr>
              <w:t>1,177,187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1,438,386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1,176,441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1,437,589</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i w:val="1"/>
                <w:iCs w:val="1"/>
                <w:color w:val="auto"/>
              </w:rPr>
              <w:t>Credit Facility</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On October 17, 2018, the Company entered into an unsecured revolving credit agreement (the "Credit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Facility")</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for $1.0</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5"/>
              </w:rPr>
              <w:t>billion</w:t>
            </w:r>
          </w:p>
        </w:tc>
        <w:tc>
          <w:tcPr>
            <w:tcW w:w="960" w:type="dxa"/>
            <w:vAlign w:val="bottom"/>
          </w:tcPr>
          <w:p>
            <w:pPr>
              <w:jc w:val="right"/>
              <w:spacing w:after="0"/>
              <w:rPr>
                <w:sz w:val="20"/>
                <w:szCs w:val="20"/>
                <w:color w:val="auto"/>
              </w:rPr>
            </w:pPr>
            <w:r>
              <w:rPr>
                <w:rFonts w:ascii="Arial" w:cs="Arial" w:eastAsia="Arial" w:hAnsi="Arial"/>
                <w:sz w:val="18"/>
                <w:szCs w:val="18"/>
                <w:color w:val="auto"/>
              </w:rPr>
              <w:t>that expires</w:t>
            </w:r>
          </w:p>
        </w:tc>
        <w:tc>
          <w:tcPr>
            <w:tcW w:w="0" w:type="dxa"/>
            <w:vAlign w:val="bottom"/>
          </w:tcPr>
          <w:p>
            <w:pPr>
              <w:spacing w:after="0"/>
              <w:rPr>
                <w:sz w:val="1"/>
                <w:szCs w:val="1"/>
                <w:color w:val="auto"/>
              </w:rPr>
            </w:pPr>
          </w:p>
        </w:tc>
      </w:tr>
    </w:tbl>
    <w:p>
      <w:pPr>
        <w:jc w:val="both"/>
        <w:spacing w:after="0" w:line="251" w:lineRule="auto"/>
        <w:rPr>
          <w:sz w:val="20"/>
          <w:szCs w:val="20"/>
          <w:color w:val="auto"/>
        </w:rPr>
      </w:pPr>
      <w:r>
        <w:rPr>
          <w:rFonts w:ascii="Arial" w:cs="Arial" w:eastAsia="Arial" w:hAnsi="Arial"/>
          <w:sz w:val="18"/>
          <w:szCs w:val="18"/>
          <w:color w:val="auto"/>
        </w:rPr>
        <w:t>on October 17, 2023. In May 2021, an additional lender joined the Credit Facility which increased the revolving commitment by $30 million.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 The Credit Facility contains customary affirmative and negative covenants, events of default and financial covenants. The Company was in compliance with all debt covenants as of June 30,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ASC 470-20-30-27, proceeds from the issuance of convertible debt is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The allocation resulted in an increase to additional paid-in capital of $99.7 million for the Convertible Notes.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Contractual interest expense for the Convertible Notes was $1.0 million and $2.0 million for the three and six months ended June 30, 2021, respectively, and $1.0 million and $2.0 million for the three and six months ended June 30, 2020, respectively. Accretion expense for the Convertible Notes was $4.0 million and $7.9 million for the three and six months ended June 30, 2021, respectively, and $3.8 million and $7.5 million for the three and six months ended June 30, 2020, respectively. The effective interest rate was 4.4% for the three and six months ended June 30, 2021. As of June 30, 2021, the unamortized discount was $64.9 million and will be amortized through March 2025.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1.375% Senior Notes due 2026</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in May 2026 (the “Senior Notes”). The Senior Notes accrue interest at a rate of 1.375% per year, payable annually in arrears commencing May 22, 2020, until maturity or earlier redemption. As of June 30, 2021, the Company has outstanding €600 million ($711.3 million) principal amount of the Senior Notes. In addition, the Company may redeem some or all of these notes on or after February 22, 2026 at their principal amount plus any accrued and unpaid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June 30, 2021 and December 31, 2020, borrowings under these arrangements were $0.8 million and $0.9 million,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$220 million and $246 million as of June 30, 2021 and December 31, 2020, respectively. The foreign currency forward contracts consist primarily in Australian dollars, Canadian dollars, British pounds sterling, euro and Mexican pesos.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$99 million and $454 million as of June 30, 2021 and December 31, 2020, respectively, primarily in euro.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$19.9 million and $38.4 million for the three and six months ended June 30, 2021, respectively, and $13.2 million and $31.3 million for the three and six months ended June 30, 2020, respectively. All of the derivative contracts used in the Company's xe operations are economic hedges and are not designated as hedges under ASC 815</w:t>
      </w:r>
      <w:r>
        <w:rPr>
          <w:rFonts w:ascii="Arial" w:cs="Arial" w:eastAsia="Arial" w:hAnsi="Arial"/>
          <w:sz w:val="18"/>
          <w:szCs w:val="18"/>
          <w:i w:val="1"/>
          <w:iCs w:val="1"/>
          <w:color w:val="auto"/>
        </w:rPr>
        <w:t>.</w:t>
      </w:r>
      <w:r>
        <w:rPr>
          <w:rFonts w:ascii="Arial" w:cs="Arial" w:eastAsia="Arial" w:hAnsi="Arial"/>
          <w:sz w:val="18"/>
          <w:szCs w:val="18"/>
          <w:color w:val="auto"/>
        </w:rPr>
        <w:t xml:space="preserve"> The duration of these derivative contracts is generally less than one year.</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equivalent U.S. dollar notional amount of foreign currency derivative customer contracts held by the Company in its xe operations as of June 30, 2021 and December 31, 2020 was approximately $1.1 billion and $1.3 billion, respectively. The significant majority of customer contracts are written in major currencies such as the euro, U.S. dollar, British pounds sterling, Australian dollar and New Zealand dollar.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80" w:type="dxa"/>
            <w:vAlign w:val="bottom"/>
            <w:tcBorders>
              <w:bottom w:val="single" w:sz="8" w:color="auto"/>
            </w:tcBorders>
            <w:gridSpan w:val="5"/>
          </w:tcPr>
          <w:p>
            <w:pPr>
              <w:ind w:left="138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bottom w:val="single" w:sz="8" w:color="auto"/>
            </w:tcBorders>
            <w:gridSpan w:val="5"/>
          </w:tcPr>
          <w:p>
            <w:pPr>
              <w:ind w:left="16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66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6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Balance Sheet Location</w:t>
            </w: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0"/>
                <w:szCs w:val="10"/>
                <w:color w:val="auto"/>
              </w:rPr>
            </w:pPr>
          </w:p>
        </w:tc>
        <w:tc>
          <w:tcPr>
            <w:tcW w:w="940" w:type="dxa"/>
            <w:vAlign w:val="bottom"/>
          </w:tcPr>
          <w:p>
            <w:pPr>
              <w:jc w:val="center"/>
              <w:ind w:right="2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2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Balance Sheet Location</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0"/>
                <w:szCs w:val="10"/>
                <w:color w:val="auto"/>
              </w:rPr>
            </w:pPr>
          </w:p>
        </w:tc>
        <w:tc>
          <w:tcPr>
            <w:tcW w:w="960" w:type="dxa"/>
            <w:vAlign w:val="bottom"/>
          </w:tcPr>
          <w:p>
            <w:pPr>
              <w:jc w:val="center"/>
              <w:ind w:right="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78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2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1"/>
        </w:trPr>
        <w:tc>
          <w:tcPr>
            <w:tcW w:w="28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w w:val="91"/>
              </w:rPr>
              <w:t>Foreign currency exchange contracts</w:t>
            </w:r>
          </w:p>
        </w:tc>
        <w:tc>
          <w:tcPr>
            <w:tcW w:w="1780" w:type="dxa"/>
            <w:vAlign w:val="bottom"/>
            <w:gridSpan w:val="3"/>
          </w:tcPr>
          <w:p>
            <w:pPr>
              <w:ind w:left="100"/>
              <w:spacing w:after="0"/>
              <w:rPr>
                <w:sz w:val="20"/>
                <w:szCs w:val="20"/>
                <w:color w:val="auto"/>
              </w:rPr>
            </w:pPr>
            <w:r>
              <w:rPr>
                <w:rFonts w:ascii="Arial" w:cs="Arial" w:eastAsia="Arial" w:hAnsi="Arial"/>
                <w:sz w:val="18"/>
                <w:szCs w:val="18"/>
                <w:color w:val="auto"/>
                <w:w w:val="90"/>
              </w:rPr>
              <w:t>Other current assets  $</w:t>
            </w:r>
          </w:p>
        </w:tc>
        <w:tc>
          <w:tcPr>
            <w:tcW w:w="960" w:type="dxa"/>
            <w:vAlign w:val="bottom"/>
          </w:tcPr>
          <w:p>
            <w:pPr>
              <w:jc w:val="right"/>
              <w:spacing w:after="0"/>
              <w:rPr>
                <w:sz w:val="20"/>
                <w:szCs w:val="20"/>
                <w:color w:val="auto"/>
              </w:rPr>
            </w:pPr>
            <w:r>
              <w:rPr>
                <w:rFonts w:ascii="Arial" w:cs="Arial" w:eastAsia="Arial" w:hAnsi="Arial"/>
                <w:sz w:val="18"/>
                <w:szCs w:val="18"/>
                <w:color w:val="auto"/>
              </w:rPr>
              <w:t>36,488</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80,879</w:t>
            </w:r>
          </w:p>
        </w:tc>
        <w:tc>
          <w:tcPr>
            <w:tcW w:w="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Other current liabilities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(26,224)</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June 30, 2021 and December 31, 2020 (in thousands):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4"/>
          </w:tcPr>
          <w:p>
            <w:pPr>
              <w:jc w:val="right"/>
              <w:ind w:right="219"/>
              <w:spacing w:after="0" w:line="149" w:lineRule="exact"/>
              <w:rPr>
                <w:sz w:val="20"/>
                <w:szCs w:val="20"/>
                <w:color w:val="auto"/>
              </w:rPr>
            </w:pPr>
            <w:r>
              <w:rPr>
                <w:rFonts w:ascii="Arial" w:cs="Arial" w:eastAsia="Arial" w:hAnsi="Arial"/>
                <w:sz w:val="14"/>
                <w:szCs w:val="14"/>
                <w:b w:val="1"/>
                <w:bCs w:val="1"/>
                <w:color w:val="auto"/>
                <w:w w:val="96"/>
              </w:rPr>
              <w:t>Gross Amounts Not Offset in the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14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1"/>
              </w:rPr>
              <w:t>Net Amounts</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Consolidated Balance Sheet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Cash Collateral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June 30, 2021</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Recognized Assets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79"/>
              <w:spacing w:after="0"/>
              <w:rPr>
                <w:sz w:val="20"/>
                <w:szCs w:val="20"/>
                <w:color w:val="auto"/>
              </w:rPr>
            </w:pPr>
            <w:r>
              <w:rPr>
                <w:rFonts w:ascii="Arial" w:cs="Arial" w:eastAsia="Arial" w:hAnsi="Arial"/>
                <w:sz w:val="14"/>
                <w:szCs w:val="14"/>
                <w:b w:val="1"/>
                <w:bCs w:val="1"/>
                <w:color w:val="auto"/>
              </w:rPr>
              <w:t>Received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36,488</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16,360</w:t>
            </w:r>
          </w:p>
        </w:tc>
        <w:tc>
          <w:tcPr>
            <w:tcW w:w="0" w:type="dxa"/>
            <w:vAlign w:val="bottom"/>
          </w:tcPr>
          <w:p>
            <w:pPr>
              <w:spacing w:after="0"/>
              <w:rPr>
                <w:sz w:val="1"/>
                <w:szCs w:val="1"/>
                <w:color w:val="auto"/>
              </w:rPr>
            </w:pPr>
          </w:p>
        </w:tc>
      </w:tr>
      <w:tr>
        <w:trPr>
          <w:trHeight w:val="324"/>
        </w:trPr>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33,208</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8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Gross Amounts Not Offset in the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2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Net Amounts</w:t>
            </w:r>
          </w:p>
        </w:tc>
        <w:tc>
          <w:tcPr>
            <w:tcW w:w="16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Consolidated Balance Sheet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Gross Amounts of</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6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Cash Collateral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June 30, 2021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3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Liabilities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60" w:type="dxa"/>
            <w:vAlign w:val="bottom"/>
          </w:tcPr>
          <w:p>
            <w:pPr>
              <w:spacing w:after="0"/>
              <w:rPr>
                <w:sz w:val="14"/>
                <w:szCs w:val="14"/>
                <w:color w:val="auto"/>
              </w:rPr>
            </w:pPr>
          </w:p>
        </w:tc>
        <w:tc>
          <w:tcPr>
            <w:tcW w:w="1080" w:type="dxa"/>
            <w:vAlign w:val="bottom"/>
          </w:tcPr>
          <w:p>
            <w:pPr>
              <w:jc w:val="right"/>
              <w:ind w:right="162"/>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4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(9,083)</w:t>
            </w:r>
          </w:p>
        </w:tc>
        <w:tc>
          <w:tcPr>
            <w:tcW w:w="0" w:type="dxa"/>
            <w:vAlign w:val="bottom"/>
          </w:tcPr>
          <w:p>
            <w:pPr>
              <w:spacing w:after="0"/>
              <w:rPr>
                <w:sz w:val="1"/>
                <w:szCs w:val="1"/>
                <w:color w:val="auto"/>
              </w:rPr>
            </w:pPr>
          </w:p>
        </w:tc>
      </w:tr>
      <w:tr>
        <w:trPr>
          <w:trHeight w:val="486"/>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2020</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4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location and amount of gains and losses on derivatives in the Consolidated Statements of Income for the three and six months ended June 30, 2021 and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900" w:type="dxa"/>
            <w:vAlign w:val="bottom"/>
            <w:tcBorders>
              <w:bottom w:val="single" w:sz="8" w:color="auto"/>
            </w:tcBorders>
            <w:gridSpan w:val="10"/>
          </w:tcPr>
          <w:p>
            <w:pPr>
              <w:jc w:val="right"/>
              <w:ind w:right="219"/>
              <w:spacing w:after="0"/>
              <w:rPr>
                <w:sz w:val="20"/>
                <w:szCs w:val="20"/>
                <w:color w:val="auto"/>
              </w:rPr>
            </w:pPr>
            <w:r>
              <w:rPr>
                <w:rFonts w:ascii="Arial" w:cs="Arial" w:eastAsia="Arial" w:hAnsi="Arial"/>
                <w:sz w:val="14"/>
                <w:szCs w:val="14"/>
                <w:b w:val="1"/>
                <w:bCs w:val="1"/>
                <w:color w:val="auto"/>
                <w:w w:val="94"/>
              </w:rPr>
              <w:t>Amount of Gain (Loss) Recognized in Income on Derivative Contracts (a)</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20" w:type="dxa"/>
            <w:vAlign w:val="bottom"/>
            <w:gridSpan w:val="5"/>
          </w:tcPr>
          <w:p>
            <w:pPr>
              <w:jc w:val="center"/>
              <w:ind w:right="340"/>
              <w:spacing w:after="0" w:line="119" w:lineRule="exact"/>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0"/>
                <w:szCs w:val="10"/>
                <w:color w:val="auto"/>
              </w:rPr>
            </w:pPr>
          </w:p>
        </w:tc>
        <w:tc>
          <w:tcPr>
            <w:tcW w:w="2300" w:type="dxa"/>
            <w:vAlign w:val="bottom"/>
            <w:gridSpan w:val="4"/>
            <w:vMerge w:val="restart"/>
          </w:tcPr>
          <w:p>
            <w:pPr>
              <w:jc w:val="right"/>
              <w:ind w:right="35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Location of Gain (Loss) Recognized in Income on</w:t>
            </w: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525"/>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31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vMerge w:val="restart"/>
          </w:tcPr>
          <w:p>
            <w:pPr>
              <w:jc w:val="right"/>
              <w:ind w:right="44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line="20" w:lineRule="exact"/>
              <w:rPr>
                <w:sz w:val="1"/>
                <w:szCs w:val="1"/>
                <w:color w:val="auto"/>
              </w:rPr>
            </w:pPr>
          </w:p>
        </w:tc>
      </w:tr>
      <w:tr>
        <w:trPr>
          <w:trHeight w:val="171"/>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Borders>
              <w:bottom w:val="single" w:sz="8" w:color="CCEEFF"/>
            </w:tcBorders>
          </w:tcPr>
          <w:p>
            <w:pPr>
              <w:spacing w:after="0"/>
              <w:rPr>
                <w:sz w:val="14"/>
                <w:szCs w:val="1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Derivative Contracts</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92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w w:val="93"/>
              </w:rPr>
              <w:t>Foreign currency exchange contracts -</w:t>
            </w:r>
          </w:p>
        </w:tc>
        <w:tc>
          <w:tcPr>
            <w:tcW w:w="80" w:type="dxa"/>
            <w:vAlign w:val="bottom"/>
            <w:shd w:val="clear" w:color="auto" w:fill="CCEEFF"/>
          </w:tcPr>
          <w:p>
            <w:pPr>
              <w:spacing w:after="0"/>
              <w:rPr>
                <w:sz w:val="16"/>
                <w:szCs w:val="16"/>
                <w:color w:val="auto"/>
              </w:rPr>
            </w:pPr>
          </w:p>
        </w:tc>
        <w:tc>
          <w:tcPr>
            <w:tcW w:w="312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Foreign currency exchange gain (loss),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Ria Operations</w:t>
            </w:r>
          </w:p>
        </w:tc>
        <w:tc>
          <w:tcPr>
            <w:tcW w:w="80" w:type="dxa"/>
            <w:vAlign w:val="bottom"/>
            <w:shd w:val="clear" w:color="auto" w:fill="CCEEFF"/>
          </w:tcPr>
          <w:p>
            <w:pPr>
              <w:spacing w:after="0"/>
              <w:rPr>
                <w:sz w:val="20"/>
                <w:szCs w:val="20"/>
                <w:color w:val="auto"/>
              </w:rPr>
            </w:pPr>
          </w:p>
        </w:tc>
        <w:tc>
          <w:tcPr>
            <w:tcW w:w="3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3,915 $</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1,447 $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63"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-83185</wp:posOffset>
            </wp:positionV>
            <wp:extent cx="59690"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-254635</wp:posOffset>
            </wp:positionV>
            <wp:extent cx="59690"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-254635</wp:posOffset>
            </wp:positionV>
            <wp:extent cx="59690"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As of June 30, 2021</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36,488</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36,488</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0" w:type="dxa"/>
            <w:vAlign w:val="bottom"/>
          </w:tcPr>
          <w:p>
            <w:pPr>
              <w:spacing w:after="0"/>
              <w:rPr>
                <w:sz w:val="1"/>
                <w:szCs w:val="1"/>
                <w:color w:val="auto"/>
              </w:rPr>
            </w:pPr>
          </w:p>
        </w:tc>
      </w:tr>
      <w:tr>
        <w:trPr>
          <w:trHeight w:val="398"/>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0"/>
              </w:rPr>
              <w:t>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80,879</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80,879</w:t>
            </w:r>
          </w:p>
        </w:tc>
        <w:tc>
          <w:tcPr>
            <w:tcW w:w="0" w:type="dxa"/>
            <w:vAlign w:val="bottom"/>
          </w:tcPr>
          <w:p>
            <w:pPr>
              <w:spacing w:after="0"/>
              <w:rPr>
                <w:sz w:val="1"/>
                <w:szCs w:val="1"/>
                <w:color w:val="auto"/>
              </w:rPr>
            </w:pPr>
          </w:p>
        </w:tc>
      </w:tr>
      <w:tr>
        <w:trPr>
          <w:trHeight w:val="243"/>
        </w:trPr>
        <w:tc>
          <w:tcPr>
            <w:tcW w:w="44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(65,905)</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and Senior Notes using quoted prices in inactive markets for identical liabilities (Level 2). </w:t>
      </w:r>
      <w:r>
        <w:rPr>
          <w:rFonts w:ascii="Arial" w:cs="Arial" w:eastAsia="Arial" w:hAnsi="Arial"/>
          <w:sz w:val="17"/>
          <w:szCs w:val="17"/>
          <w:color w:val="252525"/>
        </w:rPr>
        <w:t>As of June 30, 2021,</w:t>
      </w:r>
      <w:r>
        <w:rPr>
          <w:rFonts w:ascii="Arial" w:cs="Arial" w:eastAsia="Arial" w:hAnsi="Arial"/>
          <w:sz w:val="17"/>
          <w:szCs w:val="17"/>
          <w:color w:val="auto"/>
        </w:rPr>
        <w:t xml:space="preserve"> the fair values of the Convertible Notes and Senior Notes were $633.3 million and $721.7 million, respectively, with carrying values of $460.1 million and $711.3 million,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Euronet’s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currently operates in the following three reportable operating segments:</w:t>
      </w:r>
    </w:p>
    <w:p>
      <w:pPr>
        <w:spacing w:after="0" w:line="359" w:lineRule="exact"/>
        <w:rPr>
          <w:sz w:val="20"/>
          <w:szCs w:val="20"/>
          <w:color w:val="auto"/>
        </w:rPr>
      </w:pPr>
    </w:p>
    <w:p>
      <w:pPr>
        <w:jc w:val="both"/>
        <w:ind w:left="540" w:hanging="168"/>
        <w:spacing w:after="0" w:line="296"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Through the EFT Processing Segment, the Company processes transactions for a network of ATMs and POS terminals across Europe, the Middle East, Asia Pacific, the United States and Africa. The Company provides comprehensive electronic payment solutions consisting of ATM cash withdrawal services, ATM network participation, outsourced ATM and POS management solutions, credit and debit card outsourcing, dynamic currency conversion, domestic and international surcharges and other value added services. Through this segment, the Company also offers a suite of integrated electronic financial transaction software solutions for electronic payment and transaction delivery systems.</w:t>
      </w:r>
    </w:p>
    <w:p>
      <w:pPr>
        <w:spacing w:after="0" w:line="161" w:lineRule="exact"/>
        <w:rPr>
          <w:rFonts w:ascii="Arial" w:cs="Arial" w:eastAsia="Arial" w:hAnsi="Arial"/>
          <w:sz w:val="16"/>
          <w:szCs w:val="16"/>
          <w:color w:val="auto"/>
        </w:rPr>
      </w:pPr>
    </w:p>
    <w:p>
      <w:pPr>
        <w:ind w:left="540" w:right="20" w:hanging="168"/>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epay Segment, the Company provides distribution, processing and collection services for prepaid mobile airtime and other electronic payment products in Europe, the Middle East, Asia Pacific, the U.S. and South America.</w:t>
      </w:r>
    </w:p>
    <w:p>
      <w:pPr>
        <w:spacing w:after="0" w:line="170" w:lineRule="exact"/>
        <w:rPr>
          <w:rFonts w:ascii="Arial" w:cs="Arial" w:eastAsia="Arial" w:hAnsi="Arial"/>
          <w:sz w:val="18"/>
          <w:szCs w:val="18"/>
          <w:color w:val="auto"/>
        </w:rPr>
      </w:pPr>
    </w:p>
    <w:p>
      <w:pPr>
        <w:jc w:val="both"/>
        <w:ind w:left="540" w:hanging="168"/>
        <w:spacing w:after="0" w:line="272"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Through the Money Transfer Segment, the Company provides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The Company also offers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Company accounts for non-operating activity, share-based compensation expense, certain intersegment eliminations and the costs of providing corporate and other administrative services in its administrative division, “Corporate Services, Eliminations and Other.” These services are not directly identifiable with the Company’s reportable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Company’s reportable segment results for the three and six months ended June 30, 2021 and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9"/>
          </w:tcPr>
          <w:p>
            <w:pPr>
              <w:jc w:val="center"/>
              <w:ind w:right="360"/>
              <w:spacing w:after="0"/>
              <w:rPr>
                <w:sz w:val="20"/>
                <w:szCs w:val="20"/>
                <w:color w:val="auto"/>
              </w:rPr>
            </w:pPr>
            <w:r>
              <w:rPr>
                <w:rFonts w:ascii="Arial" w:cs="Arial" w:eastAsia="Arial" w:hAnsi="Arial"/>
                <w:sz w:val="14"/>
                <w:szCs w:val="14"/>
                <w:b w:val="1"/>
                <w:bCs w:val="1"/>
                <w:color w:val="auto"/>
                <w:w w:val="94"/>
              </w:rPr>
              <w:t>For the Three Months Ended June 30, 2021</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gridSpan w:val="2"/>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113,482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359,308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714,686</w:t>
            </w:r>
          </w:p>
        </w:tc>
        <w:tc>
          <w:tcPr>
            <w:tcW w:w="0" w:type="dxa"/>
            <w:vAlign w:val="bottom"/>
          </w:tcPr>
          <w:p>
            <w:pPr>
              <w:spacing w:after="0"/>
              <w:rPr>
                <w:sz w:val="1"/>
                <w:szCs w:val="1"/>
                <w:color w:val="auto"/>
              </w:rPr>
            </w:pPr>
          </w:p>
        </w:tc>
      </w:tr>
      <w:tr>
        <w:trPr>
          <w:trHeight w:val="237"/>
        </w:trPr>
        <w:tc>
          <w:tcPr>
            <w:tcW w:w="4460" w:type="dxa"/>
            <w:vAlign w:val="bottom"/>
            <w:gridSpan w:val="4"/>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82,681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184,989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470,816</w:t>
            </w:r>
          </w:p>
        </w:tc>
        <w:tc>
          <w:tcPr>
            <w:tcW w:w="0" w:type="dxa"/>
            <w:vAlign w:val="bottom"/>
          </w:tcPr>
          <w:p>
            <w:pPr>
              <w:spacing w:after="0"/>
              <w:rPr>
                <w:sz w:val="1"/>
                <w:szCs w:val="1"/>
                <w:color w:val="auto"/>
              </w:rPr>
            </w:pPr>
          </w:p>
        </w:tc>
      </w:tr>
      <w:tr>
        <w:trPr>
          <w:trHeight w:val="243"/>
        </w:trPr>
        <w:tc>
          <w:tcPr>
            <w:tcW w:w="4460" w:type="dxa"/>
            <w:vAlign w:val="bottom"/>
            <w:gridSpan w:val="4"/>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24,098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62,710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14,488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121,071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59,119</w:t>
            </w:r>
          </w:p>
        </w:tc>
        <w:tc>
          <w:tcPr>
            <w:tcW w:w="0" w:type="dxa"/>
            <w:vAlign w:val="bottom"/>
          </w:tcPr>
          <w:p>
            <w:pPr>
              <w:spacing w:after="0"/>
              <w:rPr>
                <w:sz w:val="1"/>
                <w:szCs w:val="1"/>
                <w:color w:val="auto"/>
              </w:rPr>
            </w:pPr>
          </w:p>
        </w:tc>
      </w:tr>
      <w:tr>
        <w:trPr>
          <w:trHeight w:val="243"/>
        </w:trPr>
        <w:tc>
          <w:tcPr>
            <w:tcW w:w="446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9,026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33,559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138,818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216,683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684,565</w:t>
            </w:r>
          </w:p>
        </w:tc>
        <w:tc>
          <w:tcPr>
            <w:tcW w:w="0" w:type="dxa"/>
            <w:vAlign w:val="bottom"/>
          </w:tcPr>
          <w:p>
            <w:pPr>
              <w:spacing w:after="0"/>
              <w:rPr>
                <w:sz w:val="1"/>
                <w:szCs w:val="1"/>
                <w:color w:val="auto"/>
              </w:rPr>
            </w:pPr>
          </w:p>
        </w:tc>
      </w:tr>
      <w:tr>
        <w:trPr>
          <w:trHeight w:val="257"/>
        </w:trPr>
        <w:tc>
          <w:tcPr>
            <w:tcW w:w="4460" w:type="dxa"/>
            <w:vAlign w:val="bottom"/>
            <w:gridSpan w:val="4"/>
          </w:tcPr>
          <w:p>
            <w:pPr>
              <w:ind w:left="600"/>
              <w:spacing w:after="0"/>
              <w:rPr>
                <w:sz w:val="20"/>
                <w:szCs w:val="20"/>
                <w:color w:val="auto"/>
              </w:rPr>
            </w:pPr>
            <w:r>
              <w:rPr>
                <w:rFonts w:ascii="Arial" w:cs="Arial" w:eastAsia="Arial" w:hAnsi="Arial"/>
                <w:sz w:val="18"/>
                <w:szCs w:val="18"/>
                <w:color w:val="auto"/>
              </w:rPr>
              <w:t>Operating (loss)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(25,336)</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27,235</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30,121</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June 30, 2020</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epay</w:t>
            </w:r>
          </w:p>
        </w:tc>
        <w:tc>
          <w:tcPr>
            <w:tcW w:w="120" w:type="dxa"/>
            <w:vAlign w:val="bottom"/>
            <w:gridSpan w:val="2"/>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4"/>
              </w:rPr>
              <w:t>Processing</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78,488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527,803</w:t>
            </w:r>
          </w:p>
        </w:tc>
        <w:tc>
          <w:tcPr>
            <w:tcW w:w="0" w:type="dxa"/>
            <w:vAlign w:val="bottom"/>
          </w:tcPr>
          <w:p>
            <w:pPr>
              <w:spacing w:after="0"/>
              <w:rPr>
                <w:sz w:val="1"/>
                <w:szCs w:val="1"/>
                <w:color w:val="auto"/>
              </w:rPr>
            </w:pPr>
          </w:p>
        </w:tc>
      </w:tr>
      <w:tr>
        <w:trPr>
          <w:trHeight w:val="237"/>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62,465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350,011</w:t>
            </w:r>
          </w:p>
        </w:tc>
        <w:tc>
          <w:tcPr>
            <w:tcW w:w="0" w:type="dxa"/>
            <w:vAlign w:val="bottom"/>
          </w:tcPr>
          <w:p>
            <w:pPr>
              <w:spacing w:after="0"/>
              <w:rPr>
                <w:sz w:val="1"/>
                <w:szCs w:val="1"/>
                <w:color w:val="auto"/>
              </w:rPr>
            </w:pPr>
          </w:p>
        </w:tc>
      </w:tr>
      <w:tr>
        <w:trPr>
          <w:trHeight w:val="243"/>
        </w:trPr>
        <w:tc>
          <w:tcPr>
            <w:tcW w:w="4460" w:type="dxa"/>
            <w:vAlign w:val="bottom"/>
            <w:gridSpan w:val="4"/>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21,289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90,952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9,515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53,315</w:t>
            </w:r>
          </w:p>
        </w:tc>
        <w:tc>
          <w:tcPr>
            <w:tcW w:w="0" w:type="dxa"/>
            <w:vAlign w:val="bottom"/>
          </w:tcPr>
          <w:p>
            <w:pPr>
              <w:spacing w:after="0"/>
              <w:rPr>
                <w:sz w:val="1"/>
                <w:szCs w:val="1"/>
                <w:color w:val="auto"/>
              </w:rPr>
            </w:pPr>
          </w:p>
        </w:tc>
      </w:tr>
      <w:tr>
        <w:trPr>
          <w:trHeight w:val="243"/>
        </w:trPr>
        <w:tc>
          <w:tcPr>
            <w:tcW w:w="4460" w:type="dxa"/>
            <w:vAlign w:val="bottom"/>
            <w:gridSpan w:val="4"/>
          </w:tcPr>
          <w:p>
            <w:pPr>
              <w:ind w:left="18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104,554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30,242</w:t>
            </w:r>
          </w:p>
        </w:tc>
        <w:tc>
          <w:tcPr>
            <w:tcW w:w="0" w:type="dxa"/>
            <w:vAlign w:val="bottom"/>
          </w:tcPr>
          <w:p>
            <w:pPr>
              <w:spacing w:after="0"/>
              <w:rPr>
                <w:sz w:val="1"/>
                <w:szCs w:val="1"/>
                <w:color w:val="auto"/>
              </w:rPr>
            </w:pPr>
          </w:p>
        </w:tc>
      </w:tr>
      <w:tr>
        <w:trPr>
          <w:trHeight w:val="237"/>
        </w:trPr>
        <w:tc>
          <w:tcPr>
            <w:tcW w:w="4440" w:type="dxa"/>
            <w:vAlign w:val="bottom"/>
            <w:gridSpan w:val="3"/>
          </w:tcPr>
          <w:p>
            <w:pPr>
              <w:ind w:left="3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135,064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169,533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318,090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6,387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629,074</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440" w:type="dxa"/>
            <w:vAlign w:val="bottom"/>
            <w:gridSpan w:val="3"/>
            <w:vMerge w:val="restart"/>
            <w:shd w:val="clear" w:color="auto" w:fill="CCEEFF"/>
          </w:tcPr>
          <w:p>
            <w:pPr>
              <w:ind w:left="600"/>
              <w:spacing w:after="0"/>
              <w:rPr>
                <w:sz w:val="20"/>
                <w:szCs w:val="20"/>
                <w:color w:val="auto"/>
              </w:rPr>
            </w:pPr>
            <w:r>
              <w:rPr>
                <w:rFonts w:ascii="Arial" w:cs="Arial" w:eastAsia="Arial" w:hAnsi="Arial"/>
                <w:sz w:val="18"/>
                <w:szCs w:val="18"/>
                <w:color w:val="auto"/>
              </w:rPr>
              <w:t>Operating (loss) income</w:t>
            </w:r>
          </w:p>
        </w:tc>
        <w:tc>
          <w:tcPr>
            <w:tcW w:w="20" w:type="dxa"/>
            <w:vAlign w:val="bottom"/>
            <w:vMerge w:val="restart"/>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18,030</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(55,227)</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(101,271)</w:t>
            </w:r>
          </w:p>
        </w:tc>
        <w:tc>
          <w:tcPr>
            <w:tcW w:w="0" w:type="dxa"/>
            <w:vAlign w:val="bottom"/>
          </w:tcPr>
          <w:p>
            <w:pPr>
              <w:spacing w:after="0"/>
              <w:rPr>
                <w:sz w:val="1"/>
                <w:szCs w:val="1"/>
                <w:color w:val="auto"/>
              </w:rPr>
            </w:pPr>
          </w:p>
        </w:tc>
      </w:tr>
      <w:tr>
        <w:trPr>
          <w:trHeight w:val="95"/>
        </w:trPr>
        <w:tc>
          <w:tcPr>
            <w:tcW w:w="4440" w:type="dxa"/>
            <w:vAlign w:val="bottom"/>
            <w:tcBorders>
              <w:bottom w:val="single" w:sz="8" w:color="CCEEFF"/>
            </w:tcBorders>
            <w:gridSpan w:val="3"/>
            <w:vMerge w:val="continue"/>
            <w:shd w:val="clear" w:color="auto" w:fill="CCEEFF"/>
          </w:tcPr>
          <w:p>
            <w:pPr>
              <w:spacing w:after="0"/>
              <w:rPr>
                <w:sz w:val="8"/>
                <w:szCs w:val="8"/>
                <w:color w:val="auto"/>
              </w:rPr>
            </w:pPr>
          </w:p>
        </w:tc>
        <w:tc>
          <w:tcPr>
            <w:tcW w:w="20" w:type="dxa"/>
            <w:vAlign w:val="bottom"/>
            <w:tcBorders>
              <w:bottom w:val="single" w:sz="8" w:color="auto"/>
            </w:tcBorders>
            <w:vMerge w:val="continue"/>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1040" w:type="dxa"/>
            <w:vAlign w:val="bottom"/>
            <w:tcBorders>
              <w:bottom w:val="single" w:sz="8" w:color="auto"/>
            </w:tcBorders>
            <w:shd w:val="clear" w:color="auto" w:fill="CCEEFF"/>
          </w:tcPr>
          <w:p>
            <w:pPr>
              <w:jc w:val="right"/>
              <w:spacing w:after="0" w:line="95" w:lineRule="exact"/>
              <w:rPr>
                <w:sz w:val="20"/>
                <w:szCs w:val="20"/>
                <w:color w:val="auto"/>
              </w:rPr>
            </w:pPr>
            <w:r>
              <w:rPr>
                <w:rFonts w:ascii="Arial" w:cs="Arial" w:eastAsia="Arial" w:hAnsi="Arial"/>
                <w:sz w:val="10"/>
                <w:szCs w:val="10"/>
                <w:color w:val="auto"/>
              </w:rPr>
              <w:t>(56,576</w:t>
            </w:r>
          </w:p>
        </w:tc>
        <w:tc>
          <w:tcPr>
            <w:tcW w:w="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300" w:type="dxa"/>
            <w:vAlign w:val="bottom"/>
            <w:tcBorders>
              <w:bottom w:val="single" w:sz="8" w:color="auto"/>
            </w:tcBorders>
            <w:vMerge w:val="continue"/>
            <w:shd w:val="clear" w:color="auto" w:fill="CCEEFF"/>
          </w:tcPr>
          <w:p>
            <w:pPr>
              <w:spacing w:after="0"/>
              <w:rPr>
                <w:sz w:val="8"/>
                <w:szCs w:val="8"/>
                <w:color w:val="auto"/>
              </w:rPr>
            </w:pPr>
          </w:p>
        </w:tc>
        <w:tc>
          <w:tcPr>
            <w:tcW w:w="920" w:type="dxa"/>
            <w:vAlign w:val="bottom"/>
            <w:tcBorders>
              <w:bottom w:val="single" w:sz="8" w:color="auto"/>
            </w:tcBorders>
            <w:vMerge w:val="continue"/>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auto"/>
            </w:tcBorders>
            <w:vMerge w:val="continue"/>
            <w:shd w:val="clear" w:color="auto" w:fill="CCEEFF"/>
          </w:tcPr>
          <w:p>
            <w:pPr>
              <w:spacing w:after="0"/>
              <w:rPr>
                <w:sz w:val="8"/>
                <w:szCs w:val="8"/>
                <w:color w:val="auto"/>
              </w:rPr>
            </w:pPr>
          </w:p>
        </w:tc>
        <w:tc>
          <w:tcPr>
            <w:tcW w:w="102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vMerge w:val="continue"/>
            <w:shd w:val="clear" w:color="auto" w:fill="CCEEFF"/>
          </w:tcPr>
          <w:p>
            <w:pPr>
              <w:spacing w:after="0"/>
              <w:rPr>
                <w:sz w:val="8"/>
                <w:szCs w:val="8"/>
                <w:color w:val="auto"/>
              </w:rPr>
            </w:pPr>
          </w:p>
        </w:tc>
        <w:tc>
          <w:tcPr>
            <w:tcW w:w="116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vMerge w:val="continue"/>
            <w:shd w:val="clear" w:color="auto" w:fill="CCEEFF"/>
          </w:tcPr>
          <w:p>
            <w:pPr>
              <w:spacing w:after="0"/>
              <w:rPr>
                <w:sz w:val="8"/>
                <w:szCs w:val="8"/>
                <w:color w:val="auto"/>
              </w:rPr>
            </w:pPr>
          </w:p>
        </w:tc>
        <w:tc>
          <w:tcPr>
            <w:tcW w:w="11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3"/>
              </w:rPr>
              <w:t>For the Six Months Ended June 30, 2021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CCEEFF"/>
            </w:tcBorders>
            <w:gridSpan w:val="2"/>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200,558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486,221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684,208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1,367,356</w:t>
            </w:r>
          </w:p>
        </w:tc>
        <w:tc>
          <w:tcPr>
            <w:tcW w:w="0" w:type="dxa"/>
            <w:vAlign w:val="bottom"/>
          </w:tcPr>
          <w:p>
            <w:pPr>
              <w:spacing w:after="0"/>
              <w:rPr>
                <w:sz w:val="1"/>
                <w:szCs w:val="1"/>
                <w:color w:val="auto"/>
              </w:rPr>
            </w:pPr>
          </w:p>
        </w:tc>
      </w:tr>
      <w:tr>
        <w:trPr>
          <w:trHeight w:val="237"/>
        </w:trPr>
        <w:tc>
          <w:tcPr>
            <w:tcW w:w="444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6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152,293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367,622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389,042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905,332</w:t>
            </w:r>
          </w:p>
        </w:tc>
        <w:tc>
          <w:tcPr>
            <w:tcW w:w="0" w:type="dxa"/>
            <w:vAlign w:val="bottom"/>
          </w:tcPr>
          <w:p>
            <w:pPr>
              <w:spacing w:after="0"/>
              <w:rPr>
                <w:sz w:val="1"/>
                <w:szCs w:val="1"/>
                <w:color w:val="auto"/>
              </w:rPr>
            </w:pPr>
          </w:p>
        </w:tc>
      </w:tr>
      <w:tr>
        <w:trPr>
          <w:trHeight w:val="243"/>
        </w:trPr>
        <w:tc>
          <w:tcPr>
            <w:tcW w:w="4460" w:type="dxa"/>
            <w:vAlign w:val="bottom"/>
            <w:gridSpan w:val="4"/>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47,669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39,144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123,250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236,739</w:t>
            </w:r>
          </w:p>
        </w:tc>
        <w:tc>
          <w:tcPr>
            <w:tcW w:w="0" w:type="dxa"/>
            <w:vAlign w:val="bottom"/>
          </w:tcPr>
          <w:p>
            <w:pPr>
              <w:spacing w:after="0"/>
              <w:rPr>
                <w:sz w:val="1"/>
                <w:szCs w:val="1"/>
                <w:color w:val="auto"/>
              </w:rPr>
            </w:pPr>
          </w:p>
        </w:tc>
      </w:tr>
      <w:tr>
        <w:trPr>
          <w:trHeight w:val="27"/>
        </w:trPr>
        <w:tc>
          <w:tcPr>
            <w:tcW w:w="446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117,895</w:t>
            </w:r>
          </w:p>
        </w:tc>
        <w:tc>
          <w:tcPr>
            <w:tcW w:w="0" w:type="dxa"/>
            <w:vAlign w:val="bottom"/>
          </w:tcPr>
          <w:p>
            <w:pPr>
              <w:spacing w:after="0"/>
              <w:rPr>
                <w:sz w:val="1"/>
                <w:szCs w:val="1"/>
                <w:color w:val="auto"/>
              </w:rPr>
            </w:pPr>
          </w:p>
        </w:tc>
      </w:tr>
      <w:tr>
        <w:trPr>
          <w:trHeight w:val="243"/>
        </w:trPr>
        <w:tc>
          <w:tcPr>
            <w:tcW w:w="4460" w:type="dxa"/>
            <w:vAlign w:val="bottom"/>
            <w:gridSpan w:val="4"/>
          </w:tcPr>
          <w:p>
            <w:pPr>
              <w:ind w:left="1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66,820</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265,990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429,829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604,723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1,326,786</w:t>
            </w:r>
          </w:p>
        </w:tc>
        <w:tc>
          <w:tcPr>
            <w:tcW w:w="0" w:type="dxa"/>
            <w:vAlign w:val="bottom"/>
          </w:tcPr>
          <w:p>
            <w:pPr>
              <w:spacing w:after="0"/>
              <w:rPr>
                <w:sz w:val="1"/>
                <w:szCs w:val="1"/>
                <w:color w:val="auto"/>
              </w:rPr>
            </w:pPr>
          </w:p>
        </w:tc>
      </w:tr>
      <w:tr>
        <w:trPr>
          <w:trHeight w:val="257"/>
        </w:trPr>
        <w:tc>
          <w:tcPr>
            <w:tcW w:w="4440" w:type="dxa"/>
            <w:vAlign w:val="bottom"/>
            <w:gridSpan w:val="3"/>
          </w:tcPr>
          <w:p>
            <w:pPr>
              <w:ind w:left="600"/>
              <w:spacing w:after="0"/>
              <w:rPr>
                <w:sz w:val="20"/>
                <w:szCs w:val="20"/>
                <w:color w:val="auto"/>
              </w:rPr>
            </w:pPr>
            <w:r>
              <w:rPr>
                <w:rFonts w:ascii="Arial" w:cs="Arial" w:eastAsia="Arial" w:hAnsi="Arial"/>
                <w:sz w:val="18"/>
                <w:szCs w:val="18"/>
                <w:color w:val="auto"/>
              </w:rPr>
              <w:t>Operating (loss) income</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(65,432)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56,392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79,485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40,570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14"/>
          </w:tcPr>
          <w:p>
            <w:pPr>
              <w:ind w:left="520"/>
              <w:spacing w:after="0"/>
              <w:rPr>
                <w:sz w:val="20"/>
                <w:szCs w:val="20"/>
                <w:color w:val="auto"/>
              </w:rPr>
            </w:pPr>
            <w:r>
              <w:rPr>
                <w:rFonts w:ascii="Arial" w:cs="Arial" w:eastAsia="Arial" w:hAnsi="Arial"/>
                <w:sz w:val="14"/>
                <w:szCs w:val="14"/>
                <w:b w:val="1"/>
                <w:bCs w:val="1"/>
                <w:color w:val="auto"/>
              </w:rPr>
              <w:t>For the Six Months Ended June 30, 2020</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Money</w:t>
            </w:r>
          </w:p>
        </w:tc>
        <w:tc>
          <w:tcPr>
            <w:tcW w:w="40" w:type="dxa"/>
            <w:vAlign w:val="bottom"/>
          </w:tcPr>
          <w:p>
            <w:pPr>
              <w:spacing w:after="0"/>
              <w:rPr>
                <w:sz w:val="13"/>
                <w:szCs w:val="13"/>
                <w:color w:val="auto"/>
              </w:rPr>
            </w:pPr>
          </w:p>
        </w:tc>
        <w:tc>
          <w:tcPr>
            <w:tcW w:w="1440" w:type="dxa"/>
            <w:vAlign w:val="bottom"/>
            <w:gridSpan w:val="6"/>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11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5"/>
              </w:rPr>
              <w:t>Processing</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224,313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360,474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529,097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1,111,710</w:t>
            </w:r>
          </w:p>
        </w:tc>
        <w:tc>
          <w:tcPr>
            <w:tcW w:w="0" w:type="dxa"/>
            <w:vAlign w:val="bottom"/>
          </w:tcPr>
          <w:p>
            <w:pPr>
              <w:spacing w:after="0"/>
              <w:rPr>
                <w:sz w:val="1"/>
                <w:szCs w:val="1"/>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274,130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287,498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709,467</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2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43,380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102,923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192,192</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71,754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114,108</w:t>
            </w:r>
          </w:p>
        </w:tc>
        <w:tc>
          <w:tcPr>
            <w:tcW w:w="0" w:type="dxa"/>
            <w:vAlign w:val="bottom"/>
          </w:tcPr>
          <w:p>
            <w:pPr>
              <w:spacing w:after="0"/>
              <w:rPr>
                <w:sz w:val="1"/>
                <w:szCs w:val="1"/>
                <w:color w:val="auto"/>
              </w:rPr>
            </w:pPr>
          </w:p>
        </w:tc>
      </w:tr>
      <w:tr>
        <w:trPr>
          <w:trHeight w:val="243"/>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2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82,693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5"/>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104,554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17,148</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61,058</w:t>
            </w:r>
          </w:p>
        </w:tc>
        <w:tc>
          <w:tcPr>
            <w:tcW w:w="0" w:type="dxa"/>
            <w:vAlign w:val="bottom"/>
          </w:tcPr>
          <w:p>
            <w:pPr>
              <w:spacing w:after="0"/>
              <w:rPr>
                <w:sz w:val="1"/>
                <w:szCs w:val="1"/>
                <w:color w:val="auto"/>
              </w:rPr>
            </w:pPr>
          </w:p>
        </w:tc>
      </w:tr>
      <w:tr>
        <w:trPr>
          <w:trHeight w:val="237"/>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275,954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325,986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562,016</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17,423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1,181,379</w:t>
            </w:r>
          </w:p>
        </w:tc>
        <w:tc>
          <w:tcPr>
            <w:tcW w:w="0" w:type="dxa"/>
            <w:vAlign w:val="bottom"/>
          </w:tcPr>
          <w:p>
            <w:pPr>
              <w:spacing w:after="0"/>
              <w:rPr>
                <w:sz w:val="1"/>
                <w:szCs w:val="1"/>
                <w:color w:val="auto"/>
              </w:rPr>
            </w:pPr>
          </w:p>
        </w:tc>
      </w:tr>
      <w:tr>
        <w:trPr>
          <w:trHeight w:val="27"/>
        </w:trPr>
        <w:tc>
          <w:tcPr>
            <w:tcW w:w="4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(loss)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(51,641)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34,488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(32,919)</w:t>
            </w: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(19,597)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(69,669)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780" w:type="dxa"/>
            <w:vAlign w:val="bottom"/>
            <w:gridSpan w:val="6"/>
          </w:tcPr>
          <w:p>
            <w:pPr>
              <w:spacing w:after="0"/>
              <w:rPr>
                <w:sz w:val="20"/>
                <w:szCs w:val="20"/>
                <w:color w:val="auto"/>
              </w:rPr>
            </w:pPr>
            <w:r>
              <w:rPr>
                <w:rFonts w:ascii="Arial" w:cs="Arial" w:eastAsia="Arial" w:hAnsi="Arial"/>
                <w:sz w:val="18"/>
                <w:szCs w:val="18"/>
                <w:color w:val="auto"/>
                <w:w w:val="90"/>
              </w:rPr>
              <w:t>The following table presents the Company’s total assets by reportable segment:</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rPr>
              <w:t>Total Assets as of</w:t>
            </w:r>
          </w:p>
        </w:tc>
        <w:tc>
          <w:tcPr>
            <w:tcW w:w="0" w:type="dxa"/>
            <w:vAlign w:val="bottom"/>
          </w:tcPr>
          <w:p>
            <w:pPr>
              <w:spacing w:after="0"/>
              <w:rPr>
                <w:sz w:val="1"/>
                <w:szCs w:val="1"/>
                <w:color w:val="auto"/>
              </w:rPr>
            </w:pPr>
          </w:p>
        </w:tc>
      </w:tr>
      <w:tr>
        <w:trPr>
          <w:trHeight w:val="25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June 30, 2021</w:t>
            </w:r>
          </w:p>
        </w:tc>
        <w:tc>
          <w:tcPr>
            <w:tcW w:w="12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50"/>
        </w:trPr>
        <w:tc>
          <w:tcPr>
            <w:tcW w:w="444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1,683,806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1,541,610</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921,115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1,135,204</w:t>
            </w:r>
          </w:p>
        </w:tc>
        <w:tc>
          <w:tcPr>
            <w:tcW w:w="0" w:type="dxa"/>
            <w:vAlign w:val="bottom"/>
          </w:tcPr>
          <w:p>
            <w:pPr>
              <w:spacing w:after="0"/>
              <w:rPr>
                <w:sz w:val="1"/>
                <w:szCs w:val="1"/>
                <w:color w:val="auto"/>
              </w:rPr>
            </w:pPr>
          </w:p>
        </w:tc>
      </w:tr>
      <w:tr>
        <w:trPr>
          <w:trHeight w:val="27"/>
        </w:trPr>
        <w:tc>
          <w:tcPr>
            <w:tcW w:w="44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1,677,741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1,755,651</w:t>
            </w:r>
          </w:p>
        </w:tc>
        <w:tc>
          <w:tcPr>
            <w:tcW w:w="0" w:type="dxa"/>
            <w:vAlign w:val="bottom"/>
          </w:tcPr>
          <w:p>
            <w:pPr>
              <w:spacing w:after="0"/>
              <w:rPr>
                <w:sz w:val="1"/>
                <w:szCs w:val="1"/>
                <w:color w:val="auto"/>
              </w:rPr>
            </w:pPr>
          </w:p>
        </w:tc>
      </w:tr>
      <w:tr>
        <w:trPr>
          <w:trHeight w:val="243"/>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156,421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494,246</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4,439,083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4,926,711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the Company's revenues disaggregated by segment and region. Sales and usage-based taxes are excluded from revenues. The Company believes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For the Three Months Ended June 30, 2021</w:t>
            </w:r>
          </w:p>
        </w:tc>
        <w:tc>
          <w:tcPr>
            <w:tcW w:w="8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Six Months Ended June 30, 2021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epay</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Money</w:t>
            </w:r>
          </w:p>
        </w:tc>
        <w:tc>
          <w:tcPr>
            <w:tcW w:w="28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4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Money</w:t>
            </w:r>
          </w:p>
        </w:tc>
        <w:tc>
          <w:tcPr>
            <w:tcW w:w="220" w:type="dxa"/>
            <w:vAlign w:val="bottom"/>
          </w:tcPr>
          <w:p>
            <w:pPr>
              <w:spacing w:after="0"/>
              <w:rPr>
                <w:sz w:val="13"/>
                <w:szCs w:val="13"/>
                <w:color w:val="auto"/>
              </w:rPr>
            </w:pPr>
          </w:p>
        </w:tc>
        <w:tc>
          <w:tcPr>
            <w:tcW w:w="82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7"/>
              </w:rPr>
              <w:t>Processing</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0"/>
              </w:rPr>
              <w:t>Processing</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Transfer</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73,109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160,560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149,606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383,275</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119,971</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325,468</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282,445</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727,884</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34,601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170,324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220,128</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29,669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68,442</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322,626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420,737</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89,936</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50,729</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72,695</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54,993</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178,417</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23,369</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19,616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24,144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43,949</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63"/>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113,482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243,918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359,308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714,686</w:t>
            </w: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200,558</w:t>
            </w: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486,221</w:t>
            </w:r>
          </w:p>
        </w:tc>
        <w:tc>
          <w:tcPr>
            <w:tcW w:w="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684,208</w:t>
            </w: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1,367,356</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For the Three Months Ended June 30, 2020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Six Months Ended June 30, 2020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3"/>
                <w:szCs w:val="13"/>
                <w:color w:val="auto"/>
              </w:rPr>
            </w:pPr>
          </w:p>
        </w:tc>
        <w:tc>
          <w:tcPr>
            <w:tcW w:w="8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Money</w:t>
            </w:r>
          </w:p>
        </w:tc>
        <w:tc>
          <w:tcPr>
            <w:tcW w:w="220" w:type="dxa"/>
            <w:vAlign w:val="bottom"/>
          </w:tcPr>
          <w:p>
            <w:pPr>
              <w:spacing w:after="0"/>
              <w:rPr>
                <w:sz w:val="13"/>
                <w:szCs w:val="13"/>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EFT</w:t>
            </w:r>
          </w:p>
        </w:tc>
        <w:tc>
          <w:tcPr>
            <w:tcW w:w="200" w:type="dxa"/>
            <w:vAlign w:val="bottom"/>
          </w:tcPr>
          <w:p>
            <w:pPr>
              <w:spacing w:after="0"/>
              <w:rPr>
                <w:sz w:val="13"/>
                <w:szCs w:val="13"/>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epay</w:t>
            </w:r>
          </w:p>
        </w:tc>
        <w:tc>
          <w:tcPr>
            <w:tcW w:w="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Money</w:t>
            </w:r>
          </w:p>
        </w:tc>
        <w:tc>
          <w:tcPr>
            <w:tcW w:w="220" w:type="dxa"/>
            <w:vAlign w:val="bottom"/>
          </w:tcPr>
          <w:p>
            <w:pPr>
              <w:spacing w:after="0"/>
              <w:rPr>
                <w:sz w:val="13"/>
                <w:szCs w:val="13"/>
                <w:color w:val="auto"/>
              </w:rPr>
            </w:pPr>
          </w:p>
        </w:tc>
        <w:tc>
          <w:tcPr>
            <w:tcW w:w="82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9"/>
              </w:rPr>
              <w:t>Transfer</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Processing</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Transfer</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44,927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266,332</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144,401</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237,952</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189,788</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572,141</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36,106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132,891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182,120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28,142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69,958</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270,786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368,886</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69,452</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51,766</w:t>
            </w: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42,056</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57,080</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150,902</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3"/>
                <w:szCs w:val="2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11,010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10,508</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11,443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21,955</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64"/>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78,488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187,563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262,863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527,803</w:t>
            </w:r>
          </w:p>
        </w:tc>
        <w:tc>
          <w:tcPr>
            <w:tcW w:w="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224,313</w:t>
            </w:r>
          </w:p>
        </w:tc>
        <w:tc>
          <w:tcPr>
            <w:tcW w:w="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360,474</w:t>
            </w:r>
          </w:p>
        </w:tc>
        <w:tc>
          <w:tcPr>
            <w:tcW w:w="4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529,097</w:t>
            </w: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1,111,710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effective income tax rate was 58.9% and 99.9% for the three and six months ended June 30, 2021, respectively, compared to (8.4)% and (11.1)% for the three and six months ended June 30, 2020, respectively. Our effective income tax rate for the three and six months ended June 30, 2021 was higher than the applicable statutory income tax rate of 21% as a result of certain foreign earnings being subject to higher local statutory tax rates, the non-recognition of tax benefits from losses in certain foreign countries where we have a limited history of profitable earnings and as a result of an increase in the valuation allowance in certain jurisdictions relating to the reversal of tax benefits recognized in the first quarter of 2021 for continuing net operating losses. Our effective income tax rate for the three and six months ended June 30, 2020 was different than the applicable statutory income tax rate of 21% primarily due to the non-deductible goodwill impairment charge during the second quarter of 2020 and as a result of an increase in the valuation allowance in certain jurisdictions relating to the reversal of tax benefits recognized in the first quarter of 2020 for net operating losses in those jurisdictions which have a limited history of profitable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June 30, 2021, the Company had $89.6 million of stand-by letters of credit/bank guarantees issued on its behalf, of which $59.5 million are outstanding under the Credit Facility. The remaining stand-by letters of credit/bank guarantees are collateralized by $3.8 million of cash deposits held by the respective issuing banks.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June 30, 2021, the Company had granted off balance sheet guarantees for cash in various ATM networks amounting to $11.7 million over the terms of the cash supply agreements and performance guarantees amounting to approximately $37.6 million over the terms of agreements with the customers.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the Company enters into agreements with commercial counterparties that contain indemnification provisions, the terms of which may vary depending on the negotiated terms of each respective agreement. The amount of such potential obligations is generally not stated in the agreements. Euronet's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47"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In connection with contracts with financial institutions in the EFT Processing Segment, the Company is responsible for damage to ATMs and theft of ATM network cash. As of June 30, 2021, the balance of such cash used in the Company's ATM networks for which the Company was responsible was approximately $702 million.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311" w:lineRule="auto"/>
        <w:rPr>
          <w:sz w:val="20"/>
          <w:szCs w:val="20"/>
          <w:color w:val="auto"/>
        </w:rPr>
      </w:pPr>
      <w:r>
        <w:rPr>
          <w:rFonts w:ascii="Arial" w:cs="Arial" w:eastAsia="Arial" w:hAnsi="Arial"/>
          <w:sz w:val="16"/>
          <w:szCs w:val="16"/>
          <w:color w:val="auto"/>
        </w:rPr>
        <w:t>In connection with contracts with financial institutions in the EFT Processing Segment, the Company is responsible for losses suffered by its customers and other parties as a result of the breach of its computer systems, including in particular, losses arising from fraudulent transactions made using information stolen through its processing systems. The Company maintains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-405765</wp:posOffset>
            </wp:positionV>
            <wp:extent cx="59690"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9"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In connection with the license of proprietary systems to customers, the Company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93" w:lineRule="auto"/>
        <w:rPr>
          <w:sz w:val="20"/>
          <w:szCs w:val="20"/>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of operating units or assets made by Euronet, the Company has agreed to indemnify the seller against third party claims made against the seller relating to the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-807085</wp:posOffset>
            </wp:positionV>
            <wp:extent cx="59690"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4"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58"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The Company is also required to meet minimum capitalization and cash requirements of various regulatory authorities in the jurisdictions in which the Company has money transfer operations. The Company has obtained surety bonds in compliance with money transfer licensing requirements of the applicable governmental authorities.</w:t>
      </w:r>
    </w:p>
    <w:p>
      <w:pPr>
        <w:spacing w:after="0" w:line="18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June 30, 2021 or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the Company is a party to legal or regulatory proceedings arising in the ordinary course of its business. Currently, there are no legal proceedings or regulatory findings that management believes, either individually or in the aggregate, would have a material adverse effect on the Company's consolidated financial condition or results of operations. In accordance with U.S. GAAP, the Company records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enters into operating leases for ATM sites, office spaces, retail stores and equipment. The Company's finance leases are immaterial. Right of use assets and lease liabilities are recognized at the lease commencement date based on the present value of the lease payments over the lease terms.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lease expense for these leases on a straight-line basis over the lease term.</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the Company’s sole discretion. The depreciable life of assets and leasehold improvements are limited by the expected lease terms. The Company also has a unilateral termination right for most of the ATM site leases. Since the Company is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the Company's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lease terms in excess of one year) as of June 30, 2021 are: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June 30, 2021</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ind w:right="13"/>
              <w:spacing w:after="0" w:line="153" w:lineRule="exact"/>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vMerge w:val="continue"/>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3"/>
              </w:rPr>
              <w:t>(1)</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2021</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24,415</w:t>
            </w:r>
          </w:p>
        </w:tc>
        <w:tc>
          <w:tcPr>
            <w:tcW w:w="0" w:type="dxa"/>
            <w:vAlign w:val="bottom"/>
          </w:tcPr>
          <w:p>
            <w:pPr>
              <w:spacing w:after="0"/>
              <w:rPr>
                <w:sz w:val="1"/>
                <w:szCs w:val="1"/>
                <w:color w:val="auto"/>
              </w:rPr>
            </w:pPr>
          </w:p>
        </w:tc>
      </w:tr>
      <w:tr>
        <w:trPr>
          <w:trHeight w:val="216"/>
        </w:trPr>
        <w:tc>
          <w:tcPr>
            <w:tcW w:w="6520" w:type="dxa"/>
            <w:vAlign w:val="bottom"/>
          </w:tcPr>
          <w:p>
            <w:pPr>
              <w:ind w:left="40"/>
              <w:spacing w:after="0"/>
              <w:rPr>
                <w:sz w:val="20"/>
                <w:szCs w:val="20"/>
                <w:color w:val="auto"/>
              </w:rPr>
            </w:pPr>
            <w:r>
              <w:rPr>
                <w:rFonts w:ascii="Arial" w:cs="Arial" w:eastAsia="Arial" w:hAnsi="Arial"/>
                <w:sz w:val="18"/>
                <w:szCs w:val="18"/>
                <w:color w:val="auto"/>
              </w:rPr>
              <w:t>2022</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43,882</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33,890</w:t>
            </w:r>
          </w:p>
        </w:tc>
        <w:tc>
          <w:tcPr>
            <w:tcW w:w="0" w:type="dxa"/>
            <w:vAlign w:val="bottom"/>
          </w:tcPr>
          <w:p>
            <w:pPr>
              <w:spacing w:after="0"/>
              <w:rPr>
                <w:sz w:val="1"/>
                <w:szCs w:val="1"/>
                <w:color w:val="auto"/>
              </w:rPr>
            </w:pPr>
          </w:p>
        </w:tc>
      </w:tr>
      <w:tr>
        <w:trPr>
          <w:trHeight w:val="216"/>
        </w:trPr>
        <w:tc>
          <w:tcPr>
            <w:tcW w:w="6520" w:type="dxa"/>
            <w:vAlign w:val="bottom"/>
          </w:tcPr>
          <w:p>
            <w:pPr>
              <w:ind w:left="40"/>
              <w:spacing w:after="0"/>
              <w:rPr>
                <w:sz w:val="20"/>
                <w:szCs w:val="20"/>
                <w:color w:val="auto"/>
              </w:rPr>
            </w:pPr>
            <w:r>
              <w:rPr>
                <w:rFonts w:ascii="Arial" w:cs="Arial" w:eastAsia="Arial" w:hAnsi="Arial"/>
                <w:sz w:val="18"/>
                <w:szCs w:val="18"/>
                <w:color w:val="auto"/>
              </w:rPr>
              <w:t>2024</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25,040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2025</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17,766</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35,016</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180,009</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175,702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660" w:hanging="328"/>
        <w:spacing w:after="0" w:line="293" w:lineRule="auto"/>
        <w:tabs>
          <w:tab w:leader="none" w:pos="622" w:val="left"/>
        </w:tabs>
        <w:numPr>
          <w:ilvl w:val="0"/>
          <w:numId w:val="5"/>
        </w:numPr>
        <w:rPr>
          <w:rFonts w:ascii="Arial" w:cs="Arial" w:eastAsia="Arial" w:hAnsi="Arial"/>
          <w:sz w:val="16"/>
          <w:szCs w:val="16"/>
          <w:color w:val="auto"/>
        </w:rPr>
      </w:pPr>
      <w:r>
        <w:rPr>
          <w:rFonts w:ascii="Arial" w:cs="Arial" w:eastAsia="Arial" w:hAnsi="Arial"/>
          <w:sz w:val="16"/>
          <w:szCs w:val="16"/>
          <w:color w:val="auto"/>
        </w:rPr>
        <w:t>Operating lease payments reflect the Company's current fixed obligations under the operating lease agreements. Certain ATM site leases contain termination options that grant the Company the option to terminate the lease prior to the stated term of the agreement. The Company includes the future minimum lease payments for these ATM site leases only to the extent that the termination option is not reasonably certain to be exercised.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Lease Expense</w:t>
            </w:r>
          </w:p>
        </w:tc>
        <w:tc>
          <w:tcPr>
            <w:tcW w:w="3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w:t>
            </w:r>
          </w:p>
        </w:tc>
        <w:tc>
          <w:tcPr>
            <w:tcW w:w="12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2460" w:type="dxa"/>
            <w:vAlign w:val="bottom"/>
            <w:vMerge w:val="continue"/>
          </w:tcPr>
          <w:p>
            <w:pPr>
              <w:spacing w:after="0"/>
              <w:rPr>
                <w:sz w:val="12"/>
                <w:szCs w:val="12"/>
                <w:color w:val="auto"/>
              </w:rPr>
            </w:pPr>
          </w:p>
        </w:tc>
        <w:tc>
          <w:tcPr>
            <w:tcW w:w="3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Statement Classification</w:t>
            </w:r>
          </w:p>
        </w:tc>
        <w:tc>
          <w:tcPr>
            <w:tcW w:w="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860" w:type="dxa"/>
            <w:vAlign w:val="bottom"/>
            <w:tcBorders>
              <w:bottom w:val="single" w:sz="8" w:color="auto"/>
            </w:tcBorders>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June 30, 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460" w:type="dxa"/>
            <w:vAlign w:val="bottom"/>
          </w:tcPr>
          <w:p>
            <w:pPr>
              <w:spacing w:after="0"/>
              <w:rPr>
                <w:sz w:val="19"/>
                <w:szCs w:val="19"/>
                <w:color w:val="auto"/>
              </w:rPr>
            </w:pPr>
          </w:p>
        </w:tc>
        <w:tc>
          <w:tcPr>
            <w:tcW w:w="39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Selling, general and administrative and Direct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3920" w:type="dxa"/>
            <w:vAlign w:val="bottom"/>
            <w:gridSpan w:val="2"/>
          </w:tcPr>
          <w:p>
            <w:pPr>
              <w:jc w:val="center"/>
              <w:spacing w:after="0"/>
              <w:rPr>
                <w:sz w:val="20"/>
                <w:szCs w:val="20"/>
                <w:color w:val="auto"/>
              </w:rPr>
            </w:pPr>
            <w:r>
              <w:rPr>
                <w:rFonts w:ascii="Arial" w:cs="Arial" w:eastAsia="Arial" w:hAnsi="Arial"/>
                <w:sz w:val="18"/>
                <w:szCs w:val="18"/>
                <w:color w:val="auto"/>
                <w:w w:val="88"/>
              </w:rPr>
              <w:t>operating costs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14,146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21,045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28,004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54,233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and variable lease</w:t>
            </w:r>
          </w:p>
        </w:tc>
        <w:tc>
          <w:tcPr>
            <w:tcW w:w="39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1"/>
              </w:rPr>
              <w:t>Selling, general and administrative and Direct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39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operating costs</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20,961</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460" w:type="dxa"/>
            <w:vAlign w:val="bottom"/>
          </w:tcPr>
          <w:p>
            <w:pPr>
              <w:ind w:left="40"/>
              <w:spacing w:after="0"/>
              <w:rPr>
                <w:sz w:val="20"/>
                <w:szCs w:val="20"/>
                <w:color w:val="auto"/>
              </w:rPr>
            </w:pPr>
            <w:r>
              <w:rPr>
                <w:rFonts w:ascii="Arial" w:cs="Arial" w:eastAsia="Arial" w:hAnsi="Arial"/>
                <w:sz w:val="18"/>
                <w:szCs w:val="18"/>
                <w:color w:val="auto"/>
              </w:rPr>
              <w:t>Total lease expense</w:t>
            </w:r>
          </w:p>
        </w:tc>
        <w:tc>
          <w:tcPr>
            <w:tcW w:w="3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41,067</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77,475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Other information about lease amounts recognized in the consolidated financial statements is summarized as follows: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63093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936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jc w:val="center"/>
        <w:ind w:right="160"/>
        <w:spacing w:after="0"/>
        <w:rPr>
          <w:sz w:val="20"/>
          <w:szCs w:val="20"/>
          <w:color w:val="auto"/>
        </w:rPr>
      </w:pPr>
      <w:r>
        <w:rPr>
          <w:rFonts w:ascii="Arial" w:cs="Arial" w:eastAsia="Arial" w:hAnsi="Arial"/>
          <w:sz w:val="12"/>
          <w:szCs w:val="12"/>
          <w:b w:val="1"/>
          <w:bCs w:val="1"/>
          <w:color w:val="auto"/>
        </w:rPr>
        <w:t>As of June 30,</w:t>
      </w:r>
    </w:p>
    <w:p>
      <w:pPr>
        <w:spacing w:after="0" w:line="27"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13335</wp:posOffset>
            </wp:positionV>
            <wp:extent cx="7543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5.2</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2.3%</w:t>
      </w:r>
    </w:p>
    <w:p>
      <w:pPr>
        <w:spacing w:after="0" w:line="222" w:lineRule="exact"/>
        <w:rPr>
          <w:sz w:val="20"/>
          <w:szCs w:val="20"/>
          <w:color w:val="auto"/>
        </w:rPr>
      </w:pPr>
    </w:p>
    <w:p>
      <w:pPr>
        <w:sectPr>
          <w:pgSz w:w="11900" w:h="16838" w:orient="portrait"/>
          <w:cols w:equalWidth="0" w:num="2">
            <w:col w:w="9500" w:space="720"/>
            <w:col w:w="1020"/>
          </w:cols>
          <w:pgMar w:left="320" w:top="125"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cash flow and non-cash information related to leases.</w:t>
      </w:r>
    </w:p>
    <w:p>
      <w:pPr>
        <w:spacing w:after="0" w:line="3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4006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00675" cy="8255"/>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Supplemental non-cash information on lease liabilities arising from obtaining ROU assets:</w:t>
      </w:r>
    </w:p>
    <w:p>
      <w:pPr>
        <w:spacing w:after="0" w:line="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 Included in Net cash provided by operating activities on the Company's Consolidated Statements of Cash Flows.</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126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18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June 30, 2021</w:t>
            </w:r>
          </w:p>
        </w:tc>
        <w:tc>
          <w:tcPr>
            <w:tcW w:w="140" w:type="dxa"/>
            <w:vAlign w:val="bottom"/>
          </w:tcPr>
          <w:p>
            <w:pPr>
              <w:spacing w:after="0"/>
              <w:rPr>
                <w:sz w:val="16"/>
                <w:szCs w:val="16"/>
                <w:color w:val="auto"/>
              </w:rPr>
            </w:pPr>
          </w:p>
        </w:tc>
        <w:tc>
          <w:tcPr>
            <w:tcW w:w="1120" w:type="dxa"/>
            <w:vAlign w:val="bottom"/>
          </w:tcPr>
          <w:p>
            <w:pPr>
              <w:jc w:val="right"/>
              <w:ind w:right="156"/>
              <w:spacing w:after="0"/>
              <w:rPr>
                <w:sz w:val="20"/>
                <w:szCs w:val="20"/>
                <w:color w:val="auto"/>
              </w:rPr>
            </w:pPr>
            <w:r>
              <w:rPr>
                <w:rFonts w:ascii="Arial" w:cs="Arial" w:eastAsia="Arial" w:hAnsi="Arial"/>
                <w:sz w:val="14"/>
                <w:szCs w:val="14"/>
                <w:b w:val="1"/>
                <w:bCs w:val="1"/>
                <w:color w:val="auto"/>
                <w:w w:val="94"/>
              </w:rPr>
              <w:t>June 30, 2020</w:t>
            </w:r>
          </w:p>
        </w:tc>
      </w:tr>
      <w:tr>
        <w:trPr>
          <w:trHeight w:val="269"/>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26,321</w:t>
            </w:r>
          </w:p>
        </w:tc>
        <w:tc>
          <w:tcPr>
            <w:tcW w:w="6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53,869</w:t>
            </w:r>
          </w:p>
        </w:tc>
      </w:tr>
      <w:tr>
        <w:trPr>
          <w:trHeight w:val="54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49,270</w:t>
            </w:r>
          </w:p>
        </w:tc>
        <w:tc>
          <w:tcPr>
            <w:tcW w:w="6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52,764</w:t>
            </w:r>
          </w:p>
        </w:tc>
      </w:tr>
    </w:tbl>
    <w:p>
      <w:pPr>
        <w:sectPr>
          <w:pgSz w:w="11900" w:h="16838" w:orient="portrait"/>
          <w:cols w:equalWidth="0" w:num="2">
            <w:col w:w="7900" w:space="720"/>
            <w:col w:w="262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impact of the COVID-19 pandemic on our results of operations and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speed and effectiveness of rollouts for vaccines and treatments for COVID-19; the effects in Europe of the U.K.'s departure from the E.U.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2020.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Euronet is a leading electronic payments provider. We offer payment and transaction processing and distribution solutions to financial institutions, retailers, service providers and individual consumers. Our primary product offerings include comprehensive Automated Teller Machine ("ATM"), point-of-sale ("POS"), card outsourcing, card issuing and merchant acquiring services, software solutions, electronic distribution of prepaid mobile airtime and other electronic payment products, foreign currency exchange services and global money transfer services. We operate in the following three segments:</w:t>
      </w:r>
    </w:p>
    <w:p>
      <w:pPr>
        <w:spacing w:after="0" w:line="157" w:lineRule="exact"/>
        <w:rPr>
          <w:sz w:val="20"/>
          <w:szCs w:val="20"/>
          <w:color w:val="auto"/>
        </w:rPr>
      </w:pPr>
    </w:p>
    <w:p>
      <w:pPr>
        <w:jc w:val="both"/>
        <w:ind w:left="540"/>
        <w:spacing w:after="0" w:line="275" w:lineRule="auto"/>
        <w:rPr>
          <w:sz w:val="20"/>
          <w:szCs w:val="20"/>
          <w:color w:val="auto"/>
        </w:rPr>
      </w:pPr>
      <w:r>
        <w:rPr>
          <w:rFonts w:ascii="Arial" w:cs="Arial" w:eastAsia="Arial" w:hAnsi="Arial"/>
          <w:sz w:val="17"/>
          <w:szCs w:val="17"/>
          <w:color w:val="auto"/>
        </w:rPr>
        <w:t>The EFT Processing Segment, which processes transactions for a network of 43,559 active ATMs and approximately 375,000 POS terminals across Europe, the Middle East, Asia Pacific, the United States and Africa. We provide comprehensive electronic payment solutions consisting of ATM cash withdrawal and deposit services, ATM network participation, outsourced ATM and POS management solutions, credit and debit card outsourcing, dynamic currency conversion ("DCC"), and other value added services. Through this segment, we also offer a suite of integrated electronic financial transaction software solutions for electronic payment and transaction delivery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-662940</wp:posOffset>
            </wp:positionV>
            <wp:extent cx="59690"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8" w:lineRule="exact"/>
        <w:rPr>
          <w:sz w:val="20"/>
          <w:szCs w:val="20"/>
          <w:color w:val="auto"/>
        </w:rPr>
      </w:pPr>
    </w:p>
    <w:p>
      <w:pPr>
        <w:jc w:val="both"/>
        <w:ind w:left="540"/>
        <w:spacing w:after="0" w:line="259" w:lineRule="auto"/>
        <w:rPr>
          <w:sz w:val="20"/>
          <w:szCs w:val="20"/>
          <w:color w:val="auto"/>
        </w:rPr>
      </w:pPr>
      <w:r>
        <w:rPr>
          <w:rFonts w:ascii="Arial" w:cs="Arial" w:eastAsia="Arial" w:hAnsi="Arial"/>
          <w:sz w:val="18"/>
          <w:szCs w:val="18"/>
          <w:color w:val="auto"/>
        </w:rPr>
        <w:t>The epay Segment, which provides distribution, processing and collection services for prepaid mobile airtime and other electronic content. We operate a network of approximately 748,000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-518795</wp:posOffset>
            </wp:positionV>
            <wp:extent cx="59690"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8" w:lineRule="exact"/>
        <w:rPr>
          <w:sz w:val="20"/>
          <w:szCs w:val="20"/>
          <w:color w:val="auto"/>
        </w:rPr>
      </w:pPr>
    </w:p>
    <w:p>
      <w:pPr>
        <w:jc w:val="both"/>
        <w:ind w:left="540"/>
        <w:spacing w:after="0" w:line="270" w:lineRule="auto"/>
        <w:rPr>
          <w:sz w:val="20"/>
          <w:szCs w:val="20"/>
          <w:color w:val="auto"/>
        </w:rPr>
      </w:pPr>
      <w:r>
        <w:rPr>
          <w:rFonts w:ascii="Arial" w:cs="Arial" w:eastAsia="Arial" w:hAnsi="Arial"/>
          <w:sz w:val="17"/>
          <w:szCs w:val="17"/>
          <w:color w:val="auto"/>
        </w:rPr>
        <w:t>The Money Transfer Segment, which provides global consumer-to-consumer money transfer services, primarily under the brand names Ria, AFEX, IME and xe and global account-to-account money transfer services under the brand name xe. We offer services under the brand names Ria, AFEX and IME through a network of sending agents, Company-owned stores (primarily in North America, Europe and Malaysia) and our websites (riamoneytransfer.com and online.imeremit.com), disbursing money transfers through a worldwide correspondent network that includes approximately 490,000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 sized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-1208405</wp:posOffset>
            </wp:positionV>
            <wp:extent cx="59690" cy="596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20" w:lineRule="exact"/>
        <w:rPr>
          <w:sz w:val="20"/>
          <w:szCs w:val="20"/>
          <w:color w:val="auto"/>
        </w:rPr>
      </w:pPr>
    </w:p>
    <w:p>
      <w:pPr>
        <w:jc w:val="both"/>
        <w:ind w:left="60"/>
        <w:spacing w:after="0" w:line="257"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72%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16% and 15% of total consolidated revenues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and six months ended June 30, 2021, respectively,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epay Segment </w:t>
      </w:r>
      <w:r>
        <w:rPr>
          <w:rFonts w:ascii="Arial" w:cs="Arial" w:eastAsia="Arial" w:hAnsi="Arial"/>
          <w:sz w:val="16"/>
          <w:szCs w:val="16"/>
          <w:color w:val="auto"/>
        </w:rPr>
        <w:t>— Revenues in the epay Segment, which represented approximately 34% and 35% of total consolidated revenues for the three and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2021, respectively, are primarily derived from commissions or processing fees received from mobile phone operators for the processing and distribution of prepaid mobile airtime and commissions earned from the distribution of other electronic content, vouchers, and physical gifts. The proportion of epay Segment revenues earned from the distribution of prepaid mobile phone time compared with other electronic products has decreased over time, and digital media content now produces approximately 68% of epay Segment revenues. Other electronic content offered by this segment includes digital content such as music, games and software, as well as other products, including mobile wallets, prepaid long distance calling card plans, prepaid Internet plans, prepaid debit cards, gift cards, vouchers, transport payments, lottery payments, bill payment and money transfer.</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50% of total consolidated revenues for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2021, respectively,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IME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2023.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260" w:lineRule="exact"/>
        <w:rPr>
          <w:sz w:val="20"/>
          <w:szCs w:val="20"/>
          <w:color w:val="auto"/>
        </w:rPr>
      </w:pPr>
    </w:p>
    <w:p>
      <w:pPr>
        <w:jc w:val="both"/>
        <w:ind w:left="540"/>
        <w:spacing w:after="0" w:line="289" w:lineRule="auto"/>
        <w:rPr>
          <w:sz w:val="20"/>
          <w:szCs w:val="20"/>
          <w:color w:val="auto"/>
        </w:rPr>
      </w:pPr>
      <w:r>
        <w:rPr>
          <w:rFonts w:ascii="Arial" w:cs="Arial" w:eastAsia="Arial" w:hAnsi="Arial"/>
          <w:sz w:val="16"/>
          <w:szCs w:val="16"/>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 markets in which we operate and navigating frequently changing rules imposed by international card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-654685</wp:posOffset>
            </wp:positionV>
            <wp:extent cx="59690" cy="596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jc w:val="both"/>
        <w:ind w:left="540"/>
        <w:spacing w:after="0" w:line="234" w:lineRule="auto"/>
        <w:rPr>
          <w:sz w:val="20"/>
          <w:szCs w:val="20"/>
          <w:color w:val="auto"/>
        </w:rPr>
      </w:pPr>
      <w:r>
        <w:rPr>
          <w:rFonts w:ascii="Arial" w:cs="Arial" w:eastAsia="Arial" w:hAnsi="Arial"/>
          <w:sz w:val="18"/>
          <w:szCs w:val="18"/>
          <w:color w:val="auto"/>
        </w:rPr>
        <w:t>such as Visa</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Mastercard</w:t>
      </w:r>
      <w:r>
        <w:rPr>
          <w:rFonts w:ascii="Arial" w:cs="Arial" w:eastAsia="Arial" w:hAnsi="Arial"/>
          <w:sz w:val="30"/>
          <w:szCs w:val="30"/>
          <w:color w:val="auto"/>
          <w:vertAlign w:val="superscript"/>
        </w:rPr>
        <w:t>®</w:t>
      </w:r>
      <w:r>
        <w:rPr>
          <w:rFonts w:ascii="Arial" w:cs="Arial" w:eastAsia="Arial" w:hAnsi="Arial"/>
          <w:sz w:val="18"/>
          <w:szCs w:val="18"/>
          <w:color w:val="auto"/>
        </w:rPr>
        <w:t>, that govern ATM interchange fees, direct access fees and other restrictions. Our profitability is dependent on the laws and regulations that govern DCC transactions, specifically in the E.U., as well as the laws and regulations of each country that we operate in that may impact the volume of cross-border and cross-currency transactions. The timing and amount of revenues in the EFT Processing Segment is uncertain and unpredictable due to inherent limitations in managing our estate of ATMs, which is dependent on contracts that cover large numbers of ATMs, which are complicated by legal and regulatory considerations of local countries, as well as our customers' decisions whether to outsource ATMs.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both"/>
        <w:ind w:left="540"/>
        <w:spacing w:after="0" w:line="272" w:lineRule="auto"/>
        <w:rPr>
          <w:sz w:val="20"/>
          <w:szCs w:val="20"/>
          <w:color w:val="auto"/>
        </w:rPr>
      </w:pPr>
      <w:r>
        <w:rPr>
          <w:rFonts w:ascii="Arial" w:cs="Arial" w:eastAsia="Arial" w:hAnsi="Arial"/>
          <w:sz w:val="17"/>
          <w:szCs w:val="17"/>
          <w:color w:val="auto"/>
        </w:rPr>
        <w:t>The epay Segment opportunities include renewing existing and negotiating new agreements in target markets in which we operate, primarily with mobile operators, digital content providers, financial institutions and retailers. The overall growth rate in the prepaid mobile phone and digital media content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-1217295</wp:posOffset>
            </wp:positionV>
            <wp:extent cx="59690" cy="596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33" w:lineRule="exact"/>
        <w:rPr>
          <w:sz w:val="20"/>
          <w:szCs w:val="20"/>
          <w:color w:val="auto"/>
        </w:rPr>
      </w:pPr>
    </w:p>
    <w:p>
      <w:pPr>
        <w:jc w:val="both"/>
        <w:ind w:left="540"/>
        <w:spacing w:after="0" w:line="274" w:lineRule="auto"/>
        <w:rPr>
          <w:sz w:val="20"/>
          <w:szCs w:val="20"/>
          <w:color w:val="auto"/>
        </w:rPr>
      </w:pPr>
      <w:r>
        <w:rPr>
          <w:rFonts w:ascii="Arial" w:cs="Arial" w:eastAsia="Arial" w:hAnsi="Arial"/>
          <w:sz w:val="17"/>
          <w:szCs w:val="17"/>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-1226820</wp:posOffset>
            </wp:positionV>
            <wp:extent cx="59690" cy="596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outbreak of the COVID-19 (coronavirus) pandemic has resulted in varying degrees of border and business closures, travel restrictions and other social distancing orders in most of the countries where we operate during the three and six months ended June 30, 2021 and 2020. These types of orders were first put into effect in late February 2020 or early March 2020. As the number and rate of new cases has fluctuated in various locations around the global, the closures, restrictions and other social distancing orders have been modified, rescinded and/or re-imposed. Some version of these orders remains in almost every location in which we operate. Although vaccines for COVID-19 are becoming widely available in the U.S. and parts of Europe, their availability is still limited in many parts of the world where we operate. In addition, the rate of acceptance and long term effectiveness of the vaccines, especially against new variants, are still unknown.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we have a higher mix of digital distribution or a higher concentration of retailers that are deemed essential and have remained open during the pandemic. The Money Transfer Segment continues to be impacted by the pandemic-related restrictions in certain markets that limit customers' ability to access our network of company-owned stores and agents.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COVID-19 pandemic driven impacts, we implemented several key measures to offset the impact across the business, including renegotiating certain third party contracts, reducing travel, decreasing capital expenditures, and increasing the number of seasonal ATM deactivations (placing them in dormancy status, terminating, or re-negotiating) in more sites and more markets.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Revenues and operating income by segment for the three and six months ended June 30, 2021 and 2020 are summarized in the tables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2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Revenues for the Three Months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Revenues for the Six Months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left="475"/>
              <w:spacing w:after="0" w:line="149"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left="577"/>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515"/>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center"/>
              <w:ind w:left="617"/>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Increase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(Decrease)</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gridSpan w:val="2"/>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113,482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78,488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200,558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224,313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(23,755)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epay</w:t>
            </w:r>
          </w:p>
        </w:tc>
        <w:tc>
          <w:tcPr>
            <w:tcW w:w="16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243,918</w:t>
            </w:r>
          </w:p>
        </w:tc>
        <w:tc>
          <w:tcPr>
            <w:tcW w:w="28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187,563</w:t>
            </w:r>
          </w:p>
        </w:tc>
        <w:tc>
          <w:tcPr>
            <w:tcW w:w="1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56,355</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486,221</w:t>
            </w:r>
          </w:p>
        </w:tc>
        <w:tc>
          <w:tcPr>
            <w:tcW w:w="2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360,474</w:t>
            </w:r>
          </w:p>
        </w:tc>
        <w:tc>
          <w:tcPr>
            <w:tcW w:w="12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125,747</w:t>
            </w:r>
          </w:p>
        </w:tc>
        <w:tc>
          <w:tcPr>
            <w:tcW w:w="1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359,308</w:t>
            </w:r>
          </w:p>
        </w:tc>
        <w:tc>
          <w:tcPr>
            <w:tcW w:w="2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262,863</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96,445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684,208</w:t>
            </w: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529,097</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155,111</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716,708</w:t>
            </w:r>
          </w:p>
        </w:tc>
        <w:tc>
          <w:tcPr>
            <w:tcW w:w="280" w:type="dxa"/>
            <w:vAlign w:val="bottom"/>
          </w:tcPr>
          <w:p>
            <w:pPr>
              <w:spacing w:after="0"/>
              <w:rPr>
                <w:sz w:val="22"/>
                <w:szCs w:val="2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528,914</w:t>
            </w: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187,794</w:t>
            </w: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1,370,987</w:t>
            </w:r>
          </w:p>
        </w:tc>
        <w:tc>
          <w:tcPr>
            <w:tcW w:w="26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1,113,884</w:t>
            </w:r>
          </w:p>
        </w:tc>
        <w:tc>
          <w:tcPr>
            <w:tcW w:w="1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257,103</w:t>
            </w: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other</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(1,111)</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(3,631)</w:t>
            </w: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(1,457)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4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714,686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527,803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186,883</w:t>
            </w:r>
          </w:p>
        </w:tc>
        <w:tc>
          <w:tcPr>
            <w:tcW w:w="8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1,367,356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1,111,710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255,646</w:t>
            </w: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Operating (Loss) Income for</w:t>
            </w:r>
          </w:p>
        </w:tc>
        <w:tc>
          <w:tcPr>
            <w:tcW w:w="140" w:type="dxa"/>
            <w:vAlign w:val="bottom"/>
          </w:tcPr>
          <w:p>
            <w:pPr>
              <w:spacing w:after="0"/>
              <w:rPr>
                <w:sz w:val="20"/>
                <w:szCs w:val="20"/>
                <w:color w:val="auto"/>
              </w:rPr>
            </w:pPr>
          </w:p>
        </w:tc>
        <w:tc>
          <w:tcPr>
            <w:tcW w:w="1820" w:type="dxa"/>
            <w:vAlign w:val="bottom"/>
            <w:gridSpan w:val="3"/>
            <w:vMerge w:val="restart"/>
          </w:tcPr>
          <w:p>
            <w:pPr>
              <w:jc w:val="right"/>
              <w:ind w:right="156"/>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Operating (Loss) Income for</w:t>
            </w:r>
          </w:p>
        </w:tc>
        <w:tc>
          <w:tcPr>
            <w:tcW w:w="120" w:type="dxa"/>
            <w:vAlign w:val="bottom"/>
          </w:tcPr>
          <w:p>
            <w:pPr>
              <w:spacing w:after="0"/>
              <w:rPr>
                <w:sz w:val="20"/>
                <w:szCs w:val="20"/>
                <w:color w:val="auto"/>
              </w:rPr>
            </w:pPr>
          </w:p>
        </w:tc>
        <w:tc>
          <w:tcPr>
            <w:tcW w:w="186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21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2"/>
              </w:rPr>
              <w:t>the Three Months Ended June 30,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the Six Months Ended June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Increase</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(Decrease)</w:t>
            </w: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90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gridSpan w:val="2"/>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(25,336)</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(65,432)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(13,791)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epay</w:t>
            </w:r>
          </w:p>
        </w:tc>
        <w:tc>
          <w:tcPr>
            <w:tcW w:w="16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27,235</w:t>
            </w:r>
          </w:p>
        </w:tc>
        <w:tc>
          <w:tcPr>
            <w:tcW w:w="28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18,030</w:t>
            </w:r>
          </w:p>
        </w:tc>
        <w:tc>
          <w:tcPr>
            <w:tcW w:w="14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9,205</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56,392</w:t>
            </w:r>
          </w:p>
        </w:tc>
        <w:tc>
          <w:tcPr>
            <w:tcW w:w="260" w:type="dxa"/>
            <w:vAlign w:val="bottom"/>
          </w:tcPr>
          <w:p>
            <w:pPr>
              <w:spacing w:after="0"/>
              <w:rPr>
                <w:sz w:val="23"/>
                <w:szCs w:val="2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34,488</w:t>
            </w:r>
          </w:p>
        </w:tc>
        <w:tc>
          <w:tcPr>
            <w:tcW w:w="120" w:type="dxa"/>
            <w:vAlign w:val="bottom"/>
          </w:tcPr>
          <w:p>
            <w:pPr>
              <w:spacing w:after="0"/>
              <w:rPr>
                <w:sz w:val="23"/>
                <w:szCs w:val="23"/>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21,904</w:t>
            </w:r>
          </w:p>
        </w:tc>
        <w:tc>
          <w:tcPr>
            <w:tcW w:w="10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44,082</w:t>
            </w:r>
          </w:p>
        </w:tc>
        <w:tc>
          <w:tcPr>
            <w:tcW w:w="2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(55,227)</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79,485</w:t>
            </w:r>
          </w:p>
        </w:tc>
        <w:tc>
          <w:tcPr>
            <w:tcW w:w="26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(32,919)</w:t>
            </w: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112,404</w:t>
            </w: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40" w:type="dxa"/>
            <w:vAlign w:val="bottom"/>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45,981</w:t>
            </w:r>
          </w:p>
        </w:tc>
        <w:tc>
          <w:tcPr>
            <w:tcW w:w="28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(93,773)</w:t>
            </w: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139,754</w:t>
            </w:r>
          </w:p>
        </w:tc>
        <w:tc>
          <w:tcPr>
            <w:tcW w:w="840" w:type="dxa"/>
            <w:vAlign w:val="bottom"/>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70,445</w:t>
            </w:r>
          </w:p>
        </w:tc>
        <w:tc>
          <w:tcPr>
            <w:tcW w:w="26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(50,072)</w:t>
            </w:r>
          </w:p>
        </w:tc>
        <w:tc>
          <w:tcPr>
            <w:tcW w:w="120" w:type="dxa"/>
            <w:vAlign w:val="bottom"/>
          </w:tcPr>
          <w:p>
            <w:pPr>
              <w:spacing w:after="0"/>
              <w:rPr>
                <w:sz w:val="22"/>
                <w:szCs w:val="22"/>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120,517</w:t>
            </w: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other</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(15,860)</w:t>
            </w:r>
          </w:p>
        </w:tc>
        <w:tc>
          <w:tcPr>
            <w:tcW w:w="2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(7,498)</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(29,875)</w:t>
            </w:r>
          </w:p>
        </w:tc>
        <w:tc>
          <w:tcPr>
            <w:tcW w:w="26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(19,597)</w:t>
            </w:r>
          </w:p>
        </w:tc>
        <w:tc>
          <w:tcPr>
            <w:tcW w:w="12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(10,278)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40" w:type="dxa"/>
            <w:vAlign w:val="bottom"/>
          </w:tcPr>
          <w:p>
            <w:pPr>
              <w:ind w:left="280"/>
              <w:spacing w:after="0"/>
              <w:rPr>
                <w:sz w:val="20"/>
                <w:szCs w:val="20"/>
                <w:color w:val="auto"/>
              </w:rPr>
            </w:pPr>
            <w:r>
              <w:rPr>
                <w:rFonts w:ascii="Arial" w:cs="Arial" w:eastAsia="Arial" w:hAnsi="Arial"/>
                <w:sz w:val="18"/>
                <w:szCs w:val="18"/>
                <w:color w:val="auto"/>
              </w:rPr>
              <w:t>Total</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30,121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(101,271)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131,392</w:t>
            </w:r>
          </w:p>
        </w:tc>
        <w:tc>
          <w:tcPr>
            <w:tcW w:w="84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40,570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(69,669) $</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110,239</w:t>
            </w:r>
          </w:p>
        </w:tc>
        <w:tc>
          <w:tcPr>
            <w:tcW w:w="100" w:type="dxa"/>
            <w:vAlign w:val="bottom"/>
          </w:tcPr>
          <w:p>
            <w:pPr>
              <w:spacing w:after="0"/>
              <w:rPr>
                <w:sz w:val="22"/>
                <w:szCs w:val="22"/>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Average Translation Rate</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Average Translation Rate</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 June 30,</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8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60" w:type="dxa"/>
            <w:vAlign w:val="bottom"/>
            <w:gridSpan w:val="2"/>
          </w:tcPr>
          <w:p>
            <w:pPr>
              <w:ind w:left="260"/>
              <w:spacing w:after="0" w:line="139" w:lineRule="exact"/>
              <w:rPr>
                <w:sz w:val="20"/>
                <w:szCs w:val="20"/>
                <w:color w:val="auto"/>
              </w:rPr>
            </w:pPr>
            <w:r>
              <w:rPr>
                <w:rFonts w:ascii="Arial" w:cs="Arial" w:eastAsia="Arial" w:hAnsi="Arial"/>
                <w:sz w:val="14"/>
                <w:szCs w:val="14"/>
                <w:b w:val="1"/>
                <w:bCs w:val="1"/>
                <w:color w:val="auto"/>
              </w:rPr>
              <w:t>Increase</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040" w:type="dxa"/>
            <w:vAlign w:val="bottom"/>
          </w:tcPr>
          <w:p>
            <w:pPr>
              <w:jc w:val="right"/>
              <w:ind w:right="174"/>
              <w:spacing w:after="0" w:line="139"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0.7695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0.6570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0.7710</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0.6577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British pounds sterling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1.3971</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1.2406</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1.3880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1.2606</w:t>
            </w: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1.2045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1.2049</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1.1017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Hungarian forint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0.0034</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0.0031</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0.0034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0.0032</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0.0136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0.0132</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0.0136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0.0135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Malaysian ringgit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0.2424</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0.2316</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0.2443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0.2356</w:t>
            </w: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New Zealand dollar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0.7146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0.6180</w:t>
            </w: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0.7167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0.6266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Polish zloty</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0.2662</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0.2446</w:t>
            </w: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0.2659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0.2499</w:t>
            </w: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548"/>
        </w:trPr>
        <w:tc>
          <w:tcPr>
            <w:tcW w:w="2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93"/>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OPERATING RESULTS FOR THE THREE AND SIX MONTHS ENDED JUNE 30, 2021 AND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results of operations for our EFT Processing Segment for the three and six months ended June 30, 2021 and 2020:</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7"/>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00" w:type="dxa"/>
            <w:vAlign w:val="bottom"/>
            <w:gridSpan w:val="4"/>
            <w:vMerge w:val="restart"/>
          </w:tcPr>
          <w:p>
            <w:pPr>
              <w:jc w:val="right"/>
              <w:ind w:right="268"/>
              <w:spacing w:after="0"/>
              <w:rPr>
                <w:sz w:val="20"/>
                <w:szCs w:val="20"/>
                <w:color w:val="auto"/>
              </w:rPr>
            </w:pPr>
            <w:r>
              <w:rPr>
                <w:rFonts w:ascii="Arial" w:cs="Arial" w:eastAsia="Arial" w:hAnsi="Arial"/>
                <w:sz w:val="14"/>
                <w:szCs w:val="14"/>
                <w:b w:val="1"/>
                <w:bCs w:val="1"/>
                <w:color w:val="auto"/>
              </w:rPr>
              <w:t>Year-over-Year Change</w:t>
            </w:r>
          </w:p>
        </w:tc>
        <w:tc>
          <w:tcPr>
            <w:tcW w:w="1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2000" w:type="dxa"/>
            <w:vAlign w:val="bottom"/>
            <w:gridSpan w:val="3"/>
            <w:vMerge w:val="restart"/>
          </w:tcPr>
          <w:p>
            <w:pPr>
              <w:jc w:val="right"/>
              <w:ind w:right="25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Increase</w:t>
            </w:r>
          </w:p>
        </w:tc>
        <w:tc>
          <w:tcPr>
            <w:tcW w:w="120" w:type="dxa"/>
            <w:vAlign w:val="bottom"/>
          </w:tcPr>
          <w:p>
            <w:pPr>
              <w:spacing w:after="0"/>
              <w:rPr>
                <w:sz w:val="15"/>
                <w:szCs w:val="15"/>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(Decrease)</w:t>
            </w:r>
          </w:p>
        </w:tc>
        <w:tc>
          <w:tcPr>
            <w:tcW w:w="12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(Decrease)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6"/>
        </w:trPr>
        <w:tc>
          <w:tcPr>
            <w:tcW w:w="23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113,482</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78,488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200,558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224,313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(23,755)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24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82,681</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62,465</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152,293</w:t>
            </w:r>
          </w:p>
        </w:tc>
        <w:tc>
          <w:tcPr>
            <w:tcW w:w="2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150,001</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24,098</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21,289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47,669</w:t>
            </w:r>
          </w:p>
        </w:tc>
        <w:tc>
          <w:tcPr>
            <w:tcW w:w="28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43,380</w:t>
            </w:r>
          </w:p>
        </w:tc>
        <w:tc>
          <w:tcPr>
            <w:tcW w:w="140" w:type="dxa"/>
            <w:vAlign w:val="bottom"/>
          </w:tcPr>
          <w:p>
            <w:pPr>
              <w:spacing w:after="0"/>
              <w:rPr>
                <w:sz w:val="23"/>
                <w:szCs w:val="2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4,289</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9,799</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9,515</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21,761</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20,456</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16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21,861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(21,861)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21,861</w:t>
            </w:r>
          </w:p>
        </w:tc>
        <w:tc>
          <w:tcPr>
            <w:tcW w:w="14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(21,861)</w:t>
            </w: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22,240</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19,934</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44,267</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40,256</w:t>
            </w: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138,818</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135,064</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3,754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265,990</w:t>
            </w:r>
          </w:p>
        </w:tc>
        <w:tc>
          <w:tcPr>
            <w:tcW w:w="28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275,954</w:t>
            </w:r>
          </w:p>
        </w:tc>
        <w:tc>
          <w:tcPr>
            <w:tcW w:w="14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(9,964)</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line="264" w:lineRule="exact"/>
              <w:rPr>
                <w:sz w:val="20"/>
                <w:szCs w:val="20"/>
                <w:color w:val="auto"/>
              </w:rPr>
            </w:pPr>
            <w:r>
              <w:rPr>
                <w:rFonts w:ascii="Arial" w:cs="Arial" w:eastAsia="Arial" w:hAnsi="Arial"/>
                <w:sz w:val="16"/>
                <w:szCs w:val="16"/>
                <w:color w:val="auto"/>
              </w:rPr>
              <w:t>(25,336</w:t>
            </w:r>
            <w:r>
              <w:rPr>
                <w:rFonts w:ascii="Arial" w:cs="Arial" w:eastAsia="Arial" w:hAnsi="Arial"/>
                <w:sz w:val="30"/>
                <w:szCs w:val="30"/>
                <w:color w:val="auto"/>
                <w:vertAlign w:val="subscript"/>
              </w:rPr>
              <w:t>)</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line="264" w:lineRule="exact"/>
              <w:rPr>
                <w:sz w:val="20"/>
                <w:szCs w:val="20"/>
                <w:color w:val="auto"/>
              </w:rPr>
            </w:pPr>
            <w:r>
              <w:rPr>
                <w:rFonts w:ascii="Arial" w:cs="Arial" w:eastAsia="Arial" w:hAnsi="Arial"/>
                <w:sz w:val="16"/>
                <w:szCs w:val="16"/>
                <w:color w:val="auto"/>
              </w:rPr>
              <w:t>(56,576</w:t>
            </w:r>
            <w:r>
              <w:rPr>
                <w:rFonts w:ascii="Arial" w:cs="Arial" w:eastAsia="Arial" w:hAnsi="Arial"/>
                <w:sz w:val="30"/>
                <w:szCs w:val="30"/>
                <w:color w:val="auto"/>
                <w:vertAlign w:val="subscript"/>
              </w:rPr>
              <w:t>)</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31,240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(65,432) $</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(51,641) $</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6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16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988</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1,913</w:t>
            </w:r>
          </w:p>
        </w:tc>
        <w:tc>
          <w:tcPr>
            <w:tcW w:w="280" w:type="dxa"/>
            <w:vAlign w:val="bottom"/>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1,463</w:t>
            </w:r>
          </w:p>
        </w:tc>
        <w:tc>
          <w:tcPr>
            <w:tcW w:w="140" w:type="dxa"/>
            <w:vAlign w:val="bottom"/>
          </w:tcPr>
          <w:p>
            <w:pPr>
              <w:spacing w:after="0"/>
              <w:rPr>
                <w:sz w:val="22"/>
                <w:szCs w:val="22"/>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450</w:t>
            </w:r>
          </w:p>
        </w:tc>
        <w:tc>
          <w:tcPr>
            <w:tcW w:w="9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Active ATMs as of June 30,</w:t>
            </w:r>
          </w:p>
        </w:tc>
        <w:tc>
          <w:tcPr>
            <w:tcW w:w="1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43,559</w:t>
            </w: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41,648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43,559</w:t>
            </w:r>
          </w:p>
        </w:tc>
        <w:tc>
          <w:tcPr>
            <w:tcW w:w="2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41,648</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Average active ATMs</w:t>
            </w:r>
          </w:p>
        </w:tc>
        <w:tc>
          <w:tcPr>
            <w:tcW w:w="160" w:type="dxa"/>
            <w:vAlign w:val="bottom"/>
          </w:tcPr>
          <w:p>
            <w:pPr>
              <w:spacing w:after="0"/>
              <w:rPr>
                <w:sz w:val="23"/>
                <w:szCs w:val="23"/>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40,521</w:t>
            </w: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40,358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38,573</w:t>
            </w:r>
          </w:p>
        </w:tc>
        <w:tc>
          <w:tcPr>
            <w:tcW w:w="28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42,586</w:t>
            </w:r>
          </w:p>
        </w:tc>
        <w:tc>
          <w:tcPr>
            <w:tcW w:w="14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(4,013)</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EFT Processing Segment total revenues were $113.5 million for the three months ended June 30, 2021, an increase of $35.0 million or 45% compared to the same period in 2020. EFT Processing Segment total revenues were $200.6 million for the six months ended June 30, 2021, a decrease of $23.8 million or 11% compared to the same period in 2020. Beginning in the late first quarter of 2020, the COVID-19 related government-imposed border and business closures, travel restrictions and other orders significantly reduced tourism throughout Europe, which led to a significant decrease in high-margin cross-border transactions (DCC) and surcharge transactions from March through June of 2020. During 2021, we began increasing our estate of active ATMs as certain countries began easing COVID-19 restrictions; however, many countries continue to have restrictions that prevented our volume of DCC and surcharge transactions from returning to pre-COVID-19 levels. Revenues increased for the three months ended June 30, 2021 compared to the same period in 2020 primarily due to the reactivation of ATMs and gradual increase in high-margin cross-border transaction volumes during 2021. Revenues decreased for the six months ended June 30, 2021 compared to the same period in 2020 primarily because the six months ended June 30, 2020 included two months of pre-COVID-19 level DCC and surcharge transaction volumes compared to the six months ended June 30, 2021 which had various levels of restrictions throughout the entire six month period. Foreign currency movements increased revenues by approximately $7.1 million and $10.3 million for the three and six months ended June 30, 2021, respectively, compared to the same periods in 2020.</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Average monthly revenues per ATM increased to $934 for the three months ended June 30, 2021 compared to $648 for the same period in 2020. Average monthly revenues per ATM decreased to $867 for the six months ended June 30, 2021 compared to $878 for the same period in 2020. Revenues per transaction decreased to $0.11 for the three months ended June 30, 2021 compared to $0.12 for the same period in 2020. Revenues per transaction decreased to $0.10 for the six months ended June 30, 2021 compared to $0.15 for the same period in 2020. For the three months ended June 30, 2021, the increase in average monthly revenues per ATM were attributable to the limited easing of COVID-19 restrictions throughout Europe and corresponding increase in cross-border DCC and surcharge transactions and the decrease in revenue per transaction was attributable to a shift in the mix of our transaction volume as we experienced a significant increase in the volume of lower revenue transactions (processing bank wallet transactions and payments for e-commerce sites) primarily in our Asia Pacific region. For the six months ended June 30, 2021, the average monthly revenues per ATM and revenues per transaction decreased due to the effect of lower DCC and surcharge revenues during January and February of 2021 compared to January and February 2020 prior to COVID-19's initial emergence.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EFT Processing Segment direct operating costs were $82.7 million for the three months ended June 30, 2021, an increase of $20.2 million or 32% compared to the same period in 2020. EFT Processing Segment direct operating costs were $152.3 million for the six months ended June 30, 2021, an increase of $2.3 million or 2% compared to the same period in 2020.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 involved with POS DCC transactions. For the three months ended June 30, 2021, the increase in direct operating costs was primarily due to the increase in the number of ATMs under management in Europe and the increase in transaction volumes. For the six months ended June 30, 2021, the increase in direct operating costs was primarily due to the weakening of the U.S. dollar and increase in transaction volumes, partially offset by the decrease in number of ATMs under management. Foreign currency movements increased direct operating costs by approximately $5.5 million and $8.7 million for the three and six months ended June 30, 2021, respectively, compared to the same periods in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profit, which is calculated as revenues less direct operating costs, was $30.8 million for the three months ended June 30, 2021, an increase of $14.8 million or 93% compared to $16.0 million for the same period in 2020. Gross profit was $48.3 million for the six months ended June 30, 2021, a decrease of $26.0 million or 35% compared to $74.3 million for the same period in 2020. Gross profit as a percentage of revenues (“gross margin”) increased to 27.1% and decreased to 24.1% for the three and six months ended June 30, 2021, respectively, compared to 20.4% and 33.1% for the same periods in 2020, respectively. For the three months ended June 30, 2021, the increase in gross profit and gross margin was primarily driven by the increase in cross-border transactions and the reactivation of ATMs. For the six months ended June 30, 2021, the decrease in gross profit and gross margin was primarily attributable to the lower DCC transactions and domestic and international surcharge transactions during the months of January and February 2021 compared to January and February 2020, as these months in the prior period were before the emergence of COVID-19.</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and benefits expenses were $24.1 million for the three months ended June 30, 2021, an increase of $2.8 million or 13% compared to the same period in 2020. Salaries and benefits expenses were $47.7 million for the six months ended June 30, 2021, an increase of $4.3 million or 10% compared to the same period in 2020. The increase in salaries and benefits was primarily driven by an increase in foreign currency movements and an increase in bonus expense. Foreign currency movements in the countries where we employ our workforce increased these expenses by $1.8 million and $3.1 million for the three and six months ended June 30, 2021, respectively, compared to the same periods in 2020. As a percentage of revenues, these expenses decreased to 21.2% and increased to 23.8% for the three and six months ended June 30, 2021, respectively, compared to 27.1% and 19.3% for the same periods in 2020,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Selling, general and administrative expenses were $9.8 million for the three months ended June 30, 2021, an increase of $0.3 million or 3% compared to the same period in 2020. Selling, general and administrative expenses were $21.8 million for the six months ended June 30, 2021, an increase of $1.3 million or 6% compared to the same period in 2020. As a percentage of revenues, these expenses decreased to 8.6% and increased to 10.9% for the three and six months ended June 30, 2021, respectively, compared to 12.1% and 9.1% for the same periods in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the economic impacts of the COVID-19 pandemic, the Company recorded a $21.9 million non-cash goodwill impairment charge related to two reporting units during the second quarter of 2020. A $14.0 million non-cash goodwill impairment charge was recorded for Innova as a result of the decline in value added tax, or VAT, refund activity directly related to the decline in international tourism within the European Union, and a $7.9 million non-cash goodwill impairment charge was recorded for Pure Commerce related to the decline in international tourism in Asia Pacific.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and amortization expenses were $22.2 million for the three months ended June 30, 2021, an increase of $2.3 million or 12% compared to the same period in 2020. Depreciation and amortization expenses were $44.3 million for the six months ended June 30, 2021, an increase of $4.0 million or 10% compared to the same period in 2020. Foreign currency movements increased these expenses by $1.6 million and $2.8 million for the three and six months ended June 30, 2021, respectively, compared to the same periods in 2020, with the remainder of the increase driven by the acquisition of additional ATMs and software assets. As a percentage of revenues, these expenses decreased to 19.6% and increased to 22.1% for the three and six months ended June 30, 2021, respectively, compared to 25.4% and 17.9% for the same periods in 2020,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EFT Processing Segment had an operating loss of ($25.3 million) for the three months ended June 30, 2021, a decrease of $31.2 million or (55%) compared to the same period in 2020. EFT Processing Segment had an operating loss of ($65.4 million) for the six months ended June 30, 2021, an increase of ($13.8 million) or 27% compared to the same period in 2020. Operating income (loss) as a percentage of revenues (“operating margin”) decreased to (22.3%) and increased to (32.6%) for the three and six months ended June 30, 2021, respectively, compared to (72.1%) and (23.0%) for the same periods in 2020, respectively. Operating loss per transaction was ($0.03) for both the three and six months ended June 30, 2021, compared to ($0.08) and ($0.04) for the same periods in 2020, respectively. For the three months ended June 30, 2021, the decreases in operating loss, operating margin and operating loss per transaction were primarily driven by the $21.9 million decrease in non-cash goodwill impairment charges and the easing of COVID-19 restrictions in limited regions where we operate. For the six months ended June 30, 2021, the increases in operating loss and operating margin were primarily driven by the decrease in tourism in the months of January and February 2021 compared to the same periods in the prior period, partially offset by the $21.9 million decrease in non-cash goodwill impairment charges.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EPAY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and six months ended June 30, 2021 and 2020 for our epay Segment: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2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900" w:type="dxa"/>
            <w:vAlign w:val="bottom"/>
            <w:gridSpan w:val="3"/>
            <w:vMerge w:val="restart"/>
          </w:tcPr>
          <w:p>
            <w:pPr>
              <w:jc w:val="right"/>
              <w:ind w:right="214"/>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Increase</w:t>
            </w: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Percent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63"/>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243,918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56,355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486,221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360,474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125,747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184,989</w:t>
            </w:r>
          </w:p>
        </w:tc>
        <w:tc>
          <w:tcPr>
            <w:tcW w:w="3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144,056</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40,933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367,622</w:t>
            </w:r>
          </w:p>
        </w:tc>
        <w:tc>
          <w:tcPr>
            <w:tcW w:w="3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274,130</w:t>
            </w: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93,492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6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19,775</w:t>
            </w:r>
          </w:p>
        </w:tc>
        <w:tc>
          <w:tcPr>
            <w:tcW w:w="32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15,191</w:t>
            </w:r>
          </w:p>
        </w:tc>
        <w:tc>
          <w:tcPr>
            <w:tcW w:w="18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4,584</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39,144</w:t>
            </w:r>
          </w:p>
        </w:tc>
        <w:tc>
          <w:tcPr>
            <w:tcW w:w="30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30,888</w:t>
            </w:r>
          </w:p>
        </w:tc>
        <w:tc>
          <w:tcPr>
            <w:tcW w:w="18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8,256</w:t>
            </w: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9,772</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8,635</w:t>
            </w:r>
          </w:p>
        </w:tc>
        <w:tc>
          <w:tcPr>
            <w:tcW w:w="1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18,792</w:t>
            </w:r>
          </w:p>
        </w:tc>
        <w:tc>
          <w:tcPr>
            <w:tcW w:w="3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17,473</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2540" w:type="dxa"/>
            <w:vAlign w:val="bottom"/>
            <w:gridSpan w:val="2"/>
          </w:tcPr>
          <w:p>
            <w:pPr>
              <w:ind w:left="180"/>
              <w:spacing w:after="0"/>
              <w:rPr>
                <w:sz w:val="20"/>
                <w:szCs w:val="20"/>
                <w:color w:val="auto"/>
              </w:rPr>
            </w:pPr>
            <w:r>
              <w:rPr>
                <w:rFonts w:ascii="Arial" w:cs="Arial" w:eastAsia="Arial" w:hAnsi="Arial"/>
                <w:sz w:val="18"/>
                <w:szCs w:val="18"/>
                <w:color w:val="auto"/>
                <w:w w:val="97"/>
              </w:rPr>
              <w:t>Depreciation and amortization</w:t>
            </w:r>
          </w:p>
        </w:tc>
        <w:tc>
          <w:tcPr>
            <w:tcW w:w="16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2,147</w:t>
            </w:r>
          </w:p>
        </w:tc>
        <w:tc>
          <w:tcPr>
            <w:tcW w:w="32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1,651</w:t>
            </w:r>
          </w:p>
        </w:tc>
        <w:tc>
          <w:tcPr>
            <w:tcW w:w="18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4,271</w:t>
            </w:r>
          </w:p>
        </w:tc>
        <w:tc>
          <w:tcPr>
            <w:tcW w:w="30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3,495</w:t>
            </w:r>
          </w:p>
        </w:tc>
        <w:tc>
          <w:tcPr>
            <w:tcW w:w="180" w:type="dxa"/>
            <w:vAlign w:val="bottom"/>
          </w:tcPr>
          <w:p>
            <w:pPr>
              <w:spacing w:after="0"/>
              <w:rPr>
                <w:sz w:val="23"/>
                <w:szCs w:val="2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776</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216,683</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169,533</w:t>
            </w:r>
          </w:p>
        </w:tc>
        <w:tc>
          <w:tcPr>
            <w:tcW w:w="1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47,150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429,829</w:t>
            </w:r>
          </w:p>
        </w:tc>
        <w:tc>
          <w:tcPr>
            <w:tcW w:w="3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325,986</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103,843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254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27,235</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18,030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9,205</w:t>
            </w: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220" w:type="dxa"/>
            <w:vAlign w:val="bottom"/>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56,392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34,488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21,904</w:t>
            </w: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2"/>
        </w:trPr>
        <w:tc>
          <w:tcPr>
            <w:tcW w:w="2540" w:type="dxa"/>
            <w:vAlign w:val="bottom"/>
            <w:tcBorders>
              <w:top w:val="single" w:sz="8" w:color="CCEEFF"/>
            </w:tcBorders>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Transactions processed</w:t>
            </w: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(millions)</w:t>
            </w: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w:t>
            </w:r>
          </w:p>
        </w:tc>
        <w:tc>
          <w:tcPr>
            <w:tcW w:w="3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585</w:t>
            </w:r>
          </w:p>
        </w:tc>
        <w:tc>
          <w:tcPr>
            <w:tcW w:w="1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w:t>
            </w:r>
          </w:p>
        </w:tc>
        <w:tc>
          <w:tcPr>
            <w:tcW w:w="3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1,032</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epay Segment total revenues were $243.9 million for the three months ended June 30, 2021, an increase of $56.4 million or 30% compared to the same period in 2020. epay Segment total revenues were $486.2 million for the six months ended June 30, 2021, an increase of $125.7 million or 35% compared to the same period in 2020. The increase in revenues was primarily due to an increase in the number of transactions processed driven by continued digital media growth and the U.S. dollar weakening against key foreign currencies during 2021. Foreign currency movements increased revenues by approximately $16.0 million and $28.9 million for the three and six months ended June 30, 2021, respectively, compared to the same periods in 2020. The epay segment was impacted by COVID-19 pandemic-driven government-imposed lockdowns and business closures, primarily at retail outlets, which were offset by increases in digital media offerings in Asia and revenues derived from businesses that were classified as essential and remained open during the pandemic.</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per transaction decreased to $0.31 and $0.33 for the three and six months ended June 30, 2021, respectively, compared to $0.32 and $0.35 for the same periods in 2020, respectively. The decreases in revenues per transaction were primarily driven by the increase in the number of mobile transactions processed in a region where we generally earn lower revenues per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epay Segment direct operating costs were $185.0 million for the three months ended June 30, 2021, an increase of $40.9 million or 28% compared to the same period in 2020. epay Segment direct operating costs were $367.6 million for the six months ended June 30, 2021, an increase of $93.5 million or 34% compared to the same period in 2020. Direct operating costs primarily consist of the commissions paid to retail merchants for the distribution and sale of prepaid mobile airtime and other prepaid products, expenses incurred to operate POS terminals and the cost of vouchers sold and physical gifts fulfilled. The increases in direct operating costs were primarily due to the increase in transaction volumes of low-value mobile top-up transactions and by the U.S. dollar weakening against key foreign currencies during 2021. Foreign currency movements increased direct operating costs by approximately $11.9 million and $21.3 million for the three and six months ended June 30, 2021, respectively, compared to the same periods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Gross profit was $58.9 million for the three months ended June 30, 2021, an increase of $15.4 million or 35% compared to $43.5 million for the same period in 2020. Gross profit was $118.6 million for the six months ended June 30, 2021, an increase of $32.3 million or 37% compared to $86.3 million for the same period in 2020. Gross margin increased to 24.2% and 24.4% for the three and six months ended June 30, 2021, respectively, compared to 23.2% and 24.0% for the same periods in 2020, respectively. The increase in gross profit and gross margin is driven by the increase in transaction volumes.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and benefits expenses were $19.8 million for the three months ended June 30, 2021, an increase of $4.6 million or 30% compared to the same period in 2020. Salaries and benefits expenses were $39.1 million for the six months ended June 30, 2021, an increase of $8.3 million or 27% compared to the same period in 2020. The increase in salaries and benefits was primarily driven by an increase in headcount to support the growth of the business and an increase in bonus expense. Foreign currency movements in the countries where we employ our workforce increased these expenses by $1.5 million and $2.7 million for the three and six months ended June 30, 2021, respectively, compared to the same periods in 2020. As a percentage of revenues, these expenses were 8.1% for both the three and six months ended June 30, 2021, compared to 8.1% and 8.6% for the same periods in 2020,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were $9.8 million for the three months ended June 30, 2021, an increase of $1.1 million or 13% compared to the same period in 2020. Selling, general and administrative expenses were $18.8 million for the six months ended June 30, 2021, an increase of $1.3 million or 8% compared to the same period in 2020. Foreign currency movements increased these expenses by $0.9 million and $1.5 million for the three and six months ended June 30, 2021, respectively, compared to the same periods in 2020. As a percentage of revenues, these expenses decreased to 4.0% and 3.9% for the three and six months ended June 30, 2021, respectively, compared to 4.6% and 4.8% for the same periods in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Depreciation and amortization expenses were $2.1 million for the three months ended June 30, 2021, an increase of $0.5 million or 30% compared to the same period in 2020. Depreciation and amortization expenses were $4.3 million for the six months ended June 30, 2021, an increase of $0.8 million or 22% compared to the same period in 2020. Depreciation and amortization expense primarily represents depreciation of POS terminals we install in retail stores and amortization of acquired intangible assets. As a percentage of revenues, these expenses were 0.9% for both the three and six months ended June 30, 2021, compared to 0.9% and 1.0% for the same periods in 2020,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epay Segment operating income was $27.2 million for the three months ended June 30, 2021, an increase of $9.2 million or 51% compared to the same period in 2020. epay Segment operating income was $56.4 million for the six months ended June 30, 2021, an increase of $21.9 million or 64% compared to the same period in 2020. Operating margin increased to 11.2% and 11.6% for the three and six months ended June 30, 2021, respectively, compared to 9.6% for both of the same periods in 2020. Operating income per transaction was $0.03 and $0.04 for the three and six months ended June 30, 2021, respectively, compared to $0.03 for both of the same periods in 2020. The increases in operating income and operating margin for the three and six months ended June 30, 2021 compared to the same periods in 2020 were primarily due to an increase in the number of higher-margin digital media transactions.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results of operations for the three and six months ended June 30, 2021 and 2020 for the Money Transfer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20" w:type="dxa"/>
            <w:vAlign w:val="bottom"/>
            <w:gridSpan w:val="3"/>
            <w:vMerge w:val="restart"/>
          </w:tcPr>
          <w:p>
            <w:pPr>
              <w:jc w:val="right"/>
              <w:ind w:right="275"/>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2020" w:type="dxa"/>
            <w:vAlign w:val="bottom"/>
            <w:gridSpan w:val="3"/>
            <w:vMerge w:val="restart"/>
          </w:tcPr>
          <w:p>
            <w:pPr>
              <w:jc w:val="right"/>
              <w:ind w:right="275"/>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Increase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(Decrease)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(Decrease)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359,308</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262,863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96,445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684,208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529,097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205,164</w:t>
            </w:r>
          </w:p>
        </w:tc>
        <w:tc>
          <w:tcPr>
            <w:tcW w:w="32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144,589</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60,575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389,042</w:t>
            </w:r>
          </w:p>
        </w:tc>
        <w:tc>
          <w:tcPr>
            <w:tcW w:w="28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287,498</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101,544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18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62,710</w:t>
            </w:r>
          </w:p>
        </w:tc>
        <w:tc>
          <w:tcPr>
            <w:tcW w:w="32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49,059</w:t>
            </w:r>
          </w:p>
        </w:tc>
        <w:tc>
          <w:tcPr>
            <w:tcW w:w="14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13,651</w:t>
            </w: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123,250</w:t>
            </w:r>
          </w:p>
        </w:tc>
        <w:tc>
          <w:tcPr>
            <w:tcW w:w="2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102,923</w:t>
            </w:r>
          </w:p>
        </w:tc>
        <w:tc>
          <w:tcPr>
            <w:tcW w:w="16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20,327</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administrative</w:t>
            </w:r>
          </w:p>
        </w:tc>
        <w:tc>
          <w:tcPr>
            <w:tcW w:w="1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38,326</w:t>
            </w:r>
          </w:p>
        </w:tc>
        <w:tc>
          <w:tcPr>
            <w:tcW w:w="3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33,172</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5,154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74,442</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71,754</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2500" w:type="dxa"/>
            <w:vAlign w:val="bottom"/>
            <w:gridSpan w:val="2"/>
          </w:tcPr>
          <w:p>
            <w:pPr>
              <w:ind w:left="180"/>
              <w:spacing w:after="0"/>
              <w:rPr>
                <w:sz w:val="20"/>
                <w:szCs w:val="20"/>
                <w:color w:val="auto"/>
              </w:rPr>
            </w:pPr>
            <w:r>
              <w:rPr>
                <w:rFonts w:ascii="Arial" w:cs="Arial" w:eastAsia="Arial" w:hAnsi="Arial"/>
                <w:sz w:val="18"/>
                <w:szCs w:val="18"/>
                <w:color w:val="auto"/>
              </w:rPr>
              <w:t>Goodwill impairment</w:t>
            </w:r>
          </w:p>
        </w:tc>
        <w:tc>
          <w:tcPr>
            <w:tcW w:w="18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82,693</w:t>
            </w:r>
          </w:p>
        </w:tc>
        <w:tc>
          <w:tcPr>
            <w:tcW w:w="14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(82,693 )</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82,693</w:t>
            </w:r>
          </w:p>
        </w:tc>
        <w:tc>
          <w:tcPr>
            <w:tcW w:w="16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(82,693)</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8,577</w:t>
            </w: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17,989</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17,148</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0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315,226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318,090</w:t>
            </w:r>
          </w:p>
        </w:tc>
        <w:tc>
          <w:tcPr>
            <w:tcW w:w="140" w:type="dxa"/>
            <w:vAlign w:val="bottom"/>
          </w:tcPr>
          <w:p>
            <w:pPr>
              <w:spacing w:after="0"/>
              <w:rPr>
                <w:sz w:val="22"/>
                <w:szCs w:val="22"/>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(2,864 )</w:t>
            </w: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604,723</w:t>
            </w:r>
          </w:p>
        </w:tc>
        <w:tc>
          <w:tcPr>
            <w:tcW w:w="28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562,016</w:t>
            </w:r>
          </w:p>
        </w:tc>
        <w:tc>
          <w:tcPr>
            <w:tcW w:w="1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42,707</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8"/>
              </w:rPr>
              <w:t>Operating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(55,227) $</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99,309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79,485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(32,919)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112,404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Transactions processed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5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500" w:type="dxa"/>
            <w:vAlign w:val="bottom"/>
            <w:gridSpan w:val="2"/>
          </w:tcPr>
          <w:p>
            <w:pPr>
              <w:ind w:left="340"/>
              <w:spacing w:after="0"/>
              <w:rPr>
                <w:sz w:val="20"/>
                <w:szCs w:val="20"/>
                <w:color w:val="auto"/>
              </w:rPr>
            </w:pPr>
            <w:r>
              <w:rPr>
                <w:rFonts w:ascii="Arial" w:cs="Arial" w:eastAsia="Arial" w:hAnsi="Arial"/>
                <w:sz w:val="18"/>
                <w:szCs w:val="18"/>
                <w:color w:val="auto"/>
              </w:rPr>
              <w:t>(millions)</w:t>
            </w:r>
          </w:p>
        </w:tc>
        <w:tc>
          <w:tcPr>
            <w:tcW w:w="18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34.2</w:t>
            </w:r>
          </w:p>
        </w:tc>
        <w:tc>
          <w:tcPr>
            <w:tcW w:w="3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40" w:type="dxa"/>
            <w:vAlign w:val="bottom"/>
          </w:tcPr>
          <w:p>
            <w:pPr>
              <w:spacing w:after="0"/>
              <w:rPr>
                <w:sz w:val="22"/>
                <w:szCs w:val="2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8.4</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280" w:type="dxa"/>
            <w:vAlign w:val="bottom"/>
          </w:tcPr>
          <w:p>
            <w:pPr>
              <w:spacing w:after="0"/>
              <w:rPr>
                <w:sz w:val="22"/>
                <w:szCs w:val="22"/>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1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Money Transfer Segment total revenues were $359.3 million for the three months ended June 30, 2021, an increase of $96.4 million or 37% compared to the same period in 2020. Money Transfer Segment total revenues were $684.2 million for the six months ended June 30, 2021, an increase of $155.1 million or 29% compared to the same period in 2020. The increase in revenues was primarily due to increases in U.S. outbound and international-originated money transfers, partially offset by decreases in the U.S. domestic business. Revenues per transaction increased to $10.51 and $10.48 for the three and six months ended June 30, 2021, respectively, compared to $10.19 and $9.95 for the same periods in 2020, respectively. Foreign currency movements increased revenues by approximately $17.9 million and $32.2 million for the three and six months ended June 30, 2021, respectively, compared to the same periods in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Money Transfer Segment direct operating costs were $205.2 million for the three months ended June 30, 2021, an increase of $60.6 million or 42% compared to the same period in 2020. Money Transfer Segment direct operating costs were $389.0 million for the six months ended June 30, 2021, an increase of $101.5 million or 35% compared to the same period in 2020.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U.S. outbound and international-originated money transfer transactions and the impact of the U.S. dollar weakening against key foreign currencies. Foreign currency movements increased direct operating costs by approximately $9.2 million and $16.3 million for the three and six months ended June 30, 2021, respectively, compared to the same periods in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Gross profit was $154.1 million for the three months ended June 30, 2021, an increase of $35.8 million or 30% compared to $118.3 million for the same period in 2020. Gross profit was $295.2 million for the six months ended June 30, 2021, an increase of $53.6 million or 22% compared to $241.6 million for the same period in 2020. Gross margin decreased to 42.9% and 43.1% for the three and six months ended June 30, 2021, respectively, compared to 45.0% and 45.7% for the same periods in 2020, respectively. The decrease in gross margin is primarily attributable to the increase in direct operating costs driven by increased agent commissions in three and six months ended June 30, 2021 compared to the same periods in 2020.</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Salaries and benefits expenses were $62.7 million for the three months ended June 30, 2021, an increase of $13.7 million or 28% compared to the same period in 2020. Salaries and benefits expenses were $123.3 million for the six months ended June 30, 2021, an increase of $20.3 million or 20% compared to the same period in 2020. The increase in salaries and benefits was primarily driven by an increase in headcount to support the growth of the business and an increase in bonus expense. Foreign currency movements in the countries where we employ our workforce increased these expenses by $3.2 million and $5.8 million for the three and six months ended June 30, 2021, respectively, compared to the same periods in 2020. As a percentage of revenues, these expenses decreased to 17.5% and 18.0% for the three and six months ended June 30, 2021, respectively, compared to 18.7% and 19.5% for the same periods in 2020,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were $38.3 million for the three months ended June 30, 2021, an increase of $5.2 million or 16% compared to the same period in 2020. Selling, general and administrative expenses were $74.4 million for the six months ended June 30, 2021, an increase of $2.7 million or 4% compared to the same period in 2020. Foreign currency movements increased these expenses by $2.4 million and $5.0 million for the three and six months ended June 30, 2021, respectively, compared to the same periods in 2020. As a percentage of revenues, these expenses decreased to 10.7% and 10.9% for the three and six months ended June 30, 2021, respectively, compared to 12.6% and 13.6% for the same periods in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Due to the economic impacts of the COVID-19 pandemic, the Company recorded an $82.7 million non-cash goodwill impairment charge related to the xe reporting unit during the second quarter of 2020. The non-cash goodwill impairment charge was recorded for xe as a result of declines in the international payments business stemming from economic uncertainty.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expenses were $9.0 million for the three months ended June 30, 2021, an increase of $0.4 million or 5% compared to the same period in 2020. Depreciation and amortization expenses were $18.0 million for the six months ended June 30, 2021, an increase of $0.8 million or 5% compared to the same period in 2020. Depreciation and amortization primarily represents amortization of acquired intangible assets and depreciation of money transfer terminals, computers and software, leasehold improvements and office equipment. As a percentage of revenues, these expenses decreased to 2.5% and 2.6% for the three and six months ended June 30, 2021, respectively, compared to 3.3% and 3.2% for the same periods in 2020,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(loss)</w:t>
      </w:r>
    </w:p>
    <w:p>
      <w:pPr>
        <w:spacing w:after="0" w:line="2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Money Transfer Segment operating income was $44.1 million for the three months ended June 30, 2021, an increase of $99.3 million or 180% compared to an operating loss in the same period in 2020. Money Transfer Segment operating income was $79.5 million for the six months ended June 30, 2021, an increase of $112.4 million or 341% compared to an operating loss in the same period in 2020. Operating margin increased to 12.3% and 11.6% for the three and six months ended June 30, 2021, respectively, compared to (21.0%) and (6.2%) for the same periods in 2020, respectively. The increases in operating income and operating margin were primarily driven by the decrease in goodwill impairment charges, and an increase in transaction volume, specifically the higher margin transactions for U.S. outbound and international-originated money transfers. Operating income (loss) per transaction increased to $1.29 and $1.22 for the three and six months ended June 30, 2021, respectively, compared to ($2.14) and ($0.62) for the same periods in 2020,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and six months ended June 30, 2021 and 2020 for Corporate Services: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960" w:type="dxa"/>
            <w:vAlign w:val="bottom"/>
            <w:gridSpan w:val="3"/>
            <w:vMerge w:val="restart"/>
          </w:tcPr>
          <w:p>
            <w:pPr>
              <w:jc w:val="right"/>
              <w:ind w:right="238"/>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2020" w:type="dxa"/>
            <w:vAlign w:val="bottom"/>
            <w:gridSpan w:val="3"/>
            <w:vMerge w:val="restart"/>
          </w:tcPr>
          <w:p>
            <w:pPr>
              <w:jc w:val="right"/>
              <w:ind w:right="25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Increase</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(Decrease)</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2"/>
                <w:szCs w:val="12"/>
                <w:color w:val="auto"/>
              </w:rPr>
            </w:pPr>
          </w:p>
        </w:tc>
        <w:tc>
          <w:tcPr>
            <w:tcW w:w="740" w:type="dxa"/>
            <w:vAlign w:val="bottom"/>
            <w:vMerge w:val="restart"/>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(Decrease)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5"/>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63"/>
        </w:trPr>
        <w:tc>
          <w:tcPr>
            <w:tcW w:w="2500" w:type="dxa"/>
            <w:vAlign w:val="bottom"/>
            <w:gridSpan w:val="2"/>
          </w:tcPr>
          <w:p>
            <w:pPr>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14,488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5,413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9,075</w:t>
            </w:r>
          </w:p>
        </w:tc>
        <w:tc>
          <w:tcPr>
            <w:tcW w:w="100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26,676</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15,001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11,675</w:t>
            </w: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1,226</w:t>
            </w:r>
          </w:p>
        </w:tc>
        <w:tc>
          <w:tcPr>
            <w:tcW w:w="28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2,005</w:t>
            </w: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2,906</w:t>
            </w:r>
          </w:p>
        </w:tc>
        <w:tc>
          <w:tcPr>
            <w:tcW w:w="2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4,437</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25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28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3"/>
                <w:szCs w:val="2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293</w:t>
            </w:r>
          </w:p>
        </w:tc>
        <w:tc>
          <w:tcPr>
            <w:tcW w:w="280" w:type="dxa"/>
            <w:vAlign w:val="bottom"/>
          </w:tcPr>
          <w:p>
            <w:pPr>
              <w:spacing w:after="0"/>
              <w:rPr>
                <w:sz w:val="23"/>
                <w:szCs w:val="2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104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29,875</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Total Corporate operating expenses were $15.9 million and $29.9 million for the three and six months ended June 30, 2021, respectively, an increase of $8.4 million or 112% and $10.3 million or 52%, respectively, compared to the same periods in 2020. The increase is primarily due to a $7.8 million and $10.0 million increase in share based compensation for the three and six months ended June 30, 2021, respectively, compared to the same periods in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960" w:type="dxa"/>
            <w:vAlign w:val="bottom"/>
            <w:gridSpan w:val="3"/>
            <w:vMerge w:val="restart"/>
          </w:tcPr>
          <w:p>
            <w:pPr>
              <w:jc w:val="right"/>
              <w:ind w:right="237"/>
              <w:spacing w:after="0"/>
              <w:rPr>
                <w:sz w:val="20"/>
                <w:szCs w:val="20"/>
                <w:color w:val="auto"/>
              </w:rPr>
            </w:pPr>
            <w:r>
              <w:rPr>
                <w:rFonts w:ascii="Arial" w:cs="Arial" w:eastAsia="Arial" w:hAnsi="Arial"/>
                <w:sz w:val="14"/>
                <w:szCs w:val="14"/>
                <w:b w:val="1"/>
                <w:bCs w:val="1"/>
                <w:color w:val="auto"/>
              </w:rPr>
              <w:t>Year-over-Year Change</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2000" w:type="dxa"/>
            <w:vAlign w:val="bottom"/>
            <w:gridSpan w:val="3"/>
            <w:vMerge w:val="restart"/>
          </w:tcPr>
          <w:p>
            <w:pPr>
              <w:jc w:val="right"/>
              <w:ind w:right="257"/>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Increase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9"/>
              </w:rPr>
              <w:t>(Decrease)</w:t>
            </w:r>
          </w:p>
        </w:tc>
        <w:tc>
          <w:tcPr>
            <w:tcW w:w="12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3"/>
                <w:szCs w:val="13"/>
                <w:color w:val="auto"/>
              </w:rPr>
            </w:pPr>
          </w:p>
        </w:tc>
        <w:tc>
          <w:tcPr>
            <w:tcW w:w="7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(Decrease)</w:t>
            </w:r>
          </w:p>
        </w:tc>
        <w:tc>
          <w:tcPr>
            <w:tcW w:w="10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(Decrease)</w:t>
            </w:r>
          </w:p>
        </w:tc>
        <w:tc>
          <w:tcPr>
            <w:tcW w:w="0" w:type="dxa"/>
            <w:vAlign w:val="bottom"/>
          </w:tcPr>
          <w:p>
            <w:pPr>
              <w:spacing w:after="0"/>
              <w:rPr>
                <w:sz w:val="1"/>
                <w:szCs w:val="1"/>
                <w:color w:val="auto"/>
              </w:rPr>
            </w:pPr>
          </w:p>
        </w:tc>
      </w:tr>
      <w:tr>
        <w:trPr>
          <w:trHeight w:val="176"/>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63"/>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386  $</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24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(9,457)</w:t>
            </w:r>
          </w:p>
        </w:tc>
        <w:tc>
          <w:tcPr>
            <w:tcW w:w="300" w:type="dxa"/>
            <w:vAlign w:val="bottom"/>
          </w:tcPr>
          <w:p>
            <w:pPr>
              <w:spacing w:after="0"/>
              <w:rPr>
                <w:sz w:val="23"/>
                <w:szCs w:val="2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(8,884)</w:t>
            </w:r>
          </w:p>
        </w:tc>
        <w:tc>
          <w:tcPr>
            <w:tcW w:w="12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(18,646)</w:t>
            </w:r>
          </w:p>
        </w:tc>
        <w:tc>
          <w:tcPr>
            <w:tcW w:w="280" w:type="dxa"/>
            <w:vAlign w:val="bottom"/>
          </w:tcPr>
          <w:p>
            <w:pPr>
              <w:spacing w:after="0"/>
              <w:rPr>
                <w:sz w:val="23"/>
                <w:szCs w:val="23"/>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(18,117)</w:t>
            </w:r>
          </w:p>
        </w:tc>
        <w:tc>
          <w:tcPr>
            <w:tcW w:w="14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exchange</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(loss), net</w:t>
            </w: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3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(3,916)</w:t>
            </w:r>
          </w:p>
        </w:tc>
        <w:tc>
          <w:tcPr>
            <w:tcW w:w="2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(16,311)</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2440" w:type="dxa"/>
            <w:vAlign w:val="bottom"/>
            <w:gridSpan w:val="2"/>
          </w:tcPr>
          <w:p>
            <w:pPr>
              <w:spacing w:after="0"/>
              <w:rPr>
                <w:sz w:val="20"/>
                <w:szCs w:val="20"/>
                <w:color w:val="auto"/>
              </w:rPr>
            </w:pPr>
            <w:r>
              <w:rPr>
                <w:rFonts w:ascii="Arial" w:cs="Arial" w:eastAsia="Arial" w:hAnsi="Arial"/>
                <w:sz w:val="18"/>
                <w:szCs w:val="18"/>
                <w:color w:val="auto"/>
              </w:rPr>
              <w:t>Other gains (losses)</w:t>
            </w:r>
          </w:p>
        </w:tc>
        <w:tc>
          <w:tcPr>
            <w:tcW w:w="22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(697)</w:t>
            </w: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3"/>
                <w:szCs w:val="2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23"/>
                <w:szCs w:val="23"/>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(697)</w:t>
            </w: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8"/>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(22,145) $</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(32,972) $</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10,827</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a net foreign currency exchange gain of $0.1 million and a loss of $3.9 million for the three and six months ended June 30, 2021, respectively, compared to a net foreign currency exchange gain of $2.5 million and a net foreign currency exchange loss of $16.3 million for the same periods in 2020, respectively. These realized and unrealized foreign currency exchange gains and losses reflect the fluctuation in the value of the U.S. dollar against the currencies of the countries in which we operated during the respective periods.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Our effective income tax rate was 58.9% and 99.9% for the three and six months ended June 30, 2021, respectively, compared to (8.4)% and (11.1)% for the same periods in 2020, respectively. Our effective income tax rate for the three and six months ended </w:t>
      </w:r>
      <w:r>
        <w:rPr>
          <w:rFonts w:ascii="Arial" w:cs="Arial" w:eastAsia="Arial" w:hAnsi="Arial"/>
          <w:sz w:val="18"/>
          <w:szCs w:val="18"/>
          <w:color w:val="252525"/>
        </w:rPr>
        <w:t>June 30, 2021</w:t>
      </w:r>
      <w:r>
        <w:rPr>
          <w:rFonts w:ascii="Arial" w:cs="Arial" w:eastAsia="Arial" w:hAnsi="Arial"/>
          <w:sz w:val="18"/>
          <w:szCs w:val="18"/>
          <w:color w:val="auto"/>
        </w:rPr>
        <w:t xml:space="preserve"> was higher than the applicable statutory income tax rate of 21% as a result of certain foreign earnings being subject to higher local statutory tax rates, the non-recognition of tax benefits from losses in certain foreign countries where we have a limited history of profitable earnings and as a result of an increase in the valuation allowance in certain jurisdictions relating to the reversal of tax benefits recognized in the first quarter of 2021 for continuing net operating losses. Our effective income tax rate for the three and six months ended June 30, 2020 was different than the applicable statutory income tax rate of 21% primarily due to the non-deductible goodwill impairment charge during the second quarter of 2020 and as a result of an increase in the valuation allowance in certain jurisdictions relating to the reversal of tax benefits recognized in the first quarter of 2020 for net operating losses in those jurisdictions which have a limited history of profitable earnings.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Segment - Country</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EFT - India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income attributable to Euronet was $8.6 million for the three months ended June 30, 2021, an increase of $124.4 million or 107% compared to the net loss in the same period in 2020. For the three months ended June 30, 2021, the increase in net income was primarily attributable to the $104.6 million decrease in non-cash goodwill impairment charges and a $66.1 million increase in gross profit, partially offset by a $30.1 million increase in salaries and benefits, a $5.8 million increase in selling, general and administrative expenses, a $2.4 million decrease in net foreign currency exchange gains, and an increase in other expenses aggregating $8.0 million.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loss attributable to Euronet was ($0.03 million) for the six months ended June 30, 2021, an increase of $113.9 million or 100% compared to the net loss in the same period in 2020. For the six months ended June 30, 2021, the increase in net income was primarily attributable to the $104.6 million decrease in non-cash goodwill impairment charges, a $59.8 million increase in gross profit and a $12.4 million decrease in net foreign currency exchange losses, partially offset by a $44.5 million increase in salaries and benefits, a $7.0 million increase in income tax expense, and an increase in other expenses aggregating $11.4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2021, we had working capital of $1,280.2 million, which is calculated as the difference between total current assets and total current liabilities, compared to working capital of $1,510.5 million as of December 31, 2020. The decrease in working capital was primarily due to the $249.6 million decrease in the outstanding balance on the Credit Facility during the six months ended June 30, 2021. Our ratio of current assets to current liabilities was 1.79 and 1.81 at June 30, 2021 and December 31, 2020, respectively.</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June 30, 2021, we had $565.1 million of our own cash in use or designated for use in our ATM network, which is recorded in ATM cash on Euronet's Consolidated Balance Sheet. ATM cash increased $154.0 million from $411.1 million as of December 31, 2020 to $565.1 million as of June 30, 2021 as a result of the increase in number of active ATMs as of June 30, 2021 compared to December 31, 2020.</w:t>
      </w:r>
    </w:p>
    <w:p>
      <w:pPr>
        <w:sectPr>
          <w:pgSz w:w="11900" w:h="16838" w:orient="portrait"/>
          <w:cols w:equalWidth="0" w:num="1">
            <w:col w:w="11240"/>
          </w:cols>
          <w:pgMar w:left="320" w:top="125" w:right="3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$994.5 million of unrestricted cash as of June 30, 2021 compared to $1,420.3 million as of December 31, 2020. The decrease in unrestricted cash was primarily due to the $249.6 million net repayment of the outstanding balance on the Credit Facility during the six months ended June 30, 2021 and the $154.0 million increase in ATM cash as unrestricted cash was utilized to fill the additional active ATMs. Including the $565.1 million of cash in ATMs at June 30, 2021, the Company has access to $1,559.6 million in available cash, and $949.7 million available under the Credit Facility with no significant long-term debt principal payments until March 2025.</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identifies cash and cash equivalents provided by/(used in) our operating, investing and financing activities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2021 and 2020 (in thousands):</w:t>
      </w:r>
    </w:p>
    <w:p>
      <w:pPr>
        <w:spacing w:after="0" w:line="373"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48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33020</wp:posOffset>
            </wp:positionV>
            <wp:extent cx="17576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173,307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178,557</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(48,624)</w:t>
            </w:r>
          </w:p>
        </w:tc>
      </w:tr>
      <w:tr>
        <w:trPr>
          <w:trHeight w:val="263"/>
        </w:trPr>
        <w:tc>
          <w:tcPr>
            <w:tcW w:w="84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(248,553)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(240,974)</w:t>
            </w:r>
          </w:p>
        </w:tc>
      </w:tr>
      <w:tr>
        <w:trPr>
          <w:trHeight w:val="277"/>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(43,278)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(27,787)</w:t>
            </w:r>
          </w:p>
        </w:tc>
      </w:tr>
      <w:tr>
        <w:trPr>
          <w:trHeight w:val="257"/>
        </w:trPr>
        <w:tc>
          <w:tcPr>
            <w:tcW w:w="8480" w:type="dxa"/>
            <w:vAlign w:val="bottom"/>
          </w:tcPr>
          <w:p>
            <w:pPr>
              <w:ind w:left="40"/>
              <w:spacing w:after="0"/>
              <w:rPr>
                <w:sz w:val="20"/>
                <w:szCs w:val="20"/>
                <w:color w:val="auto"/>
              </w:rPr>
            </w:pPr>
            <w:r>
              <w:rPr>
                <w:rFonts w:ascii="Arial" w:cs="Arial" w:eastAsia="Arial" w:hAnsi="Arial"/>
                <w:sz w:val="18"/>
                <w:szCs w:val="18"/>
                <w:color w:val="auto"/>
              </w:rPr>
              <w:t>Decrease in cash and cash equivalents and restricted cash</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(166,856)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(138,828)</w:t>
            </w:r>
          </w:p>
        </w:tc>
      </w:tr>
      <w:tr>
        <w:trPr>
          <w:trHeight w:val="20"/>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provided by operating activities were $173.3 million for the six months ended June 30, 2021 compared to $178.6 million for the same period in 2020. The decrease in operating cash flows was primarily due to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flows used in investing activities were $48.3 million for the six months ended June 30, 2021 compared to $48.6 million for the same period in 2020. We used $45.1 million for purchases of property and equipment for the six months ended June 30, 2021 compared to $45.5 million for the same period in 2020. Cash used for software development and other investing activities totaled $3.3 million and $3.6 million for the six months ended June 30, 2021 and 2020,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flows used in financing activities were $248.6 million for the six months ended June 30, 2021 compared to $241.0 million for the same period in 2020. Our borrowing activities for the six months ended June 30, 2021 consisted of net cash outflows of $249.6 million compared to no net borrowings for the same period in 2020. The decrease in net borrowings for the six months ended June 30, 2021 compared to the same period in 2020 was the result of the net repayment of $249.6 million of the outstanding balance on the Credit Facility. We repurchased $0.9 million of common stock during the six months ended June 30, 2021 compared to repurchases of $240.7 million for the same period in 2020. The $0.9 million of share repurchases during the six months ended June 30, 2021 were in connection with the settlement of RSU awards and the exercise of option awards in certain countries in which we operate. We received proceeds of $5.3 million and $5.7 million during the six months ended June 30, 2021 and 2020, respectively, for the issuance of stock in connection with our Stock Incentive Plan.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In May 2021, an additional lender joined the Credit Facility which increased the revolving commitment by $30 million.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2021, fees and interest on borrowings are based upon our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we had $20.8 million of borrowings and $59.5 million of stand-by letters of credit outstanding under the Credit Facility. The remaining $949.7 million under the Credit Facility was available for borrowing.</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Senior Notes</w:t>
      </w:r>
      <w:r>
        <w:rPr>
          <w:rFonts w:ascii="Arial" w:cs="Arial" w:eastAsia="Arial" w:hAnsi="Arial"/>
          <w:sz w:val="17"/>
          <w:szCs w:val="17"/>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June 30, 2021, we have outstanding €600 million ($711.3 million) principal amount of the Senior Notes. In addition, we may redeem some or all of these notes on or after February 22, 2026 at their principal amount plus any accrued and unpaid interest.</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$0.8 million and $0.9 million outstanding under these other obligation arrangements as of June 30, 2021 and December 31, 2020,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six months ended June 30, 2021 were $45.1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2021 are currently estimated to range from approximately $100 million to $105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June 30, 2021, there were no material changes from the disclosure in our Annual Report on Form 10-K for the year ended December 31, 2020. To date, we are not aware of any significant claims made by the indemnified parties or parties to whom we have provided guarantees on behalf of our subsidiaries and, accordingly, no liabilities have been recorded as of June 30, 2021. See also Note 14, Commitments, to the unaudited consolidated financial statements included elsewhere in this report.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2021, there have been no material changes outside the ordinary course of business in our future contractual obligations from the amounts reported within our Annual Report on Form 10-K for the year ended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2021, our total debt outstanding, excluding unamortized debt issuance costs, was $1,193.0 million. Of this amount, $460.1 million, net of debt discounts, or 38%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June 30, 2021, the fair value of our fixed rate Convertible Notes was $633.3 million, compared to a carrying value of $460.1 million. Interest expense for the Convertible Notes, including accretion and amortization of deferred debt issuance costs, has a weighted average interest rate of 4.4% annually. Further, as of June 30, 2021 we had $20.8 million of borrowings, or 2% of our total debt obligations, under our Credit Facility. Additionally, $711.3 million, or 60% of our total debt obligations, relates to Senior Notes having a fixed coupon rate. Our €600 million outstanding principal amount of Senior Notes accrue cash interest at a rate of 1.375% of the principal amount per annum. Based on quoted market prices, as of June 30, 2021, the fair value of our fixed rate Senior Notes was $721.7 million, compared to a carrying value of $711.3 million. The remaining $0.8 million, or less than 1% of our total debt obligations, is related to borrowings by certain subsidiaries to fund, from time to time, working capital requirements. These arrangements generally are due within one year and accrue interest at variable rates.</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2021, approximately 72% and of our revenues were generated in non-U.S. dollar countries and we expect to continue generating a significant portion of our revenues in countries with currencies other than the U.S. dollar.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June 30, 2021, we estimate that a 10% fluctuation in these foreign currency exchange rates would have the combined annualized effect on reported net income and working capital of approximately $100 million to $105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$125 million to $130 million as a result of the change in value of these items during translation to the U.S. dollar. For the fluctuations described above, a strengthening U.S. dollar produces a financial loss, while a weakening U.S. dollar produces a financial gain.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June 30, 2021, we had foreign currency derivative contracts outstanding with a notional value of $220 million, primarily in Australian dollars, British pounds, Canadian dollars, euros and Mexican pesos, that were not designated as hedges and mature within a few days.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June 30, 2021, we held foreign currency derivative contracts outstanding with a notional value of $1.1 billion, primarily in U.S. dollars, euros, British pounds, Australian dollars and New Zealand dollars, that were not designated as hedges and for which the majority mature within the next twelve months.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June 30, 2021, the Company had foreign currency forward contracts outstanding with a notional value of $99 million, primarily in euros.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10, Derivative Instruments and Hedging Activities, to our unaudited consolidated financial statements 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executive management, including our Chief Executive Officer and Chief Financial Officer, evaluated the effectiveness of the design and operation of our disclosure controls and procedures pursuant to Rule 13a-15(b) under the Exchange Act as of June 30, 2021.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second quarter of 2021 that has materially affected, or is reasonably likely to materially affect, our internal control over financial reporting.</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15, Litigation and Contingencies, to the unaudited consolidated financial statements in this report is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252525"/>
        </w:rPr>
        <w:t xml:space="preserve">Except as otherwise described herein, there were no material changes to the risk factors previously disclosed in our Annual Report on Form 10-K for the year ended December 31, 2020, </w:t>
      </w:r>
      <w:r>
        <w:rPr>
          <w:rFonts w:ascii="Arial" w:cs="Arial" w:eastAsia="Arial" w:hAnsi="Arial"/>
          <w:sz w:val="18"/>
          <w:szCs w:val="18"/>
          <w:color w:val="000000"/>
        </w:rPr>
        <w:t>as filed with the SEC.</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June 30, 2021. There were no repurchases of common stock during the three months ended June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136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Shares Purchased as</w:t>
            </w:r>
          </w:p>
        </w:tc>
        <w:tc>
          <w:tcPr>
            <w:tcW w:w="220" w:type="dxa"/>
            <w:vAlign w:val="bottom"/>
          </w:tcPr>
          <w:p>
            <w:pPr>
              <w:spacing w:after="0"/>
              <w:rPr>
                <w:sz w:val="12"/>
                <w:szCs w:val="12"/>
                <w:color w:val="auto"/>
              </w:rPr>
            </w:pPr>
          </w:p>
        </w:tc>
        <w:tc>
          <w:tcPr>
            <w:tcW w:w="13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Number of</w:t>
            </w:r>
          </w:p>
        </w:tc>
        <w:tc>
          <w:tcPr>
            <w:tcW w:w="13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Average Price Paid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580" w:type="dxa"/>
            <w:vAlign w:val="bottom"/>
            <w:gridSpan w:val="2"/>
          </w:tcPr>
          <w:p>
            <w:pPr>
              <w:jc w:val="center"/>
              <w:ind w:left="19"/>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5"/>
              </w:rPr>
              <w:t>Announced Plans or</w:t>
            </w:r>
          </w:p>
        </w:tc>
        <w:tc>
          <w:tcPr>
            <w:tcW w:w="158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3"/>
              </w:rPr>
              <w:t>Under the Programs</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Shares Purchased</w:t>
            </w:r>
          </w:p>
        </w:tc>
        <w:tc>
          <w:tcPr>
            <w:tcW w:w="22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per Share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20" w:type="dxa"/>
            <w:vAlign w:val="bottom"/>
          </w:tcPr>
          <w:p>
            <w:pPr>
              <w:spacing w:after="0"/>
              <w:rPr>
                <w:sz w:val="16"/>
                <w:szCs w:val="16"/>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 April 30, 2021</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May 1 - May 31, 2021</w:t>
            </w:r>
          </w:p>
        </w:tc>
        <w:tc>
          <w:tcPr>
            <w:tcW w:w="128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 June 30, 2021</w:t>
            </w: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8"/>
        <w:spacing w:after="0" w:line="263" w:lineRule="auto"/>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February 26, 2020, the Company put a repurchase program in place to repurchase up to $250 million in value, but not more than 5.0 million shares of common stock through February 28, 2022. Repurchases may take place in the open market or in privately negotiated transactions, including derivative transactions, and may be made under a Rule 10b5-1 plan.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457"/>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80" w:type="dxa"/>
            <w:vAlign w:val="bottom"/>
            <w:tcBorders>
              <w:top w:val="single" w:sz="8" w:color="auto"/>
            </w:tcBorders>
            <w:gridSpan w:val="5"/>
          </w:tcPr>
          <w:p>
            <w:pPr>
              <w:spacing w:after="0"/>
              <w:rPr>
                <w:rFonts w:ascii="Arial" w:cs="Arial" w:eastAsia="Arial" w:hAnsi="Arial"/>
                <w:sz w:val="18"/>
                <w:szCs w:val="18"/>
                <w:color w:val="0000EE"/>
                <w:w w:val="95"/>
              </w:rPr>
            </w:pPr>
            <w:hyperlink r:id="rId104">
              <w:r>
                <w:rPr>
                  <w:rFonts w:ascii="Arial" w:cs="Arial" w:eastAsia="Arial" w:hAnsi="Arial"/>
                  <w:sz w:val="18"/>
                  <w:szCs w:val="18"/>
                  <w:color w:val="0000EE"/>
                  <w:w w:val="95"/>
                </w:rPr>
                <w:t>Euronet Worldwide, Inc. 2006 Stock Incentive Plan, as amended and restated (filed as Appendix B to the Company's Definitive Proxy</w:t>
              </w:r>
            </w:hyperlink>
          </w:p>
        </w:tc>
      </w:tr>
      <w:tr>
        <w:trPr>
          <w:trHeight w:val="190"/>
        </w:trPr>
        <w:tc>
          <w:tcPr>
            <w:tcW w:w="1020" w:type="dxa"/>
            <w:vAlign w:val="bottom"/>
          </w:tcPr>
          <w:p>
            <w:pPr>
              <w:ind w:left="40"/>
              <w:spacing w:after="0" w:line="170" w:lineRule="exact"/>
              <w:rPr>
                <w:sz w:val="20"/>
                <w:szCs w:val="20"/>
                <w:color w:val="auto"/>
              </w:rPr>
            </w:pPr>
            <w:r>
              <w:rPr>
                <w:rFonts w:ascii="Arial" w:cs="Arial" w:eastAsia="Arial" w:hAnsi="Arial"/>
                <w:sz w:val="18"/>
                <w:szCs w:val="18"/>
                <w:color w:val="auto"/>
              </w:rPr>
              <w:t>10.2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80" w:type="dxa"/>
            <w:vAlign w:val="bottom"/>
            <w:gridSpan w:val="5"/>
          </w:tcPr>
          <w:p>
            <w:pPr>
              <w:spacing w:after="0" w:line="170"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Credit agreement dated as of October 17, 2018 among Euronet Worldwide, Inc. and certain subsidiaries, as borrowers, certain subsidiaries,</w:t>
              </w:r>
            </w:hyperlink>
          </w:p>
        </w:tc>
      </w:tr>
      <w:tr>
        <w:trPr>
          <w:trHeight w:val="156"/>
        </w:trPr>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980" w:type="dxa"/>
            <w:vAlign w:val="bottom"/>
            <w:tcBorders>
              <w:top w:val="single" w:sz="8" w:color="0000EE"/>
            </w:tcBorders>
            <w:gridSpan w:val="4"/>
          </w:tcPr>
          <w:p>
            <w:pPr>
              <w:spacing w:after="0" w:line="156" w:lineRule="exact"/>
              <w:rPr>
                <w:rFonts w:ascii="Arial" w:cs="Arial" w:eastAsia="Arial" w:hAnsi="Arial"/>
                <w:sz w:val="18"/>
                <w:szCs w:val="18"/>
                <w:color w:val="0000EE"/>
                <w:w w:val="93"/>
              </w:rPr>
            </w:pPr>
            <w:hyperlink r:id="rId105">
              <w:r>
                <w:rPr>
                  <w:rFonts w:ascii="Arial" w:cs="Arial" w:eastAsia="Arial" w:hAnsi="Arial"/>
                  <w:sz w:val="18"/>
                  <w:szCs w:val="18"/>
                  <w:color w:val="0000EE"/>
                  <w:w w:val="93"/>
                </w:rPr>
                <w:t>as co-syndication agents, et al. (filed as exhibit 10.1 to the Company's Quarterly Report on Form 10-Q filed on November 2, 2018 and</w:t>
              </w:r>
            </w:hyperlink>
          </w:p>
        </w:tc>
        <w:tc>
          <w:tcPr>
            <w:tcW w:w="100" w:type="dxa"/>
            <w:vAlign w:val="bottom"/>
          </w:tcPr>
          <w:p>
            <w:pPr>
              <w:spacing w:after="0"/>
              <w:rPr>
                <w:sz w:val="13"/>
                <w:szCs w:val="13"/>
                <w:color w:val="auto"/>
              </w:rPr>
            </w:pPr>
          </w:p>
        </w:tc>
      </w:tr>
      <w:tr>
        <w:trPr>
          <w:trHeight w:val="263"/>
        </w:trPr>
        <w:tc>
          <w:tcPr>
            <w:tcW w:w="1020" w:type="dxa"/>
            <w:vAlign w:val="bottom"/>
          </w:tcPr>
          <w:p>
            <w:pPr>
              <w:ind w:left="4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60" w:type="dxa"/>
            <w:vAlign w:val="bottom"/>
            <w:tcBorders>
              <w:top w:val="single" w:sz="8" w:color="0000EE"/>
            </w:tcBorders>
            <w:gridSpan w:val="3"/>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Letter Amendment No. 1 dated as of August 26, 2019 to the Credit Agreement dated as of October 17, 2018</w:t>
              </w:r>
            </w:hyperlink>
          </w:p>
        </w:tc>
        <w:tc>
          <w:tcPr>
            <w:tcW w:w="420" w:type="dxa"/>
            <w:vAlign w:val="bottom"/>
            <w:gridSpan w:val="2"/>
          </w:tcPr>
          <w:p>
            <w:pPr>
              <w:spacing w:after="0"/>
              <w:rPr>
                <w:sz w:val="22"/>
                <w:szCs w:val="22"/>
                <w:color w:val="auto"/>
              </w:rPr>
            </w:pPr>
          </w:p>
        </w:tc>
      </w:tr>
      <w:tr>
        <w:trPr>
          <w:trHeight w:val="190"/>
        </w:trPr>
        <w:tc>
          <w:tcPr>
            <w:tcW w:w="1020" w:type="dxa"/>
            <w:vAlign w:val="bottom"/>
          </w:tcPr>
          <w:p>
            <w:pPr>
              <w:ind w:left="40"/>
              <w:spacing w:after="0" w:line="190"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0" w:type="dxa"/>
            <w:vAlign w:val="bottom"/>
            <w:tcBorders>
              <w:bottom w:val="single" w:sz="8" w:color="0000EE"/>
            </w:tcBorders>
            <w:gridSpan w:val="2"/>
          </w:tcPr>
          <w:p>
            <w:pPr>
              <w:spacing w:after="0" w:line="190"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Section 302 — Certification of Chief Executive Officer</w:t>
              </w:r>
            </w:hyperlink>
          </w:p>
        </w:tc>
        <w:tc>
          <w:tcPr>
            <w:tcW w:w="6080" w:type="dxa"/>
            <w:vAlign w:val="bottom"/>
            <w:gridSpan w:val="3"/>
          </w:tcPr>
          <w:p>
            <w:pPr>
              <w:spacing w:after="0"/>
              <w:rPr>
                <w:sz w:val="16"/>
                <w:szCs w:val="16"/>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302 — Certification of Chief Financial Officer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Section 906 — Certification of Chief Executive Officer</w:t>
              </w:r>
            </w:hyperlink>
          </w:p>
        </w:tc>
        <w:tc>
          <w:tcPr>
            <w:tcW w:w="6080" w:type="dxa"/>
            <w:vAlign w:val="bottom"/>
            <w:gridSpan w:val="3"/>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Section 906 — Certification of Chief Financial Officer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4"/>
          </w:tcPr>
          <w:p>
            <w:pPr>
              <w:spacing w:after="0" w:line="20" w:lineRule="exact"/>
              <w:rPr>
                <w:sz w:val="1"/>
                <w:szCs w:val="1"/>
                <w:color w:val="auto"/>
              </w:rPr>
            </w:pPr>
          </w:p>
        </w:tc>
      </w:tr>
      <w:tr>
        <w:trPr>
          <w:trHeight w:val="27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2"/>
              </w:rPr>
              <w:t>The following materials from Euronet Worldwide, Inc.’s Quarterly Report on Form 10-Q for the quarter ended June 30, 2021, formatted in</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1"/>
              </w:rPr>
              <w:t>XBRL (eXtensible Business Reporting Language): (i) Consolidated Balance Sheets at June 30, 2021 (unaudited) and December 31, 2020,</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4"/>
              </w:rPr>
              <w:t>(ii) Consolidated Statements of Operations (unaudited) for the three and six months ended June 30, 2021 and 2020, (iii)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2"/>
              </w:rPr>
              <w:t>Statements of Comprehensive Income (Loss) (unaudited) for the three and six months ended June 30, 2021 and 2020, (iv)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2"/>
              </w:rPr>
              <w:t>Statements of Changes in Equity (unaudited) for the three and six months ended June 30, 2021 and 2020 (v) Consolidated Statements of</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w w:val="96"/>
              </w:rPr>
              <w:t>Cash Flows (unaudited) for the six months ended June 30, 2021 and 2020, and (vi) Notes to the Unaudited Consolidated Financial</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Statements.</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5"/>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Pr>
          <w:p>
            <w:pPr>
              <w:jc w:val="center"/>
              <w:spacing w:after="0"/>
              <w:rPr>
                <w:sz w:val="20"/>
                <w:szCs w:val="20"/>
                <w:color w:val="auto"/>
              </w:rPr>
            </w:pPr>
            <w:r>
              <w:rPr>
                <w:rFonts w:ascii="Arial" w:cs="Arial" w:eastAsia="Arial" w:hAnsi="Arial"/>
                <w:sz w:val="18"/>
                <w:szCs w:val="18"/>
                <w:color w:val="auto"/>
                <w:w w:val="96"/>
              </w:rPr>
              <w:t>/s/ MICHAEL J. BROWN</w:t>
            </w:r>
          </w:p>
        </w:tc>
      </w:tr>
      <w:tr>
        <w:trPr>
          <w:trHeight w:val="27"/>
        </w:trPr>
        <w:tc>
          <w:tcPr>
            <w:tcW w:w="76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Michael J. Brown</w:t>
            </w:r>
          </w:p>
        </w:tc>
      </w:tr>
      <w:tr>
        <w:trPr>
          <w:trHeight w:val="270"/>
        </w:trPr>
        <w:tc>
          <w:tcPr>
            <w:tcW w:w="760" w:type="dxa"/>
            <w:vAlign w:val="bottom"/>
          </w:tcPr>
          <w:p>
            <w:pPr>
              <w:spacing w:after="0"/>
              <w:rPr>
                <w:sz w:val="23"/>
                <w:szCs w:val="23"/>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81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420" w:type="dxa"/>
            <w:vAlign w:val="bottom"/>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7"/>
        </w:trPr>
        <w:tc>
          <w:tcPr>
            <w:tcW w:w="760" w:type="dxa"/>
            <w:vAlign w:val="bottom"/>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70"/>
        </w:trPr>
        <w:tc>
          <w:tcPr>
            <w:tcW w:w="760" w:type="dxa"/>
            <w:vAlign w:val="bottom"/>
          </w:tcPr>
          <w:p>
            <w:pPr>
              <w:spacing w:after="0"/>
              <w:rPr>
                <w:sz w:val="23"/>
                <w:szCs w:val="23"/>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25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80"/>
          </w:cols>
          <w:pgMar w:left="320" w:top="125" w:right="12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16"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4" w:lineRule="exact"/>
        <w:rPr>
          <w:rFonts w:ascii="Arial" w:cs="Arial" w:eastAsia="Arial" w:hAnsi="Arial"/>
          <w:sz w:val="18"/>
          <w:szCs w:val="18"/>
          <w:color w:val="auto"/>
        </w:rPr>
      </w:pPr>
    </w:p>
    <w:p>
      <w:pPr>
        <w:ind w:left="420" w:right="100" w:hanging="6"/>
        <w:spacing w:after="0" w:line="263" w:lineRule="auto"/>
        <w:tabs>
          <w:tab w:leader="none" w:pos="60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420" w:right="300" w:hanging="6"/>
        <w:spacing w:after="0" w:line="263" w:lineRule="auto"/>
        <w:tabs>
          <w:tab w:leader="none" w:pos="61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420" w:right="980" w:hanging="6"/>
        <w:spacing w:after="0" w:line="342" w:lineRule="auto"/>
        <w:tabs>
          <w:tab w:leader="none" w:pos="605"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420" w:right="60" w:hanging="6"/>
        <w:spacing w:after="0" w:line="263" w:lineRule="auto"/>
        <w:tabs>
          <w:tab w:leader="none" w:pos="61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9" w:lineRule="exact"/>
        <w:rPr>
          <w:rFonts w:ascii="Arial" w:cs="Arial" w:eastAsia="Arial" w:hAnsi="Arial"/>
          <w:sz w:val="18"/>
          <w:szCs w:val="18"/>
          <w:color w:val="auto"/>
        </w:rPr>
      </w:pPr>
    </w:p>
    <w:p>
      <w:pPr>
        <w:ind w:firstLine="8"/>
        <w:spacing w:after="0" w:line="308" w:lineRule="auto"/>
        <w:tabs>
          <w:tab w:leader="none" w:pos="215"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48" w:lineRule="exact"/>
        <w:rPr>
          <w:rFonts w:ascii="Arial" w:cs="Arial" w:eastAsia="Arial" w:hAnsi="Arial"/>
          <w:sz w:val="17"/>
          <w:szCs w:val="17"/>
          <w:color w:val="auto"/>
        </w:rPr>
      </w:pPr>
    </w:p>
    <w:p>
      <w:pPr>
        <w:ind w:left="420" w:right="380" w:hanging="6"/>
        <w:spacing w:after="0" w:line="277" w:lineRule="auto"/>
        <w:tabs>
          <w:tab w:leader="none" w:pos="60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420" w:right="360" w:hanging="6"/>
        <w:spacing w:after="0" w:line="277" w:lineRule="auto"/>
        <w:tabs>
          <w:tab w:leader="none" w:pos="61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1"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18"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05"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7"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hanging="7"/>
        <w:spacing w:after="0" w:line="277"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31"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2021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June 30, 2021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0" w:lineRule="exact"/>
        <w:rPr>
          <w:sz w:val="20"/>
          <w:szCs w:val="20"/>
          <w:color w:val="auto"/>
        </w:rPr>
      </w:pPr>
    </w:p>
    <w:p>
      <w:pPr>
        <w:spacing w:after="0" w:line="201"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LETTER AMENDMENT NO. 1</w:t>
      </w:r>
    </w:p>
    <w:p>
      <w:pPr>
        <w:spacing w:after="0" w:line="200" w:lineRule="exact"/>
        <w:rPr>
          <w:sz w:val="20"/>
          <w:szCs w:val="20"/>
          <w:color w:val="auto"/>
        </w:rPr>
      </w:pPr>
    </w:p>
    <w:p>
      <w:pPr>
        <w:spacing w:after="0" w:line="218"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Dated as of August 26, 2019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To the banks, financial institutions</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and other institutional lenders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(collectively, the “Lenders”) parties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 the Credit Agreement referred to</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and to Bank of America, N.A., as administrative agent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“Administrative Agent”) for the Lenders</w:t>
      </w:r>
    </w:p>
    <w:p>
      <w:pPr>
        <w:spacing w:after="0" w:line="200" w:lineRule="exact"/>
        <w:rPr>
          <w:sz w:val="20"/>
          <w:szCs w:val="20"/>
          <w:color w:val="auto"/>
        </w:rPr>
      </w:pPr>
    </w:p>
    <w:p>
      <w:pPr>
        <w:spacing w:after="0" w:line="3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Ladies and Gentlemen:</w:t>
      </w:r>
    </w:p>
    <w:p>
      <w:pPr>
        <w:spacing w:after="0" w:line="200" w:lineRule="exact"/>
        <w:rPr>
          <w:sz w:val="20"/>
          <w:szCs w:val="20"/>
          <w:color w:val="auto"/>
        </w:rPr>
      </w:pPr>
    </w:p>
    <w:p>
      <w:pPr>
        <w:spacing w:after="0" w:line="201" w:lineRule="exact"/>
        <w:rPr>
          <w:sz w:val="20"/>
          <w:szCs w:val="20"/>
          <w:color w:val="auto"/>
        </w:rPr>
      </w:pPr>
    </w:p>
    <w:p>
      <w:pPr>
        <w:ind w:left="820" w:right="40"/>
        <w:spacing w:after="0" w:line="277" w:lineRule="auto"/>
        <w:rPr>
          <w:sz w:val="20"/>
          <w:szCs w:val="20"/>
          <w:color w:val="auto"/>
        </w:rPr>
      </w:pPr>
      <w:r>
        <w:rPr>
          <w:rFonts w:ascii="Arial" w:cs="Arial" w:eastAsia="Arial" w:hAnsi="Arial"/>
          <w:sz w:val="18"/>
          <w:szCs w:val="18"/>
          <w:color w:val="auto"/>
        </w:rPr>
        <w:t>We refer to the Credit Agreement dated as of October 17, 2018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the undersigned and you. Capitalized terms not otherwise defined in this Letter Amendment have the same meanings as specified in the Credit Agreement.</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It is hereby agreed by you and us as follows:</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Credit Agreement is, effective as of the date of this Letter Amendment, hereby amended as follows:</w:t>
      </w:r>
    </w:p>
    <w:p>
      <w:pPr>
        <w:spacing w:after="0" w:line="225" w:lineRule="exact"/>
        <w:rPr>
          <w:sz w:val="20"/>
          <w:szCs w:val="20"/>
          <w:color w:val="auto"/>
        </w:rPr>
      </w:pPr>
    </w:p>
    <w:p>
      <w:pPr>
        <w:ind w:left="820" w:right="360" w:hanging="2"/>
        <w:spacing w:after="0" w:line="277" w:lineRule="auto"/>
        <w:tabs>
          <w:tab w:leader="none" w:pos="10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definition of “Applicable Percentage” in Section 1.01 is amended by adding to the end of the embedded definition of “Debt Rating” therein the following:</w:t>
      </w:r>
    </w:p>
    <w:p>
      <w:pPr>
        <w:spacing w:after="0" w:line="170" w:lineRule="exact"/>
        <w:rPr>
          <w:sz w:val="20"/>
          <w:szCs w:val="20"/>
          <w:color w:val="auto"/>
        </w:rPr>
      </w:pPr>
    </w:p>
    <w:p>
      <w:pPr>
        <w:ind w:left="820" w:right="60"/>
        <w:spacing w:after="0" w:line="263"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Debt Rating of any rating agency shall be disregarded upon the request of the EWI, which request shall certify that (x) such rating was not issued pursuant to a contractual arrangement with EWI and (y) EWI did not participate or cooperate in analysis by such rating agency in relation to such Debt Rating</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(b) The definition of “Credit Documents” in Section 1.01 is amended in full to read as follows:</w:t>
      </w:r>
    </w:p>
    <w:p>
      <w:pPr>
        <w:spacing w:after="0" w:line="225" w:lineRule="exact"/>
        <w:rPr>
          <w:sz w:val="20"/>
          <w:szCs w:val="20"/>
          <w:color w:val="auto"/>
        </w:rPr>
      </w:pPr>
    </w:p>
    <w:p>
      <w:pPr>
        <w:ind w:left="8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xml:space="preserve">” means this Credit Agreement, the Notes, the Fee Letter, the Guaranties, each Designated Borrower Request and Assumption Agreement, the Issuer Documents, each Designated Borrower Notice, the Joinder Agreements, any agreement creating or perfecting rights in Cash Collateral pursuant to the provisions of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of this Credit Agreement, the Autoborrow Agreement, any fee letter entered into in connection with the Autoborrow Agreement and the Lender Joinder Agreements.</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 Section 1.01 is further amended by adding thereto in appropriate alphabetical order the following new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Autoborrow Agreement</w:t>
      </w:r>
      <w:r>
        <w:rPr>
          <w:rFonts w:ascii="Arial" w:cs="Arial" w:eastAsia="Arial" w:hAnsi="Arial"/>
          <w:sz w:val="18"/>
          <w:szCs w:val="18"/>
          <w:color w:val="auto"/>
        </w:rPr>
        <w:t>” has the meaning specified in Section 2.04(a)(i)(y).</w:t>
      </w:r>
    </w:p>
    <w:p>
      <w:pPr>
        <w:spacing w:after="0" w:line="225" w:lineRule="exact"/>
        <w:rPr>
          <w:sz w:val="20"/>
          <w:szCs w:val="20"/>
          <w:color w:val="auto"/>
        </w:rPr>
      </w:pPr>
    </w:p>
    <w:p>
      <w:pPr>
        <w:ind w:left="2"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170" w:lineRule="exact"/>
        <w:rPr>
          <w:sz w:val="20"/>
          <w:szCs w:val="20"/>
          <w:color w:val="auto"/>
        </w:rPr>
      </w:pPr>
    </w:p>
    <w:p>
      <w:pPr>
        <w:ind w:left="2"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84" w:lineRule="exact"/>
        <w:rPr>
          <w:sz w:val="20"/>
          <w:szCs w:val="20"/>
          <w:color w:val="auto"/>
        </w:rPr>
      </w:pPr>
    </w:p>
    <w:p>
      <w:pPr>
        <w:ind w:left="2" w:right="3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left="2"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w:t>
      </w:r>
      <w:r>
        <w:rPr>
          <w:rFonts w:ascii="Arial" w:cs="Arial" w:eastAsia="Arial" w:hAnsi="Arial"/>
          <w:sz w:val="18"/>
          <w:szCs w:val="18"/>
          <w:color w:val="auto"/>
        </w:rPr>
        <w:t>” has the meaning assigned to the term “qualified financial contract” in, and shall be interpreted in accordance with, 12 U.S.C. 5390(c)(8) (D).</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specified in Section 11.21.</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specified in Section 11.21.</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color w:val="auto"/>
        </w:rPr>
        <w:t>(d) Section 2.01(a)(iii) is amended in full to read as follows:</w:t>
      </w:r>
    </w:p>
    <w:p>
      <w:pPr>
        <w:spacing w:after="0" w:line="225" w:lineRule="exact"/>
        <w:rPr>
          <w:sz w:val="20"/>
          <w:szCs w:val="20"/>
          <w:color w:val="auto"/>
        </w:rPr>
      </w:pPr>
    </w:p>
    <w:p>
      <w:pPr>
        <w:ind w:left="2" w:right="160" w:hanging="2"/>
        <w:spacing w:after="0" w:line="293" w:lineRule="auto"/>
        <w:tabs>
          <w:tab w:leader="none" w:pos="317"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USD Swingline Loans</w:t>
      </w:r>
      <w:r>
        <w:rPr>
          <w:rFonts w:ascii="Arial" w:cs="Arial" w:eastAsia="Arial" w:hAnsi="Arial"/>
          <w:sz w:val="16"/>
          <w:szCs w:val="16"/>
          <w:color w:val="auto"/>
        </w:rPr>
        <w:t>. Unless (i) any USD Lender is a Defaulting Lender and (ii) the applicable USD Swingline Lender has not entered into arrangements satisfactory to it with the applicable Borrowers or such Defaulting Lender to eliminate such USD Swingline Lender’s exposure with respect thereto, the USD Swingline Lenders severally agree, subject to the terms of any Autoborrow Agreement, to make revolving credit loans (the “</w:t>
      </w:r>
      <w:r>
        <w:rPr>
          <w:rFonts w:ascii="Arial" w:cs="Arial" w:eastAsia="Arial" w:hAnsi="Arial"/>
          <w:sz w:val="16"/>
          <w:szCs w:val="16"/>
          <w:u w:val="single" w:color="auto"/>
          <w:color w:val="auto"/>
        </w:rPr>
        <w:t>USD Swingline Loans</w:t>
      </w:r>
      <w:r>
        <w:rPr>
          <w:rFonts w:ascii="Arial" w:cs="Arial" w:eastAsia="Arial" w:hAnsi="Arial"/>
          <w:sz w:val="16"/>
          <w:szCs w:val="16"/>
          <w:color w:val="auto"/>
        </w:rPr>
        <w:t>”) to the applicable Borrowers in Dollars on any Business Day in an aggregate principal amount of up to FIFTY MILLION DOLLARS ($50,000,000) (as such amount may be decreased in accordance with the provisions hereof, the “</w:t>
      </w:r>
      <w:r>
        <w:rPr>
          <w:rFonts w:ascii="Arial" w:cs="Arial" w:eastAsia="Arial" w:hAnsi="Arial"/>
          <w:sz w:val="16"/>
          <w:szCs w:val="16"/>
          <w:u w:val="single" w:color="auto"/>
          <w:color w:val="auto"/>
        </w:rPr>
        <w:t>USD Swingline Sublimit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Outstanding Amount of USD Swingline Loans shall not exceed the USD Swingline Sublimit;</w:t>
      </w:r>
    </w:p>
    <w:p>
      <w:pPr>
        <w:spacing w:after="0" w:line="164" w:lineRule="exact"/>
        <w:rPr>
          <w:sz w:val="20"/>
          <w:szCs w:val="20"/>
          <w:color w:val="auto"/>
        </w:rPr>
      </w:pPr>
    </w:p>
    <w:p>
      <w:pPr>
        <w:ind w:left="242" w:hanging="242"/>
        <w:spacing w:after="0"/>
        <w:tabs>
          <w:tab w:leader="none" w:pos="2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2.01(a)(vi) is amended by adding to the end of the first sentence thereof the following proviso:</w:t>
      </w:r>
    </w:p>
    <w:p>
      <w:pPr>
        <w:spacing w:after="0" w:line="225" w:lineRule="exact"/>
        <w:rPr>
          <w:rFonts w:ascii="Arial" w:cs="Arial" w:eastAsia="Arial" w:hAnsi="Arial"/>
          <w:sz w:val="18"/>
          <w:szCs w:val="18"/>
          <w:color w:val="auto"/>
        </w:rPr>
      </w:pPr>
    </w:p>
    <w:p>
      <w:pPr>
        <w:ind w:left="402" w:firstLine="3"/>
        <w:spacing w:after="0" w:line="279" w:lineRule="auto"/>
        <w:tabs>
          <w:tab w:leader="none" w:pos="497" w:val="left"/>
        </w:tabs>
        <w:numPr>
          <w:ilvl w:val="1"/>
          <w:numId w:val="13"/>
        </w:numPr>
        <w:rPr>
          <w:rFonts w:ascii="Arial" w:cs="Arial" w:eastAsia="Arial" w:hAnsi="Arial"/>
          <w:sz w:val="17"/>
          <w:szCs w:val="17"/>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 Autoborrow Agreement is in effect, the applicable USD Swingline Lender may, at its discretion, provide for an alternate rate of interest on USD Swingline Loans under the Autoborrow Agreement with respect to any USD Swingline Loans for which the applicable USD Swingline Lender has not requested that the Revolving Lenders fund Revolving Loans to refinance, or to purchase and fund risk participations in, such USD Swingline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2"/>
          </w:cols>
          <w:pgMar w:left="1138" w:top="341" w:right="359" w:bottom="1440" w:gutter="0" w:footer="0" w:header="0"/>
        </w:sectPr>
      </w:pPr>
    </w:p>
    <w:bookmarkStart w:id="50" w:name="page51"/>
    <w:bookmarkEnd w:id="50"/>
    <w:p>
      <w:pPr>
        <w:ind w:left="2" w:right="80" w:hanging="2"/>
        <w:spacing w:after="0" w:line="263" w:lineRule="auto"/>
        <w:tabs>
          <w:tab w:leader="none" w:pos="2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2.04(a)(i) is amended by (i) adding to the beginning of the first sentence thereof the phrase “(x) Other than a USD Swingline Borrowing made pursuant to the Autoborrow Agreement,” and (ii) by adding immediately after such subsection a new subsection (y) to read as follows:</w:t>
      </w:r>
    </w:p>
    <w:p>
      <w:pPr>
        <w:spacing w:after="0" w:line="183" w:lineRule="exact"/>
        <w:rPr>
          <w:rFonts w:ascii="Arial" w:cs="Arial" w:eastAsia="Arial" w:hAnsi="Arial"/>
          <w:sz w:val="18"/>
          <w:szCs w:val="18"/>
          <w:color w:val="auto"/>
        </w:rPr>
      </w:pPr>
    </w:p>
    <w:p>
      <w:pPr>
        <w:ind w:left="402" w:firstLine="3"/>
        <w:spacing w:after="0" w:line="268" w:lineRule="auto"/>
        <w:tabs>
          <w:tab w:leader="none" w:pos="657" w:val="left"/>
        </w:tabs>
        <w:numPr>
          <w:ilvl w:val="1"/>
          <w:numId w:val="14"/>
        </w:numPr>
        <w:rPr>
          <w:rFonts w:ascii="Arial" w:cs="Arial" w:eastAsia="Arial" w:hAnsi="Arial"/>
          <w:sz w:val="17"/>
          <w:szCs w:val="17"/>
          <w:color w:val="auto"/>
        </w:rPr>
      </w:pPr>
      <w:r>
        <w:rPr>
          <w:rFonts w:ascii="Arial" w:cs="Arial" w:eastAsia="Arial" w:hAnsi="Arial"/>
          <w:sz w:val="17"/>
          <w:szCs w:val="17"/>
          <w:color w:val="auto"/>
        </w:rPr>
        <w:t>In order to facilitate the borrowing of USD Swingline Loans, the Borrowers and the USD Swingline Lenders may mutually agree to, and are hereby authorized to, enter into an Autoborrow Agreement in form and substance satisfactory to the Administrative Agent and the USD Swingline Lenders (the “</w:t>
      </w:r>
      <w:r>
        <w:rPr>
          <w:rFonts w:ascii="Arial" w:cs="Arial" w:eastAsia="Arial" w:hAnsi="Arial"/>
          <w:sz w:val="17"/>
          <w:szCs w:val="17"/>
          <w:u w:val="single" w:color="auto"/>
          <w:color w:val="auto"/>
        </w:rPr>
        <w:t>Autoborrow Agreement</w:t>
      </w:r>
      <w:r>
        <w:rPr>
          <w:rFonts w:ascii="Arial" w:cs="Arial" w:eastAsia="Arial" w:hAnsi="Arial"/>
          <w:sz w:val="17"/>
          <w:szCs w:val="17"/>
          <w:color w:val="auto"/>
        </w:rPr>
        <w:t>”) providing for the automatic advance by any USD Swingline Lender of USD Swingline Loans under the conditions set forth in such agreement, which shall be in addition to the conditions set forth herein. At any time an Autoborrow Agreement is in effect, the requirements for USD Swingline Borrowings set forth in the immediately preceding paragraph shall not apply, and all USD Swingline Borrowings shall be made in accordance with the Autoborrow Agreement; provided that any automatic advance made by Bank of America in reliance of the Autoborrow Agreement shall be deemed a USD Swingline Loan as of the time such automatic advance is made notwithstanding any provision in the Autoborrow Agreement to the contrary. For purposes of determining the Total Revolving Outstandings at any time during which an Autoborrow Agreement is in effect (other than for purposes of calculating Commitment Fees), the Outstanding Amount of all USD Swingline Loans shall be deemed to be the amount of the USD Swingline Sublimit. For purposes of any USD Swingline Borrowing pursuant to the Autoborrow Agreement, all references to Bank of America in the Autoborrow Agreement shall be deemed to be a reference to Bank of America, in its capacity as a USD Swingline Lender hereunder.</w:t>
      </w:r>
    </w:p>
    <w:p>
      <w:pPr>
        <w:spacing w:after="0" w:line="186" w:lineRule="exact"/>
        <w:rPr>
          <w:rFonts w:ascii="Arial" w:cs="Arial" w:eastAsia="Arial" w:hAnsi="Arial"/>
          <w:sz w:val="17"/>
          <w:szCs w:val="17"/>
          <w:color w:val="auto"/>
        </w:rPr>
      </w:pPr>
    </w:p>
    <w:p>
      <w:pPr>
        <w:ind w:left="262" w:hanging="262"/>
        <w:spacing w:after="0"/>
        <w:tabs>
          <w:tab w:leader="none" w:pos="26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2.05(b) is amended in full to read as follows:</w:t>
      </w:r>
    </w:p>
    <w:p>
      <w:pPr>
        <w:spacing w:after="0" w:line="225" w:lineRule="exact"/>
        <w:rPr>
          <w:rFonts w:ascii="Arial" w:cs="Arial" w:eastAsia="Arial" w:hAnsi="Arial"/>
          <w:sz w:val="18"/>
          <w:szCs w:val="18"/>
          <w:color w:val="auto"/>
        </w:rPr>
      </w:pPr>
    </w:p>
    <w:p>
      <w:pPr>
        <w:jc w:val="both"/>
        <w:ind w:left="402" w:right="140" w:firstLine="3"/>
        <w:spacing w:after="0" w:line="259" w:lineRule="auto"/>
        <w:tabs>
          <w:tab w:leader="none" w:pos="657"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USD Swingline Loans</w:t>
      </w:r>
      <w:r>
        <w:rPr>
          <w:rFonts w:ascii="Arial" w:cs="Arial" w:eastAsia="Arial" w:hAnsi="Arial"/>
          <w:sz w:val="18"/>
          <w:szCs w:val="18"/>
          <w:color w:val="auto"/>
        </w:rPr>
        <w:t>. At any time the Autoborrow Agreement is in effect, the USD Swingline Loans shall be repaid in accordance with the terms of the Autoborrow Agreement. At any time the Autoborrow Agreement is not in effect the Outstanding Amount of USD Swingline Loans shall be repaid in full on the earlier to occur of (i) the date of demand by the applicable USD Swingline Lender, and (ii) the Termination Date.</w:t>
      </w:r>
    </w:p>
    <w:p>
      <w:pPr>
        <w:spacing w:after="0" w:line="186" w:lineRule="exact"/>
        <w:rPr>
          <w:rFonts w:ascii="Arial" w:cs="Arial" w:eastAsia="Arial" w:hAnsi="Arial"/>
          <w:sz w:val="18"/>
          <w:szCs w:val="18"/>
          <w:color w:val="auto"/>
        </w:rPr>
      </w:pPr>
    </w:p>
    <w:p>
      <w:pPr>
        <w:ind w:left="2" w:right="20" w:hanging="2"/>
        <w:spacing w:after="0" w:line="277" w:lineRule="auto"/>
        <w:tabs>
          <w:tab w:leader="none" w:pos="2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2.06(a)(ii) is amended by adding to the beginning of the first sentence thereof the phrase “At any time the Autoborrow Agreement is not in effect,”</w:t>
      </w:r>
    </w:p>
    <w:p>
      <w:pPr>
        <w:spacing w:after="0" w:line="170" w:lineRule="exact"/>
        <w:rPr>
          <w:rFonts w:ascii="Arial" w:cs="Arial" w:eastAsia="Arial" w:hAnsi="Arial"/>
          <w:sz w:val="18"/>
          <w:szCs w:val="18"/>
          <w:color w:val="auto"/>
        </w:rPr>
      </w:pPr>
    </w:p>
    <w:p>
      <w:pPr>
        <w:jc w:val="both"/>
        <w:ind w:left="2" w:right="620" w:hanging="2"/>
        <w:spacing w:after="0" w:line="263" w:lineRule="auto"/>
        <w:tabs>
          <w:tab w:leader="none" w:pos="21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2.08(a)(iii) is amended by deleting the parenthetical phrase “(including USD Swingline Loans)” and substituting therefor the parenthetical phrase “(including USD Swingline Loans or, if an Autoborrow Agreement is in effect, at a rate per annum provided by the applicable USD Swingline Lender)”.</w:t>
      </w:r>
    </w:p>
    <w:p>
      <w:pPr>
        <w:spacing w:after="0" w:line="183" w:lineRule="exact"/>
        <w:rPr>
          <w:rFonts w:ascii="Arial" w:cs="Arial" w:eastAsia="Arial" w:hAnsi="Arial"/>
          <w:sz w:val="18"/>
          <w:szCs w:val="18"/>
          <w:color w:val="auto"/>
        </w:rPr>
      </w:pPr>
    </w:p>
    <w:p>
      <w:pPr>
        <w:ind w:left="222" w:hanging="222"/>
        <w:spacing w:after="0"/>
        <w:tabs>
          <w:tab w:leader="none" w:pos="22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Section 5.02(c) is amended in full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2"/>
          </w:cols>
          <w:pgMar w:left="1138" w:top="341" w:right="359" w:bottom="1440" w:gutter="0" w:footer="0" w:header="0"/>
        </w:sectPr>
      </w:pPr>
    </w:p>
    <w:bookmarkStart w:id="51" w:name="page52"/>
    <w:bookmarkEnd w:id="51"/>
    <w:p>
      <w:pPr>
        <w:ind w:left="402" w:right="680" w:firstLine="3"/>
        <w:spacing w:after="0" w:line="342" w:lineRule="auto"/>
        <w:tabs>
          <w:tab w:leader="none" w:pos="647"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Administrative Agent, L/C Issuer and/or Swingline Lenders if, in the case of the USD Swingline Lenders, no Autoborrow Agreement is then in effect, shall have received a Request for Credit Extension in accordance with the requirements hereof.</w:t>
      </w:r>
    </w:p>
    <w:p>
      <w:pPr>
        <w:spacing w:after="0" w:line="123" w:lineRule="exact"/>
        <w:rPr>
          <w:rFonts w:ascii="Arial" w:cs="Arial" w:eastAsia="Arial" w:hAnsi="Arial"/>
          <w:sz w:val="16"/>
          <w:szCs w:val="16"/>
          <w:color w:val="auto"/>
        </w:rPr>
      </w:pPr>
    </w:p>
    <w:p>
      <w:pPr>
        <w:ind w:left="262" w:hanging="262"/>
        <w:spacing w:after="0"/>
        <w:tabs>
          <w:tab w:leader="none" w:pos="2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paragraph of Section 5.02 is amended in full to read as follows:</w:t>
      </w:r>
    </w:p>
    <w:p>
      <w:pPr>
        <w:spacing w:after="0" w:line="225" w:lineRule="exact"/>
        <w:rPr>
          <w:sz w:val="20"/>
          <w:szCs w:val="20"/>
          <w:color w:val="auto"/>
        </w:rPr>
      </w:pPr>
    </w:p>
    <w:p>
      <w:pPr>
        <w:ind w:left="2" w:right="20"/>
        <w:spacing w:after="0" w:line="259"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other Types of Loans, or a continuation of Fixed LIBOR Rate Loans) submitted by the Borrowers and each USD Swingline Borrowing pursuant to an Autoborrow Agreement shall be deemed to be a representation and warranty by the Borrowers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87" w:lineRule="exact"/>
        <w:rPr>
          <w:sz w:val="20"/>
          <w:szCs w:val="20"/>
          <w:color w:val="auto"/>
        </w:rPr>
      </w:pPr>
    </w:p>
    <w:p>
      <w:pPr>
        <w:ind w:left="222" w:hanging="222"/>
        <w:spacing w:after="0"/>
        <w:tabs>
          <w:tab w:leader="none" w:pos="2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Section 11.01(d) is amended in full to read as follows:</w:t>
      </w:r>
    </w:p>
    <w:p>
      <w:pPr>
        <w:spacing w:after="0" w:line="225" w:lineRule="exact"/>
        <w:rPr>
          <w:rFonts w:ascii="Arial" w:cs="Arial" w:eastAsia="Arial" w:hAnsi="Arial"/>
          <w:sz w:val="18"/>
          <w:szCs w:val="18"/>
          <w:color w:val="auto"/>
        </w:rPr>
      </w:pPr>
    </w:p>
    <w:p>
      <w:pPr>
        <w:ind w:left="402" w:right="180" w:firstLine="3"/>
        <w:spacing w:after="0" w:line="311" w:lineRule="auto"/>
        <w:tabs>
          <w:tab w:leader="none" w:pos="657" w:val="left"/>
        </w:tabs>
        <w:numPr>
          <w:ilvl w:val="1"/>
          <w:numId w:val="19"/>
        </w:numPr>
        <w:rPr>
          <w:rFonts w:ascii="Arial" w:cs="Arial" w:eastAsia="Arial" w:hAnsi="Arial"/>
          <w:sz w:val="16"/>
          <w:szCs w:val="16"/>
          <w:color w:val="auto"/>
        </w:rPr>
      </w:pPr>
      <w:r>
        <w:rPr>
          <w:rFonts w:ascii="Arial" w:cs="Arial" w:eastAsia="Arial" w:hAnsi="Arial"/>
          <w:sz w:val="16"/>
          <w:szCs w:val="16"/>
          <w:color w:val="auto"/>
        </w:rPr>
        <w:t>(i) unless also consented to in writing by the affected Swingline Lender, no such amendment, waiver or consent shall affect the rights or duties of such Swingline Lender under this Credit Agreement and (ii) the Autoborrow Agreement and any fee letters executed in connection therewith may be amended, or rights or privileges thereunder waived, in a writing executed only by the parties thereto;</w:t>
      </w:r>
    </w:p>
    <w:p>
      <w:pPr>
        <w:spacing w:after="0" w:line="148" w:lineRule="exact"/>
        <w:rPr>
          <w:rFonts w:ascii="Arial" w:cs="Arial" w:eastAsia="Arial" w:hAnsi="Arial"/>
          <w:sz w:val="16"/>
          <w:szCs w:val="16"/>
          <w:color w:val="auto"/>
        </w:rPr>
      </w:pPr>
    </w:p>
    <w:p>
      <w:pPr>
        <w:ind w:left="302" w:hanging="302"/>
        <w:spacing w:after="0"/>
        <w:tabs>
          <w:tab w:leader="none" w:pos="30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new Section 11.21 is added to read as follows: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8"/>
          <w:szCs w:val="18"/>
          <w:u w:val="single" w:color="auto"/>
          <w:color w:val="auto"/>
        </w:rPr>
        <w:t>11.21 Acknowledgement Regarding Any Supported QFCs.</w:t>
      </w:r>
    </w:p>
    <w:p>
      <w:pPr>
        <w:spacing w:after="0" w:line="225" w:lineRule="exact"/>
        <w:rPr>
          <w:sz w:val="20"/>
          <w:szCs w:val="20"/>
          <w:color w:val="auto"/>
        </w:rPr>
      </w:pPr>
    </w:p>
    <w:p>
      <w:pPr>
        <w:ind w:left="2"/>
        <w:spacing w:after="0"/>
        <w:rPr>
          <w:sz w:val="20"/>
          <w:szCs w:val="20"/>
          <w:color w:val="auto"/>
        </w:rPr>
      </w:pPr>
      <w:r>
        <w:rPr>
          <w:rFonts w:ascii="Arial" w:cs="Arial" w:eastAsia="Arial" w:hAnsi="Arial"/>
          <w:sz w:val="16"/>
          <w:szCs w:val="16"/>
          <w:color w:val="auto"/>
        </w:rPr>
        <w:t>To the extent that the Credit Documents provide support, through a guarantee or otherwise, for any Swap Contract or any other agreement</w:t>
      </w:r>
    </w:p>
    <w:p>
      <w:pPr>
        <w:spacing w:after="0" w:line="46" w:lineRule="exact"/>
        <w:rPr>
          <w:sz w:val="20"/>
          <w:szCs w:val="20"/>
          <w:color w:val="auto"/>
        </w:rPr>
      </w:pPr>
    </w:p>
    <w:p>
      <w:pPr>
        <w:ind w:left="2" w:right="100"/>
        <w:spacing w:after="0" w:line="281" w:lineRule="auto"/>
        <w:rPr>
          <w:sz w:val="20"/>
          <w:szCs w:val="20"/>
          <w:color w:val="auto"/>
        </w:rPr>
      </w:pPr>
      <w:r>
        <w:rPr>
          <w:rFonts w:ascii="Arial" w:cs="Arial" w:eastAsia="Arial" w:hAnsi="Arial"/>
          <w:sz w:val="16"/>
          <w:szCs w:val="16"/>
          <w:color w:val="auto"/>
        </w:rPr>
        <w:t>or instrument that is a QFC (such support, “</w:t>
      </w:r>
      <w:r>
        <w:rPr>
          <w:rFonts w:ascii="Arial" w:cs="Arial" w:eastAsia="Arial" w:hAnsi="Arial"/>
          <w:sz w:val="16"/>
          <w:szCs w:val="16"/>
          <w:u w:val="single" w:color="auto"/>
          <w:color w:val="auto"/>
        </w:rPr>
        <w:t>QFC Credit Support</w:t>
      </w:r>
      <w:r>
        <w:rPr>
          <w:rFonts w:ascii="Arial" w:cs="Arial" w:eastAsia="Arial" w:hAnsi="Arial"/>
          <w:sz w:val="16"/>
          <w:szCs w:val="16"/>
          <w:color w:val="auto"/>
        </w:rPr>
        <w:t>”, and each such QFC, a “</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 the Federal Deposit Insurance Act and Title</w:t>
      </w:r>
    </w:p>
    <w:p>
      <w:pPr>
        <w:spacing w:after="0" w:line="1" w:lineRule="exact"/>
        <w:rPr>
          <w:sz w:val="20"/>
          <w:szCs w:val="20"/>
          <w:color w:val="auto"/>
        </w:rPr>
      </w:pPr>
    </w:p>
    <w:p>
      <w:pPr>
        <w:ind w:left="2" w:hanging="2"/>
        <w:spacing w:after="0" w:line="268" w:lineRule="auto"/>
        <w:tabs>
          <w:tab w:leader="none" w:pos="1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of the Dodd-Frank Wall Street Reform and Consumer Protection Act (together with the regulations promulgated thereunder, the “</w:t>
      </w:r>
      <w:r>
        <w:rPr>
          <w:rFonts w:ascii="Arial" w:cs="Arial" w:eastAsia="Arial" w:hAnsi="Arial"/>
          <w:sz w:val="17"/>
          <w:szCs w:val="17"/>
          <w:u w:val="single" w:color="auto"/>
          <w:color w:val="auto"/>
        </w:rPr>
        <w:t>U.S. Special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Resolution Regimes</w:t>
      </w:r>
      <w:r>
        <w:rPr>
          <w:rFonts w:ascii="Arial" w:cs="Arial" w:eastAsia="Arial" w:hAnsi="Arial"/>
          <w:sz w:val="17"/>
          <w:szCs w:val="17"/>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181610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2"/>
          </w:cols>
          <w:pgMar w:left="1138" w:top="341" w:right="339" w:bottom="1440" w:gutter="0" w:footer="0" w:header="0"/>
        </w:sectPr>
      </w:pPr>
    </w:p>
    <w:bookmarkStart w:id="52" w:name="page53"/>
    <w:bookmarkEnd w:id="52"/>
    <w:p>
      <w:pPr>
        <w:ind w:right="20"/>
        <w:spacing w:after="0" w:line="271" w:lineRule="auto"/>
        <w:rPr>
          <w:sz w:val="20"/>
          <w:szCs w:val="20"/>
          <w:color w:val="auto"/>
        </w:rPr>
      </w:pPr>
      <w:r>
        <w:rPr>
          <w:rFonts w:ascii="Arial" w:cs="Arial" w:eastAsia="Arial" w:hAnsi="Arial"/>
          <w:sz w:val="17"/>
          <w:szCs w:val="17"/>
          <w:color w:val="auto"/>
        </w:rPr>
        <w:t>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Letter Amendment shall become effective as of the date first above written when, and only when the Administrative Agent shall have received counterparts of this Letter Amendment executed by the undersigned and all of the Lenders. This Letter Amendment is subject to the provisions of Section 11.01 of the Credit Agreement.</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and after the effectiveness of this Letter Amendment, each reference in the Credit Agreement to “this Agreement”, “hereunder”, “hereof” or words of like import referring to the Credit Agreement, and each reference in the Notes to “the Credit Agreement”, “thereunder”, “thereof” or words of like import referring to the Credit Agreement, shall mean and be a reference to the Credit Agreement, as amended by this Letter Amendment.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Credit Agreement and the Notes, as specifically amended by this Letter Amendment, are and shall continue to be in full force and effect and are hereby in all respects ratified and confirmed. The execution, delivery and effectiveness of this Letter Amendment shall not, except as expressly provided herein, operate as a waiver of any right, power or remedy of any Lender or the Administrative Agent under the Credit Agreement, nor constitute a waiver of any provision of the Credit Agreement.</w:t>
      </w:r>
    </w:p>
    <w:p>
      <w:pPr>
        <w:spacing w:after="0" w:line="18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If you agree to the terms and provisions hereof, please evidence such agreement by executing and returning at a counterpart of this Letter Amendment to Susan L. Hobart, Shearman &amp; Sterling LLP, 599 Lexington Avenue, New York, New York 10022.</w:t>
      </w:r>
    </w:p>
    <w:p>
      <w:pPr>
        <w:spacing w:after="0" w:line="14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Letter Amendment may be executed in any number of counterparts (and by different parties hereto in separate counterparts), each of which when so executed shall constitute an original, but all of which taken together shall constitute a single agreement. Delivery of an executed counterpart of a signature page to this Letter Amendment by telecopy or electronic imaging means shall be effective as delivery of a manually executed counterpart of this Letter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174625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1140" w:top="341" w:right="35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This Letter Amendment shall be governed by, and construed in accordance with, the law of the State</w:t>
      </w:r>
    </w:p>
    <w:p>
      <w:pPr>
        <w:spacing w:after="0" w:line="8" w:lineRule="exact"/>
        <w:rPr>
          <w:sz w:val="20"/>
          <w:szCs w:val="20"/>
          <w:color w:val="auto"/>
        </w:rPr>
      </w:pPr>
    </w:p>
    <w:p>
      <w:pPr>
        <w:ind w:left="400"/>
        <w:spacing w:after="0"/>
        <w:rPr>
          <w:sz w:val="20"/>
          <w:szCs w:val="20"/>
          <w:color w:val="auto"/>
        </w:rPr>
      </w:pPr>
      <w:r>
        <w:rPr>
          <w:rFonts w:ascii="Arial" w:cs="Arial" w:eastAsia="Arial" w:hAnsi="Arial"/>
          <w:sz w:val="22"/>
          <w:szCs w:val="22"/>
          <w:color w:val="auto"/>
        </w:rPr>
        <w:t>of New York.</w:t>
      </w:r>
    </w:p>
    <w:p>
      <w:pPr>
        <w:spacing w:after="0" w:line="18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Very truly yours,</w:t>
      </w:r>
    </w:p>
    <w:p>
      <w:pPr>
        <w:spacing w:after="0" w:line="314" w:lineRule="exact"/>
        <w:rPr>
          <w:sz w:val="20"/>
          <w:szCs w:val="20"/>
          <w:color w:val="auto"/>
        </w:rPr>
      </w:pPr>
    </w:p>
    <w:p>
      <w:pPr>
        <w:ind w:left="4300"/>
        <w:spacing w:after="0"/>
        <w:rPr>
          <w:sz w:val="20"/>
          <w:szCs w:val="20"/>
          <w:color w:val="auto"/>
        </w:rPr>
      </w:pPr>
      <w:r>
        <w:rPr>
          <w:rFonts w:ascii="Arial" w:cs="Arial" w:eastAsia="Arial" w:hAnsi="Arial"/>
          <w:sz w:val="21"/>
          <w:szCs w:val="21"/>
          <w:color w:val="auto"/>
        </w:rPr>
        <w:t>EURONET WORLDWIDE, INC., as a Borrower and a Guarantor</w:t>
      </w:r>
    </w:p>
    <w:p>
      <w:pPr>
        <w:spacing w:after="0" w:line="218" w:lineRule="exact"/>
        <w:rPr>
          <w:sz w:val="20"/>
          <w:szCs w:val="20"/>
          <w:color w:val="auto"/>
        </w:rPr>
      </w:pPr>
    </w:p>
    <w:p>
      <w:pPr>
        <w:ind w:left="43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Rick Weller</w:t>
      </w:r>
    </w:p>
    <w:p>
      <w:pPr>
        <w:ind w:left="4620"/>
        <w:spacing w:after="0" w:line="238" w:lineRule="auto"/>
        <w:rPr>
          <w:sz w:val="20"/>
          <w:szCs w:val="20"/>
          <w:color w:val="auto"/>
        </w:rPr>
      </w:pPr>
      <w:r>
        <w:rPr>
          <w:rFonts w:ascii="Arial" w:cs="Arial" w:eastAsia="Arial" w:hAnsi="Arial"/>
          <w:sz w:val="22"/>
          <w:szCs w:val="22"/>
          <w:color w:val="auto"/>
        </w:rPr>
        <w:t>Name:</w:t>
      </w:r>
    </w:p>
    <w:p>
      <w:pPr>
        <w:ind w:left="4620"/>
        <w:spacing w:after="0"/>
        <w:rPr>
          <w:sz w:val="20"/>
          <w:szCs w:val="20"/>
          <w:color w:val="auto"/>
        </w:rPr>
      </w:pPr>
      <w:r>
        <w:rPr>
          <w:rFonts w:ascii="Arial" w:cs="Arial" w:eastAsia="Arial" w:hAnsi="Arial"/>
          <w:sz w:val="22"/>
          <w:szCs w:val="22"/>
          <w:color w:val="auto"/>
        </w:rPr>
        <w:t>Title:</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date first above written: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N.A.,</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as Administrative Agent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Liliana Claar</w:t>
      </w:r>
    </w:p>
    <w:p>
      <w:pPr>
        <w:ind w:left="320"/>
        <w:spacing w:after="0" w:line="238" w:lineRule="auto"/>
        <w:rPr>
          <w:sz w:val="20"/>
          <w:szCs w:val="20"/>
          <w:color w:val="auto"/>
        </w:rPr>
      </w:pPr>
      <w:r>
        <w:rPr>
          <w:rFonts w:ascii="Arial" w:cs="Arial" w:eastAsia="Arial" w:hAnsi="Arial"/>
          <w:sz w:val="22"/>
          <w:szCs w:val="22"/>
          <w:color w:val="auto"/>
        </w:rPr>
        <w:t>Name: Liliana Claar</w:t>
      </w:r>
    </w:p>
    <w:p>
      <w:pPr>
        <w:ind w:left="320"/>
        <w:spacing w:after="0"/>
        <w:rPr>
          <w:sz w:val="20"/>
          <w:szCs w:val="20"/>
          <w:color w:val="auto"/>
        </w:rPr>
      </w:pPr>
      <w:r>
        <w:rPr>
          <w:rFonts w:ascii="Arial" w:cs="Arial" w:eastAsia="Arial" w:hAnsi="Arial"/>
          <w:sz w:val="22"/>
          <w:szCs w:val="22"/>
          <w:color w:val="auto"/>
        </w:rPr>
        <w:t>Title: Vice President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BANK OF AMERICA, N.A.,</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as Lender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Alok Jain</w:t>
      </w:r>
    </w:p>
    <w:p>
      <w:pPr>
        <w:ind w:left="320"/>
        <w:spacing w:after="0" w:line="238" w:lineRule="auto"/>
        <w:rPr>
          <w:sz w:val="20"/>
          <w:szCs w:val="20"/>
          <w:color w:val="auto"/>
        </w:rPr>
      </w:pPr>
      <w:r>
        <w:rPr>
          <w:rFonts w:ascii="Arial" w:cs="Arial" w:eastAsia="Arial" w:hAnsi="Arial"/>
          <w:sz w:val="22"/>
          <w:szCs w:val="22"/>
          <w:color w:val="auto"/>
        </w:rPr>
        <w:t>Name: Alok Jain</w:t>
      </w:r>
    </w:p>
    <w:p>
      <w:pPr>
        <w:ind w:left="320"/>
        <w:spacing w:after="0"/>
        <w:rPr>
          <w:sz w:val="20"/>
          <w:szCs w:val="20"/>
          <w:color w:val="auto"/>
        </w:rPr>
      </w:pPr>
      <w:r>
        <w:rPr>
          <w:rFonts w:ascii="Arial" w:cs="Arial" w:eastAsia="Arial" w:hAnsi="Arial"/>
          <w:sz w:val="22"/>
          <w:szCs w:val="22"/>
          <w:color w:val="auto"/>
        </w:rPr>
        <w:t>Title: Senior Vice President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WELLS FARGO BANK, NATIONAL ASSOCIATION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Brian Buck</w:t>
      </w:r>
    </w:p>
    <w:p>
      <w:pPr>
        <w:ind w:left="320"/>
        <w:spacing w:after="0" w:line="238" w:lineRule="auto"/>
        <w:rPr>
          <w:sz w:val="20"/>
          <w:szCs w:val="20"/>
          <w:color w:val="auto"/>
        </w:rPr>
      </w:pPr>
      <w:r>
        <w:rPr>
          <w:rFonts w:ascii="Arial" w:cs="Arial" w:eastAsia="Arial" w:hAnsi="Arial"/>
          <w:sz w:val="22"/>
          <w:szCs w:val="22"/>
          <w:color w:val="auto"/>
        </w:rPr>
        <w:t>Name: Brian Buck</w:t>
      </w:r>
    </w:p>
    <w:p>
      <w:pPr>
        <w:ind w:left="320"/>
        <w:spacing w:after="0"/>
        <w:rPr>
          <w:sz w:val="20"/>
          <w:szCs w:val="20"/>
          <w:color w:val="auto"/>
        </w:rPr>
      </w:pPr>
      <w:r>
        <w:rPr>
          <w:rFonts w:ascii="Arial" w:cs="Arial" w:eastAsia="Arial" w:hAnsi="Arial"/>
          <w:sz w:val="22"/>
          <w:szCs w:val="22"/>
          <w:color w:val="auto"/>
        </w:rPr>
        <w:t>Title: Managing Director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Landro</w:t>
      </w:r>
    </w:p>
    <w:p>
      <w:pPr>
        <w:ind w:left="320"/>
        <w:spacing w:after="0" w:line="238" w:lineRule="auto"/>
        <w:rPr>
          <w:sz w:val="20"/>
          <w:szCs w:val="20"/>
          <w:color w:val="auto"/>
        </w:rPr>
      </w:pPr>
      <w:r>
        <w:rPr>
          <w:rFonts w:ascii="Arial" w:cs="Arial" w:eastAsia="Arial" w:hAnsi="Arial"/>
          <w:sz w:val="22"/>
          <w:szCs w:val="22"/>
          <w:color w:val="auto"/>
        </w:rPr>
        <w:t>Name: Tim Landro</w:t>
      </w:r>
    </w:p>
    <w:p>
      <w:pPr>
        <w:ind w:left="320"/>
        <w:spacing w:after="0"/>
        <w:rPr>
          <w:sz w:val="20"/>
          <w:szCs w:val="20"/>
          <w:color w:val="auto"/>
        </w:rPr>
      </w:pPr>
      <w:r>
        <w:rPr>
          <w:rFonts w:ascii="Arial" w:cs="Arial" w:eastAsia="Arial" w:hAnsi="Arial"/>
          <w:sz w:val="22"/>
          <w:szCs w:val="22"/>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188595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140" w:top="550" w:right="37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BMO HARRIS BANK, 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Berryman</w:t>
      </w:r>
    </w:p>
    <w:p>
      <w:pPr>
        <w:ind w:left="320"/>
        <w:spacing w:after="0" w:line="238" w:lineRule="auto"/>
        <w:rPr>
          <w:sz w:val="20"/>
          <w:szCs w:val="20"/>
          <w:color w:val="auto"/>
        </w:rPr>
      </w:pPr>
      <w:r>
        <w:rPr>
          <w:rFonts w:ascii="Arial" w:cs="Arial" w:eastAsia="Arial" w:hAnsi="Arial"/>
          <w:sz w:val="22"/>
          <w:szCs w:val="22"/>
          <w:color w:val="auto"/>
        </w:rPr>
        <w:t>Name: Andrew Berryman</w:t>
      </w:r>
    </w:p>
    <w:p>
      <w:pPr>
        <w:ind w:left="320"/>
        <w:spacing w:after="0"/>
        <w:rPr>
          <w:sz w:val="20"/>
          <w:szCs w:val="20"/>
          <w:color w:val="auto"/>
        </w:rPr>
      </w:pPr>
      <w:r>
        <w:rPr>
          <w:rFonts w:ascii="Arial" w:cs="Arial" w:eastAsia="Arial" w:hAnsi="Arial"/>
          <w:sz w:val="22"/>
          <w:szCs w:val="22"/>
          <w:color w:val="auto"/>
        </w:rPr>
        <w:t>Title: Vice President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BANK OF MONTREAL,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Berryman</w:t>
      </w:r>
    </w:p>
    <w:p>
      <w:pPr>
        <w:ind w:left="320"/>
        <w:spacing w:after="0" w:line="238" w:lineRule="auto"/>
        <w:rPr>
          <w:sz w:val="20"/>
          <w:szCs w:val="20"/>
          <w:color w:val="auto"/>
        </w:rPr>
      </w:pPr>
      <w:r>
        <w:rPr>
          <w:rFonts w:ascii="Arial" w:cs="Arial" w:eastAsia="Arial" w:hAnsi="Arial"/>
          <w:sz w:val="22"/>
          <w:szCs w:val="22"/>
          <w:color w:val="auto"/>
        </w:rPr>
        <w:t>Name: Andrew Berryman</w:t>
      </w:r>
    </w:p>
    <w:p>
      <w:pPr>
        <w:ind w:left="320"/>
        <w:spacing w:after="0"/>
        <w:rPr>
          <w:sz w:val="20"/>
          <w:szCs w:val="20"/>
          <w:color w:val="auto"/>
        </w:rPr>
      </w:pPr>
      <w:r>
        <w:rPr>
          <w:rFonts w:ascii="Arial" w:cs="Arial" w:eastAsia="Arial" w:hAnsi="Arial"/>
          <w:sz w:val="22"/>
          <w:szCs w:val="22"/>
          <w:color w:val="auto"/>
        </w:rPr>
        <w:t>Title: Vice President</w:t>
      </w:r>
    </w:p>
    <w:p>
      <w:pPr>
        <w:spacing w:after="0" w:line="296" w:lineRule="exact"/>
        <w:rPr>
          <w:sz w:val="20"/>
          <w:szCs w:val="20"/>
          <w:color w:val="auto"/>
        </w:rPr>
      </w:pPr>
    </w:p>
    <w:p>
      <w:pPr>
        <w:spacing w:after="0"/>
        <w:rPr>
          <w:sz w:val="20"/>
          <w:szCs w:val="20"/>
          <w:color w:val="auto"/>
        </w:rPr>
      </w:pPr>
      <w:r>
        <w:rPr>
          <w:rFonts w:ascii="Arial" w:cs="Arial" w:eastAsia="Arial" w:hAnsi="Arial"/>
          <w:sz w:val="19"/>
          <w:szCs w:val="19"/>
          <w:color w:val="auto"/>
        </w:rPr>
        <w:t>BBVA USA, an Alabama banking corporation f/k/a Compass Bank</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Wendling</w:t>
      </w:r>
    </w:p>
    <w:p>
      <w:pPr>
        <w:ind w:left="320"/>
        <w:spacing w:after="0" w:line="238" w:lineRule="auto"/>
        <w:rPr>
          <w:sz w:val="20"/>
          <w:szCs w:val="20"/>
          <w:color w:val="auto"/>
        </w:rPr>
      </w:pPr>
      <w:r>
        <w:rPr>
          <w:rFonts w:ascii="Arial" w:cs="Arial" w:eastAsia="Arial" w:hAnsi="Arial"/>
          <w:sz w:val="22"/>
          <w:szCs w:val="22"/>
          <w:color w:val="auto"/>
        </w:rPr>
        <w:t>Name: Michael Wendling</w:t>
      </w:r>
    </w:p>
    <w:p>
      <w:pPr>
        <w:ind w:left="320"/>
        <w:spacing w:after="0"/>
        <w:rPr>
          <w:sz w:val="20"/>
          <w:szCs w:val="20"/>
          <w:color w:val="auto"/>
        </w:rPr>
      </w:pPr>
      <w:r>
        <w:rPr>
          <w:rFonts w:ascii="Arial" w:cs="Arial" w:eastAsia="Arial" w:hAnsi="Arial"/>
          <w:sz w:val="22"/>
          <w:szCs w:val="22"/>
          <w:color w:val="auto"/>
        </w:rPr>
        <w:t>Title: Senior Vice President</w:t>
      </w:r>
    </w:p>
    <w:p>
      <w:pPr>
        <w:spacing w:after="0" w:line="296" w:lineRule="exact"/>
        <w:rPr>
          <w:sz w:val="20"/>
          <w:szCs w:val="20"/>
          <w:color w:val="auto"/>
        </w:rPr>
      </w:pPr>
    </w:p>
    <w:p>
      <w:pPr>
        <w:spacing w:after="0"/>
        <w:rPr>
          <w:sz w:val="20"/>
          <w:szCs w:val="20"/>
          <w:color w:val="auto"/>
        </w:rPr>
      </w:pPr>
      <w:r>
        <w:rPr>
          <w:rFonts w:ascii="Arial" w:cs="Arial" w:eastAsia="Arial" w:hAnsi="Arial"/>
          <w:sz w:val="21"/>
          <w:szCs w:val="21"/>
          <w:color w:val="auto"/>
        </w:rPr>
        <w:t>CREDIT AGRICOLE CORPORATE AND INVESTMENT BANK</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Gordon Yip</w:t>
      </w:r>
    </w:p>
    <w:p>
      <w:pPr>
        <w:ind w:left="320"/>
        <w:spacing w:after="0" w:line="238" w:lineRule="auto"/>
        <w:rPr>
          <w:sz w:val="20"/>
          <w:szCs w:val="20"/>
          <w:color w:val="auto"/>
        </w:rPr>
      </w:pPr>
      <w:r>
        <w:rPr>
          <w:rFonts w:ascii="Arial" w:cs="Arial" w:eastAsia="Arial" w:hAnsi="Arial"/>
          <w:sz w:val="22"/>
          <w:szCs w:val="22"/>
          <w:color w:val="auto"/>
        </w:rPr>
        <w:t>Name: Gordon Yip</w:t>
      </w:r>
    </w:p>
    <w:p>
      <w:pPr>
        <w:ind w:left="320"/>
        <w:spacing w:after="0"/>
        <w:rPr>
          <w:sz w:val="20"/>
          <w:szCs w:val="20"/>
          <w:color w:val="auto"/>
        </w:rPr>
      </w:pPr>
      <w:r>
        <w:rPr>
          <w:rFonts w:ascii="Arial" w:cs="Arial" w:eastAsia="Arial" w:hAnsi="Arial"/>
          <w:sz w:val="22"/>
          <w:szCs w:val="22"/>
          <w:color w:val="auto"/>
        </w:rPr>
        <w:t>Title: Director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Madnick</w:t>
      </w:r>
    </w:p>
    <w:p>
      <w:pPr>
        <w:ind w:left="320"/>
        <w:spacing w:after="0" w:line="238" w:lineRule="auto"/>
        <w:rPr>
          <w:sz w:val="20"/>
          <w:szCs w:val="20"/>
          <w:color w:val="auto"/>
        </w:rPr>
      </w:pPr>
      <w:r>
        <w:rPr>
          <w:rFonts w:ascii="Arial" w:cs="Arial" w:eastAsia="Arial" w:hAnsi="Arial"/>
          <w:sz w:val="22"/>
          <w:szCs w:val="22"/>
          <w:color w:val="auto"/>
        </w:rPr>
        <w:t>Name: Michael Madnick</w:t>
      </w:r>
    </w:p>
    <w:p>
      <w:pPr>
        <w:ind w:left="320"/>
        <w:spacing w:after="0"/>
        <w:rPr>
          <w:sz w:val="20"/>
          <w:szCs w:val="20"/>
          <w:color w:val="auto"/>
        </w:rPr>
      </w:pPr>
      <w:r>
        <w:rPr>
          <w:rFonts w:ascii="Arial" w:cs="Arial" w:eastAsia="Arial" w:hAnsi="Arial"/>
          <w:sz w:val="22"/>
          <w:szCs w:val="22"/>
          <w:color w:val="auto"/>
        </w:rPr>
        <w:t>Title: Managing Director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FIFTH THIRD BANK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Michael Cortese</w:t>
      </w:r>
    </w:p>
    <w:p>
      <w:pPr>
        <w:ind w:left="320"/>
        <w:spacing w:after="0" w:line="238" w:lineRule="auto"/>
        <w:rPr>
          <w:sz w:val="20"/>
          <w:szCs w:val="20"/>
          <w:color w:val="auto"/>
        </w:rPr>
      </w:pPr>
      <w:r>
        <w:rPr>
          <w:rFonts w:ascii="Arial" w:cs="Arial" w:eastAsia="Arial" w:hAnsi="Arial"/>
          <w:sz w:val="22"/>
          <w:szCs w:val="22"/>
          <w:color w:val="auto"/>
        </w:rPr>
        <w:t>Name: Michael Cortese</w:t>
      </w:r>
    </w:p>
    <w:p>
      <w:pPr>
        <w:ind w:left="320"/>
        <w:spacing w:after="0"/>
        <w:rPr>
          <w:sz w:val="20"/>
          <w:szCs w:val="20"/>
          <w:color w:val="auto"/>
        </w:rPr>
      </w:pPr>
      <w:r>
        <w:rPr>
          <w:rFonts w:ascii="Arial" w:cs="Arial" w:eastAsia="Arial" w:hAnsi="Arial"/>
          <w:sz w:val="22"/>
          <w:szCs w:val="22"/>
          <w:color w:val="auto"/>
        </w:rPr>
        <w:t>Title: Vice President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KEYBANK NATIONAL ASSOCIATION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Geoff Smith</w:t>
      </w:r>
    </w:p>
    <w:p>
      <w:pPr>
        <w:ind w:left="320"/>
        <w:spacing w:after="0" w:line="238" w:lineRule="auto"/>
        <w:rPr>
          <w:sz w:val="20"/>
          <w:szCs w:val="20"/>
          <w:color w:val="auto"/>
        </w:rPr>
      </w:pPr>
      <w:r>
        <w:rPr>
          <w:rFonts w:ascii="Arial" w:cs="Arial" w:eastAsia="Arial" w:hAnsi="Arial"/>
          <w:sz w:val="22"/>
          <w:szCs w:val="22"/>
          <w:color w:val="auto"/>
        </w:rPr>
        <w:t>Name: Geoff Smith</w:t>
      </w:r>
    </w:p>
    <w:p>
      <w:pPr>
        <w:ind w:left="32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188595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19"/>
          </w:cols>
          <w:pgMar w:left="1140" w:top="550" w:right="1440" w:bottom="1440" w:gutter="0" w:footer="0" w:header="0"/>
        </w:sectPr>
      </w:pPr>
    </w:p>
    <w:bookmarkStart w:id="55" w:name="page56"/>
    <w:bookmarkEnd w:id="55"/>
    <w:p>
      <w:pPr>
        <w:spacing w:after="0"/>
        <w:rPr>
          <w:sz w:val="20"/>
          <w:szCs w:val="20"/>
          <w:color w:val="auto"/>
        </w:rPr>
      </w:pPr>
      <w:r>
        <w:rPr>
          <w:rFonts w:ascii="Arial" w:cs="Arial" w:eastAsia="Arial" w:hAnsi="Arial"/>
          <w:sz w:val="19"/>
          <w:szCs w:val="19"/>
          <w:color w:val="auto"/>
        </w:rPr>
        <w:t>LLOYDS BANK CORPORATE MARKETS PLC</w:t>
      </w:r>
    </w:p>
    <w:p>
      <w:pPr>
        <w:spacing w:after="0" w:line="3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Kamala Basdeo</w:t>
      </w:r>
    </w:p>
    <w:p>
      <w:pPr>
        <w:ind w:left="320"/>
        <w:spacing w:after="0" w:line="238" w:lineRule="auto"/>
        <w:rPr>
          <w:sz w:val="20"/>
          <w:szCs w:val="20"/>
          <w:color w:val="auto"/>
        </w:rPr>
      </w:pPr>
      <w:r>
        <w:rPr>
          <w:rFonts w:ascii="Arial" w:cs="Arial" w:eastAsia="Arial" w:hAnsi="Arial"/>
          <w:sz w:val="22"/>
          <w:szCs w:val="22"/>
          <w:color w:val="auto"/>
        </w:rPr>
        <w:t>Name: Kamala Basdeo</w:t>
      </w:r>
    </w:p>
    <w:p>
      <w:pPr>
        <w:ind w:left="320"/>
        <w:spacing w:after="0"/>
        <w:rPr>
          <w:sz w:val="20"/>
          <w:szCs w:val="20"/>
          <w:color w:val="auto"/>
        </w:rPr>
      </w:pPr>
      <w:r>
        <w:rPr>
          <w:rFonts w:ascii="Arial" w:cs="Arial" w:eastAsia="Arial" w:hAnsi="Arial"/>
          <w:sz w:val="22"/>
          <w:szCs w:val="22"/>
          <w:color w:val="auto"/>
        </w:rPr>
        <w:t>Title: Assistant Vice President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Dennis McClellan</w:t>
      </w:r>
    </w:p>
    <w:p>
      <w:pPr>
        <w:spacing w:after="0" w:line="31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Name: Dennis McClellan</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Title: Vice President</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REGIONS BANK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James L. McGovern</w:t>
      </w:r>
    </w:p>
    <w:p>
      <w:pPr>
        <w:ind w:left="320"/>
        <w:spacing w:after="0" w:line="238" w:lineRule="auto"/>
        <w:rPr>
          <w:sz w:val="20"/>
          <w:szCs w:val="20"/>
          <w:color w:val="auto"/>
        </w:rPr>
      </w:pPr>
      <w:r>
        <w:rPr>
          <w:rFonts w:ascii="Arial" w:cs="Arial" w:eastAsia="Arial" w:hAnsi="Arial"/>
          <w:sz w:val="22"/>
          <w:szCs w:val="22"/>
          <w:color w:val="auto"/>
        </w:rPr>
        <w:t>Name: James L. McGovern</w:t>
      </w:r>
    </w:p>
    <w:p>
      <w:pPr>
        <w:ind w:left="320"/>
        <w:spacing w:after="0"/>
        <w:rPr>
          <w:sz w:val="20"/>
          <w:szCs w:val="20"/>
          <w:color w:val="auto"/>
        </w:rPr>
      </w:pPr>
      <w:r>
        <w:rPr>
          <w:rFonts w:ascii="Arial" w:cs="Arial" w:eastAsia="Arial" w:hAnsi="Arial"/>
          <w:sz w:val="22"/>
          <w:szCs w:val="22"/>
          <w:color w:val="auto"/>
        </w:rPr>
        <w:t>Title: Managing Director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BARCLAYS BANK PLC</w:t>
      </w:r>
    </w:p>
    <w:p>
      <w:pPr>
        <w:sectPr>
          <w:pgSz w:w="11900" w:h="16838" w:orient="portrait"/>
          <w:cols w:equalWidth="0" w:num="1">
            <w:col w:w="9319"/>
          </w:cols>
          <w:pgMar w:left="1140" w:top="915" w:right="1440" w:bottom="1440" w:gutter="0" w:footer="0" w:header="0"/>
        </w:sectPr>
      </w:pPr>
    </w:p>
    <w:p>
      <w:pPr>
        <w:spacing w:after="0" w:line="206" w:lineRule="exact"/>
        <w:rPr>
          <w:sz w:val="20"/>
          <w:szCs w:val="20"/>
          <w:color w:val="auto"/>
        </w:rPr>
      </w:pPr>
    </w:p>
    <w:p>
      <w:pPr>
        <w:ind w:left="320" w:right="40" w:hanging="319"/>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Nathalie Majlis</w:t>
      </w:r>
      <w:r>
        <w:rPr>
          <w:rFonts w:ascii="Arial" w:cs="Arial" w:eastAsia="Arial" w:hAnsi="Arial"/>
          <w:sz w:val="22"/>
          <w:szCs w:val="22"/>
          <w:color w:val="auto"/>
        </w:rPr>
        <w:t xml:space="preserve"> Name: Nathalie Majlis Title: Director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Executed in New York</w:t>
      </w:r>
    </w:p>
    <w:p>
      <w:pPr>
        <w:spacing w:after="0" w:line="740" w:lineRule="exact"/>
        <w:rPr>
          <w:sz w:val="20"/>
          <w:szCs w:val="20"/>
          <w:color w:val="auto"/>
        </w:rPr>
      </w:pPr>
    </w:p>
    <w:p>
      <w:pPr>
        <w:sectPr>
          <w:pgSz w:w="11900" w:h="16838" w:orient="portrait"/>
          <w:cols w:equalWidth="0" w:num="2">
            <w:col w:w="2320" w:space="720"/>
            <w:col w:w="6279"/>
          </w:cols>
          <w:pgMar w:left="1140" w:top="915" w:right="1440"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21"/>
          <w:szCs w:val="21"/>
          <w:color w:val="auto"/>
        </w:rPr>
        <w:t>KBC BANK N.V., NEW YORK BRANCH</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Jana Sevcikova</w:t>
      </w:r>
    </w:p>
    <w:p>
      <w:pPr>
        <w:ind w:left="320"/>
        <w:spacing w:after="0" w:line="238" w:lineRule="auto"/>
        <w:rPr>
          <w:sz w:val="20"/>
          <w:szCs w:val="20"/>
          <w:color w:val="auto"/>
        </w:rPr>
      </w:pPr>
      <w:r>
        <w:rPr>
          <w:rFonts w:ascii="Arial" w:cs="Arial" w:eastAsia="Arial" w:hAnsi="Arial"/>
          <w:sz w:val="22"/>
          <w:szCs w:val="22"/>
          <w:color w:val="auto"/>
        </w:rPr>
        <w:t>Name: Jana Sevcikova</w:t>
      </w:r>
    </w:p>
    <w:p>
      <w:pPr>
        <w:ind w:left="320"/>
        <w:spacing w:after="0"/>
        <w:rPr>
          <w:sz w:val="20"/>
          <w:szCs w:val="20"/>
          <w:color w:val="auto"/>
        </w:rPr>
      </w:pPr>
      <w:r>
        <w:rPr>
          <w:rFonts w:ascii="Arial" w:cs="Arial" w:eastAsia="Arial" w:hAnsi="Arial"/>
          <w:sz w:val="22"/>
          <w:szCs w:val="22"/>
          <w:color w:val="auto"/>
        </w:rPr>
        <w:t>Title: Director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Francis X. Payne</w:t>
      </w:r>
    </w:p>
    <w:p>
      <w:pPr>
        <w:ind w:left="320"/>
        <w:spacing w:after="0" w:line="238" w:lineRule="auto"/>
        <w:rPr>
          <w:sz w:val="20"/>
          <w:szCs w:val="20"/>
          <w:color w:val="auto"/>
        </w:rPr>
      </w:pPr>
      <w:r>
        <w:rPr>
          <w:rFonts w:ascii="Arial" w:cs="Arial" w:eastAsia="Arial" w:hAnsi="Arial"/>
          <w:sz w:val="22"/>
          <w:szCs w:val="22"/>
          <w:color w:val="auto"/>
        </w:rPr>
        <w:t>Name: Francis X. Payne</w:t>
      </w:r>
    </w:p>
    <w:p>
      <w:pPr>
        <w:ind w:left="320"/>
        <w:spacing w:after="0"/>
        <w:rPr>
          <w:sz w:val="20"/>
          <w:szCs w:val="20"/>
          <w:color w:val="auto"/>
        </w:rPr>
      </w:pPr>
      <w:r>
        <w:rPr>
          <w:rFonts w:ascii="Arial" w:cs="Arial" w:eastAsia="Arial" w:hAnsi="Arial"/>
          <w:sz w:val="22"/>
          <w:szCs w:val="22"/>
          <w:color w:val="auto"/>
        </w:rPr>
        <w:t>Title: Managing Director</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ROYAL BANK OF CANADA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Theodore Brown</w:t>
      </w:r>
    </w:p>
    <w:p>
      <w:pPr>
        <w:ind w:left="320"/>
        <w:spacing w:after="0" w:line="238" w:lineRule="auto"/>
        <w:rPr>
          <w:sz w:val="20"/>
          <w:szCs w:val="20"/>
          <w:color w:val="auto"/>
        </w:rPr>
      </w:pPr>
      <w:r>
        <w:rPr>
          <w:rFonts w:ascii="Arial" w:cs="Arial" w:eastAsia="Arial" w:hAnsi="Arial"/>
          <w:sz w:val="22"/>
          <w:szCs w:val="22"/>
          <w:color w:val="auto"/>
        </w:rPr>
        <w:t>Name: Theodore Brown</w:t>
      </w:r>
    </w:p>
    <w:p>
      <w:pPr>
        <w:ind w:left="320"/>
        <w:spacing w:after="0"/>
        <w:rPr>
          <w:sz w:val="20"/>
          <w:szCs w:val="20"/>
          <w:color w:val="auto"/>
        </w:rPr>
      </w:pPr>
      <w:r>
        <w:rPr>
          <w:rFonts w:ascii="Arial" w:cs="Arial" w:eastAsia="Arial" w:hAnsi="Arial"/>
          <w:sz w:val="22"/>
          <w:szCs w:val="22"/>
          <w:color w:val="auto"/>
        </w:rPr>
        <w:t>Title: Authorized Signatory</w:t>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BOKF, 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Ryan Humphrey</w:t>
      </w:r>
    </w:p>
    <w:p>
      <w:pPr>
        <w:ind w:left="320"/>
        <w:spacing w:after="0" w:line="238" w:lineRule="auto"/>
        <w:rPr>
          <w:sz w:val="20"/>
          <w:szCs w:val="20"/>
          <w:color w:val="auto"/>
        </w:rPr>
      </w:pPr>
      <w:r>
        <w:rPr>
          <w:rFonts w:ascii="Arial" w:cs="Arial" w:eastAsia="Arial" w:hAnsi="Arial"/>
          <w:sz w:val="22"/>
          <w:szCs w:val="22"/>
          <w:color w:val="auto"/>
        </w:rPr>
        <w:t>Name: Ryan Humphrey</w:t>
      </w:r>
    </w:p>
    <w:p>
      <w:pPr>
        <w:ind w:left="320"/>
        <w:spacing w:after="0"/>
        <w:rPr>
          <w:sz w:val="20"/>
          <w:szCs w:val="20"/>
          <w:color w:val="auto"/>
        </w:rPr>
      </w:pPr>
      <w:r>
        <w:rPr>
          <w:rFonts w:ascii="Arial" w:cs="Arial" w:eastAsia="Arial" w:hAnsi="Arial"/>
          <w:sz w:val="22"/>
          <w:szCs w:val="22"/>
          <w:color w:val="auto"/>
        </w:rPr>
        <w:t>Title: 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188595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19"/>
          </w:cols>
          <w:pgMar w:left="1140" w:top="915" w:right="1440"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21"/>
          <w:szCs w:val="21"/>
          <w:color w:val="auto"/>
        </w:rPr>
        <w:t>CITIZENS BANK &amp; TRUST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Janelle Aubrecht</w:t>
      </w:r>
    </w:p>
    <w:p>
      <w:pPr>
        <w:spacing w:after="0" w:line="8" w:lineRule="exact"/>
        <w:rPr>
          <w:sz w:val="20"/>
          <w:szCs w:val="20"/>
          <w:color w:val="auto"/>
        </w:rPr>
      </w:pPr>
    </w:p>
    <w:p>
      <w:pPr>
        <w:ind w:left="320"/>
        <w:spacing w:after="0"/>
        <w:rPr>
          <w:sz w:val="20"/>
          <w:szCs w:val="20"/>
          <w:color w:val="auto"/>
        </w:rPr>
      </w:pPr>
      <w:r>
        <w:rPr>
          <w:rFonts w:ascii="Arial" w:cs="Arial" w:eastAsia="Arial" w:hAnsi="Arial"/>
          <w:sz w:val="21"/>
          <w:szCs w:val="21"/>
          <w:color w:val="auto"/>
        </w:rPr>
        <w:t>Name: Janelle Aubrecht</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Title: Vice President</w:t>
      </w:r>
    </w:p>
    <w:sectPr>
      <w:pgSz w:w="11900" w:h="16838" w:orient="portrait"/>
      <w:cols w:equalWidth="0" w:num="1">
        <w:col w:w="9319"/>
      </w:cols>
      <w:pgMar w:left="1140" w:top="3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lvl w:ilvl="1">
      <w:lvlJc w:val="left"/>
      <w:lvlText w:val="%2)"/>
      <w:numFmt w:val="lowerLetter"/>
      <w:start w:val="1"/>
    </w:lvl>
  </w:abstractNum>
  <w:abstractNum w:abstractNumId="7">
    <w:nsid w:val="DED7263"/>
    <w:multiLevelType w:val="hybridMultilevel"/>
    <w:lvl w:ilvl="0">
      <w:lvlJc w:val="left"/>
      <w:lvlText w:val="%1)"/>
      <w:numFmt w:val="decimal"/>
      <w:start w:val="1"/>
    </w:lvl>
    <w:lvl w:ilvl="1">
      <w:lvlJc w:val="left"/>
      <w:lvlText w:val="%2)"/>
      <w:numFmt w:val="lowerLetter"/>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Roman"/>
      <w:start w:val="3"/>
    </w:lvl>
  </w:abstractNum>
  <w:abstractNum w:abstractNumId="12">
    <w:nsid w:val="4E6AFB66"/>
    <w:multiLevelType w:val="hybridMultilevel"/>
    <w:lvl w:ilvl="0">
      <w:lvlJc w:val="left"/>
      <w:lvlText w:val="(%1)"/>
      <w:numFmt w:val="lowerLetter"/>
      <w:start w:val="5"/>
    </w:lvl>
    <w:lvl w:ilvl="1">
      <w:lvlJc w:val="left"/>
      <w:lvlText w:val=";"/>
      <w:numFmt w:val="bullet"/>
      <w:start w:val="1"/>
    </w:lvl>
  </w:abstractNum>
  <w:abstractNum w:abstractNumId="13">
    <w:nsid w:val="25E45D32"/>
    <w:multiLevelType w:val="hybridMultilevel"/>
    <w:lvl w:ilvl="0">
      <w:lvlJc w:val="left"/>
      <w:lvlText w:val="(%1)"/>
      <w:numFmt w:val="lowerLetter"/>
      <w:start w:val="6"/>
    </w:lvl>
    <w:lvl w:ilvl="1">
      <w:lvlJc w:val="left"/>
      <w:lvlText w:val="(%2)"/>
      <w:numFmt w:val="lowerLetter"/>
      <w:start w:val="25"/>
    </w:lvl>
  </w:abstractNum>
  <w:abstractNum w:abstractNumId="14">
    <w:nsid w:val="519B500D"/>
    <w:multiLevelType w:val="hybridMultilevel"/>
    <w:lvl w:ilvl="0">
      <w:lvlJc w:val="left"/>
      <w:lvlText w:val="%1"/>
      <w:numFmt w:val="lowerLetter"/>
      <w:start w:val="1"/>
    </w:lvl>
    <w:lvl w:ilvl="1">
      <w:lvlJc w:val="left"/>
      <w:lvlText w:val="(%2)"/>
      <w:numFmt w:val="lowerLetter"/>
      <w:start w:val="2"/>
    </w:lvl>
  </w:abstractNum>
  <w:abstractNum w:abstractNumId="15">
    <w:nsid w:val="431BD7B7"/>
    <w:multiLevelType w:val="hybridMultilevel"/>
    <w:lvl w:ilvl="0">
      <w:lvlJc w:val="left"/>
      <w:lvlText w:val="(%1)"/>
      <w:numFmt w:val="lowerLetter"/>
      <w:start w:val="8"/>
    </w:lvl>
    <w:lvl w:ilvl="1">
      <w:lvlJc w:val="left"/>
      <w:lvlText w:val="%2"/>
      <w:numFmt w:val="lowerLetter"/>
      <w:start w:val="1"/>
    </w:lvl>
  </w:abstractNum>
  <w:abstractNum w:abstractNumId="16">
    <w:nsid w:val="3F2DBA31"/>
    <w:multiLevelType w:val="hybridMultilevel"/>
    <w:lvl w:ilvl="0">
      <w:lvlJc w:val="left"/>
      <w:lvlText w:val="%1"/>
      <w:numFmt w:val="lowerLetter"/>
      <w:start w:val="1"/>
    </w:lvl>
    <w:lvl w:ilvl="1">
      <w:lvlJc w:val="left"/>
      <w:lvlText w:val="(%2)"/>
      <w:numFmt w:val="lowerLetter"/>
      <w:start w:val="3"/>
    </w:lvl>
  </w:abstractNum>
  <w:abstractNum w:abstractNumId="17">
    <w:nsid w:val="7C83E458"/>
    <w:multiLevelType w:val="hybridMultilevel"/>
    <w:lvl w:ilvl="0">
      <w:lvlJc w:val="left"/>
      <w:lvlText w:val="(%1)"/>
      <w:numFmt w:val="lowerLetter"/>
      <w:start w:val="11"/>
    </w:lvl>
    <w:lvl w:ilvl="1">
      <w:lvlJc w:val="left"/>
      <w:lvlText w:val="%2"/>
      <w:numFmt w:val="lowerLetter"/>
      <w:start w:val="1"/>
    </w:lvl>
  </w:abstractNum>
  <w:abstractNum w:abstractNumId="18">
    <w:nsid w:val="257130A3"/>
    <w:multiLevelType w:val="hybridMultilevel"/>
    <w:lvl w:ilvl="0">
      <w:lvlJc w:val="left"/>
      <w:lvlText w:val="(%1)"/>
      <w:numFmt w:val="lowerLetter"/>
      <w:start w:val="12"/>
    </w:lvl>
    <w:lvl w:ilvl="1">
      <w:lvlJc w:val="left"/>
      <w:lvlText w:val="(%2)"/>
      <w:numFmt w:val="lowerLetter"/>
      <w:start w:val="4"/>
    </w:lvl>
  </w:abstractNum>
  <w:abstractNum w:abstractNumId="19">
    <w:nsid w:val="62BBD95A"/>
    <w:multiLevelType w:val="hybridMultilevel"/>
    <w:lvl w:ilvl="0">
      <w:lvlJc w:val="left"/>
      <w:lvlText w:val="%1"/>
      <w:numFmt w:val="upp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04" Type="http://schemas.openxmlformats.org/officeDocument/2006/relationships/hyperlink" Target="http://www.sec.gov/Archives/edgar/data/1029199/000121390021020144/MainDocument.htm" TargetMode="External"/><Relationship Id="rId105" Type="http://schemas.openxmlformats.org/officeDocument/2006/relationships/hyperlink" Target="http://www.sec.gov/Archives/edgar/data/0001029199/000102919918000108/euronetcreditagreement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2021-08-03T16:52:04Z</dcterms:created>
  <dcterms:modified xsi:type="dcterms:W3CDTF">2021-08-03T16:52:04Z</dcterms:modified>
</cp:coreProperties>
</file>