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65" w:lineRule="exact"/>
        <w:rPr>
          <w:sz w:val="24"/>
          <w:szCs w:val="24"/>
          <w:color w:val="auto"/>
        </w:rPr>
      </w:pPr>
    </w:p>
    <w:p>
      <w:pPr>
        <w:ind w:left="3860" w:right="2500" w:hanging="3555"/>
        <w:spacing w:after="0" w:line="304" w:lineRule="auto"/>
        <w:tabs>
          <w:tab w:leader="none" w:pos="53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520" w:hanging="215"/>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TRANSITION REPORT PURSUANT TO SECTION </w:t>
      </w:r>
      <w:r>
        <w:rPr>
          <w:rFonts w:ascii="Arial" w:cs="Arial" w:eastAsia="Arial" w:hAnsi="Arial"/>
          <w:sz w:val="17"/>
          <w:szCs w:val="17"/>
          <w:b w:val="1"/>
          <w:bCs w:val="1"/>
          <w:color w:val="auto"/>
        </w:rPr>
        <w:t>13 OR 15(d) OF THE SECURITIES EXCHANGE ACT OF 1934</w:t>
      </w:r>
    </w:p>
    <w:p>
      <w:pPr>
        <w:spacing w:after="0" w:line="187" w:lineRule="exact"/>
        <w:rPr>
          <w:sz w:val="24"/>
          <w:szCs w:val="24"/>
          <w:color w:val="auto"/>
        </w:rPr>
      </w:pPr>
    </w:p>
    <w:p>
      <w:pPr>
        <w:ind w:left="3900"/>
        <w:spacing w:after="0"/>
        <w:tabs>
          <w:tab w:leader="none" w:pos="61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6"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Commission File Number: 001-31648</w:t>
      </w:r>
    </w:p>
    <w:p>
      <w:pPr>
        <w:spacing w:after="0" w:line="6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EURONET WORLDWIDE, INC.</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Delaware</w:t>
            </w:r>
          </w:p>
        </w:tc>
        <w:tc>
          <w:tcPr>
            <w:tcW w:w="4660" w:type="dxa"/>
            <w:vAlign w:val="bottom"/>
          </w:tcPr>
          <w:p>
            <w:pPr>
              <w:jc w:val="right"/>
              <w:ind w:right="779"/>
              <w:spacing w:after="0"/>
              <w:rPr>
                <w:sz w:val="20"/>
                <w:szCs w:val="20"/>
                <w:color w:val="auto"/>
              </w:rPr>
            </w:pPr>
            <w:r>
              <w:rPr>
                <w:rFonts w:ascii="Arial" w:cs="Arial" w:eastAsia="Arial" w:hAnsi="Arial"/>
                <w:sz w:val="16"/>
                <w:szCs w:val="16"/>
                <w:b w:val="1"/>
                <w:bCs w:val="1"/>
                <w:color w:val="auto"/>
              </w:rPr>
              <w:t>74-2806888</w:t>
            </w:r>
          </w:p>
        </w:tc>
      </w:tr>
      <w:tr>
        <w:trPr>
          <w:trHeight w:val="283"/>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4660" w:type="dxa"/>
            <w:vAlign w:val="bottom"/>
          </w:tcPr>
          <w:p>
            <w:pPr>
              <w:jc w:val="center"/>
              <w:ind w:left="209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84"/>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11400 Tomahawk Creek Parkway, Suite 300</w:t>
            </w:r>
          </w:p>
        </w:tc>
        <w:tc>
          <w:tcPr>
            <w:tcW w:w="4660" w:type="dxa"/>
            <w:vAlign w:val="bottom"/>
          </w:tcPr>
          <w:p>
            <w:pPr>
              <w:spacing w:after="0"/>
              <w:rPr>
                <w:sz w:val="24"/>
                <w:szCs w:val="24"/>
                <w:color w:val="auto"/>
              </w:rPr>
            </w:pPr>
          </w:p>
        </w:tc>
      </w:tr>
      <w:tr>
        <w:trPr>
          <w:trHeight w:val="283"/>
        </w:trPr>
        <w:tc>
          <w:tcPr>
            <w:tcW w:w="4300" w:type="dxa"/>
            <w:vAlign w:val="bottom"/>
          </w:tcPr>
          <w:p>
            <w:pPr>
              <w:ind w:left="1420"/>
              <w:spacing w:after="0"/>
              <w:rPr>
                <w:sz w:val="20"/>
                <w:szCs w:val="20"/>
                <w:color w:val="auto"/>
              </w:rPr>
            </w:pPr>
            <w:r>
              <w:rPr>
                <w:rFonts w:ascii="Arial" w:cs="Arial" w:eastAsia="Arial" w:hAnsi="Arial"/>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Arial" w:cs="Arial" w:eastAsia="Arial" w:hAnsi="Arial"/>
                <w:sz w:val="16"/>
                <w:szCs w:val="16"/>
                <w:b w:val="1"/>
                <w:bCs w:val="1"/>
                <w:color w:val="auto"/>
              </w:rPr>
              <w:t>66211</w:t>
            </w:r>
          </w:p>
        </w:tc>
      </w:tr>
      <w:tr>
        <w:trPr>
          <w:trHeight w:val="283"/>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4660" w:type="dxa"/>
            <w:vAlign w:val="bottom"/>
          </w:tcPr>
          <w:p>
            <w:pPr>
              <w:jc w:val="center"/>
              <w:ind w:left="2079"/>
              <w:spacing w:after="0"/>
              <w:rPr>
                <w:sz w:val="20"/>
                <w:szCs w:val="20"/>
                <w:color w:val="auto"/>
              </w:rPr>
            </w:pPr>
            <w:r>
              <w:rPr>
                <w:rFonts w:ascii="Arial" w:cs="Arial" w:eastAsia="Arial" w:hAnsi="Arial"/>
                <w:sz w:val="16"/>
                <w:szCs w:val="16"/>
                <w:b w:val="1"/>
                <w:bCs w:val="1"/>
                <w:color w:val="auto"/>
                <w:w w:val="93"/>
              </w:rPr>
              <w:t>(Zip Code)</w:t>
            </w:r>
          </w:p>
        </w:tc>
      </w:tr>
      <w:tr>
        <w:trPr>
          <w:trHeight w:val="283"/>
        </w:trPr>
        <w:tc>
          <w:tcPr>
            <w:tcW w:w="430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Arial" w:cs="Arial" w:eastAsia="Arial" w:hAnsi="Arial"/>
                <w:sz w:val="16"/>
                <w:szCs w:val="16"/>
                <w:b w:val="1"/>
                <w:bCs w:val="1"/>
                <w:color w:val="auto"/>
              </w:rPr>
              <w:t>(913) 327-4200</w:t>
            </w:r>
          </w:p>
        </w:tc>
      </w:tr>
    </w:tbl>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75" w:lineRule="exact"/>
        <w:rPr>
          <w:sz w:val="24"/>
          <w:szCs w:val="24"/>
          <w:color w:val="auto"/>
        </w:rPr>
      </w:pPr>
    </w:p>
    <w:p>
      <w:pPr>
        <w:ind w:left="278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Trading</w:t>
            </w: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100" w:type="dxa"/>
            <w:vAlign w:val="bottom"/>
            <w:gridSpan w:val="3"/>
          </w:tcPr>
          <w:p>
            <w:pPr>
              <w:ind w:left="2060"/>
              <w:spacing w:after="0" w:line="183" w:lineRule="exact"/>
              <w:rPr>
                <w:sz w:val="20"/>
                <w:szCs w:val="20"/>
                <w:color w:val="auto"/>
              </w:rPr>
            </w:pPr>
            <w:r>
              <w:rPr>
                <w:rFonts w:ascii="Arial" w:cs="Arial" w:eastAsia="Arial" w:hAnsi="Arial"/>
                <w:sz w:val="16"/>
                <w:szCs w:val="16"/>
                <w:b w:val="1"/>
                <w:bCs w:val="1"/>
                <w:color w:val="auto"/>
              </w:rPr>
              <w:t>Title of each class</w:t>
            </w:r>
          </w:p>
        </w:tc>
        <w:tc>
          <w:tcPr>
            <w:tcW w:w="1120" w:type="dxa"/>
            <w:vAlign w:val="bottom"/>
            <w:gridSpan w:val="5"/>
          </w:tcPr>
          <w:p>
            <w:pPr>
              <w:jc w:val="center"/>
              <w:ind w:right="60"/>
              <w:spacing w:after="0" w:line="183" w:lineRule="exact"/>
              <w:rPr>
                <w:sz w:val="20"/>
                <w:szCs w:val="20"/>
                <w:color w:val="auto"/>
              </w:rPr>
            </w:pPr>
            <w:r>
              <w:rPr>
                <w:rFonts w:ascii="Arial" w:cs="Arial" w:eastAsia="Arial" w:hAnsi="Arial"/>
                <w:sz w:val="16"/>
                <w:szCs w:val="16"/>
                <w:b w:val="1"/>
                <w:bCs w:val="1"/>
                <w:color w:val="auto"/>
                <w:w w:val="90"/>
              </w:rPr>
              <w:t>Symbol(s)</w:t>
            </w:r>
          </w:p>
        </w:tc>
        <w:tc>
          <w:tcPr>
            <w:tcW w:w="1000" w:type="dxa"/>
            <w:vAlign w:val="bottom"/>
          </w:tcPr>
          <w:p>
            <w:pPr>
              <w:spacing w:after="0"/>
              <w:rPr>
                <w:sz w:val="15"/>
                <w:szCs w:val="15"/>
                <w:color w:val="auto"/>
              </w:rPr>
            </w:pPr>
          </w:p>
        </w:tc>
        <w:tc>
          <w:tcPr>
            <w:tcW w:w="4040" w:type="dxa"/>
            <w:vAlign w:val="bottom"/>
            <w:gridSpan w:val="2"/>
          </w:tcPr>
          <w:p>
            <w:pPr>
              <w:jc w:val="center"/>
              <w:ind w:right="1040"/>
              <w:spacing w:after="0" w:line="183" w:lineRule="exact"/>
              <w:rPr>
                <w:sz w:val="20"/>
                <w:szCs w:val="20"/>
                <w:color w:val="auto"/>
              </w:rPr>
            </w:pPr>
            <w:r>
              <w:rPr>
                <w:rFonts w:ascii="Arial" w:cs="Arial" w:eastAsia="Arial" w:hAnsi="Arial"/>
                <w:sz w:val="16"/>
                <w:szCs w:val="16"/>
                <w:b w:val="1"/>
                <w:bCs w:val="1"/>
                <w:color w:val="auto"/>
                <w:w w:val="88"/>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5100" w:type="dxa"/>
            <w:vAlign w:val="bottom"/>
            <w:tcBorders>
              <w:left w:val="single" w:sz="8" w:color="auto"/>
              <w:right w:val="single" w:sz="8" w:color="auto"/>
            </w:tcBorders>
            <w:gridSpan w:val="3"/>
          </w:tcPr>
          <w:p>
            <w:pPr>
              <w:ind w:left="20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7"/>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7"/>
        </w:trPr>
        <w:tc>
          <w:tcPr>
            <w:tcW w:w="5100" w:type="dxa"/>
            <w:vAlign w:val="bottom"/>
            <w:tcBorders>
              <w:left w:val="single" w:sz="8" w:color="auto"/>
              <w:right w:val="single" w:sz="8" w:color="auto"/>
            </w:tcBorders>
            <w:gridSpan w:val="3"/>
          </w:tcPr>
          <w:p>
            <w:pPr>
              <w:ind w:left="1540"/>
              <w:spacing w:after="0"/>
              <w:rPr>
                <w:sz w:val="20"/>
                <w:szCs w:val="20"/>
                <w:color w:val="auto"/>
              </w:rPr>
            </w:pPr>
            <w:r>
              <w:rPr>
                <w:rFonts w:ascii="Arial" w:cs="Arial" w:eastAsia="Arial" w:hAnsi="Arial"/>
                <w:sz w:val="16"/>
                <w:szCs w:val="16"/>
                <w:color w:val="auto"/>
              </w:rPr>
              <w:t>1.375% Senior Notes due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5"/>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44" w:lineRule="exact"/>
        <w:rPr>
          <w:sz w:val="24"/>
          <w:szCs w:val="24"/>
          <w:color w:val="auto"/>
        </w:rPr>
      </w:pPr>
    </w:p>
    <w:p>
      <w:pPr>
        <w:jc w:val="both"/>
        <w:ind w:right="20"/>
        <w:spacing w:after="0" w:line="29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ind w:right="260"/>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9" w:lineRule="exact"/>
        <w:rPr>
          <w:sz w:val="24"/>
          <w:szCs w:val="24"/>
          <w:color w:val="auto"/>
        </w:rPr>
      </w:pPr>
    </w:p>
    <w:p>
      <w:pPr>
        <w:ind w:right="14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40" w:type="dxa"/>
        <w:tblCellMar>
          <w:top w:w="0" w:type="dxa"/>
          <w:left w:w="0" w:type="dxa"/>
          <w:bottom w:w="0" w:type="dxa"/>
          <w:right w:w="0" w:type="dxa"/>
        </w:tblCellMar>
      </w:tblPr>
      <w:tr>
        <w:trPr>
          <w:trHeight w:val="248"/>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1220" w:type="dxa"/>
            <w:vAlign w:val="bottom"/>
          </w:tcPr>
          <w:p>
            <w:pPr>
              <w:ind w:left="1060"/>
              <w:spacing w:after="0"/>
              <w:rPr>
                <w:sz w:val="20"/>
                <w:szCs w:val="20"/>
                <w:color w:val="auto"/>
              </w:rPr>
            </w:pPr>
            <w:r>
              <w:rPr>
                <w:rFonts w:ascii="Arial" w:cs="Arial" w:eastAsia="Arial" w:hAnsi="Arial"/>
                <w:sz w:val="16"/>
                <w:szCs w:val="16"/>
                <w:color w:val="auto"/>
              </w:rPr>
              <w:t>o</w:t>
            </w:r>
          </w:p>
        </w:tc>
      </w:tr>
      <w:tr>
        <w:trPr>
          <w:trHeight w:val="270"/>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20" w:type="dxa"/>
            <w:vAlign w:val="bottom"/>
          </w:tcPr>
          <w:p>
            <w:pPr>
              <w:ind w:left="520"/>
              <w:spacing w:after="0"/>
              <w:rPr>
                <w:sz w:val="20"/>
                <w:szCs w:val="20"/>
                <w:color w:val="auto"/>
              </w:rPr>
            </w:pPr>
            <w:r>
              <w:rPr>
                <w:rFonts w:ascii="Arial" w:cs="Arial" w:eastAsia="Arial" w:hAnsi="Arial"/>
                <w:sz w:val="16"/>
                <w:szCs w:val="16"/>
                <w:color w:val="auto"/>
              </w:rPr>
              <w:t>o</w:t>
            </w:r>
          </w:p>
        </w:tc>
        <w:tc>
          <w:tcPr>
            <w:tcW w:w="47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 w:lineRule="exact"/>
        <w:rPr>
          <w:sz w:val="24"/>
          <w:szCs w:val="24"/>
          <w:color w:val="auto"/>
        </w:rPr>
      </w:pPr>
    </w:p>
    <w:p>
      <w:pPr>
        <w:ind w:left="40" w:right="580"/>
        <w:spacing w:after="0" w:line="25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color w:val="auto"/>
        </w:rPr>
        <w:t>On November 2, 2023, Euronet Worldwide, Inc. had 46,121,435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60" w:type="dxa"/>
            <w:vAlign w:val="bottom"/>
            <w:gridSpan w:val="10"/>
          </w:tcPr>
          <w:p>
            <w:pPr>
              <w:jc w:val="center"/>
              <w:ind w:right="2820"/>
              <w:spacing w:after="0"/>
              <w:rPr>
                <w:sz w:val="20"/>
                <w:szCs w:val="20"/>
                <w:color w:val="auto"/>
              </w:rPr>
            </w:pPr>
            <w:r>
              <w:rPr>
                <w:rFonts w:ascii="Arial" w:cs="Arial" w:eastAsia="Arial" w:hAnsi="Arial"/>
                <w:sz w:val="18"/>
                <w:szCs w:val="18"/>
                <w:b w:val="1"/>
                <w:bCs w:val="1"/>
                <w:color w:val="auto"/>
              </w:rPr>
              <w:t>EURONET WORLDWIDE, INC. AND SUBSIDIARIES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6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10"/>
          </w:tcPr>
          <w:p>
            <w:pPr>
              <w:jc w:val="center"/>
              <w:ind w:right="2820"/>
              <w:spacing w:after="0"/>
              <w:rPr>
                <w:sz w:val="20"/>
                <w:szCs w:val="20"/>
                <w:color w:val="auto"/>
              </w:rPr>
            </w:pPr>
            <w:r>
              <w:rPr>
                <w:rFonts w:ascii="Arial" w:cs="Arial" w:eastAsia="Arial" w:hAnsi="Arial"/>
                <w:sz w:val="18"/>
                <w:szCs w:val="18"/>
                <w:b w:val="1"/>
                <w:bCs w:val="1"/>
                <w:color w:val="auto"/>
                <w:w w:val="89"/>
              </w:rPr>
              <w:t>Table of Contents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5"/>
        </w:trPr>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Page</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6"/>
        </w:trPr>
        <w:tc>
          <w:tcPr>
            <w:tcW w:w="298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8"/>
              </w:rPr>
              <w:t>PART I—FINANCIAL INFORMATION</w:t>
            </w:r>
          </w:p>
        </w:tc>
        <w:tc>
          <w:tcPr>
            <w:tcW w:w="7680" w:type="dxa"/>
            <w:vAlign w:val="bottom"/>
            <w:tcBorders>
              <w:bottom w:val="single" w:sz="8" w:color="CCEEFF"/>
            </w:tcBorders>
            <w:gridSpan w:val="11"/>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820" w:type="dxa"/>
            <w:vAlign w:val="bottom"/>
            <w:gridSpan w:val="20"/>
          </w:tcPr>
          <w:p>
            <w:pPr>
              <w:ind w:left="180"/>
              <w:spacing w:after="0" w:line="176" w:lineRule="exact"/>
              <w:rPr>
                <w:sz w:val="20"/>
                <w:szCs w:val="20"/>
                <w:color w:val="auto"/>
              </w:rPr>
            </w:pPr>
            <w:r>
              <w:rPr>
                <w:rFonts w:ascii="Arial" w:cs="Arial" w:eastAsia="Arial" w:hAnsi="Arial"/>
                <w:sz w:val="18"/>
                <w:szCs w:val="18"/>
                <w:color w:val="0000EE"/>
              </w:rPr>
              <w:t>Financial Statements (unaudited)</w:t>
            </w:r>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22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74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88"/>
              </w:rPr>
              <w:t>Consolidated Balance Sheets as of September 30, 2023 and December 31, 2022</w:t>
            </w:r>
          </w:p>
        </w:tc>
        <w:tc>
          <w:tcPr>
            <w:tcW w:w="3900" w:type="dxa"/>
            <w:vAlign w:val="bottom"/>
            <w:tcBorders>
              <w:bottom w:val="single" w:sz="8" w:color="CCEEFF"/>
            </w:tcBorders>
            <w:gridSpan w:val="6"/>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tcPr>
          <w:p>
            <w:pPr>
              <w:spacing w:after="0"/>
              <w:rPr>
                <w:sz w:val="15"/>
                <w:szCs w:val="15"/>
                <w:color w:val="auto"/>
              </w:rPr>
            </w:pPr>
          </w:p>
        </w:tc>
        <w:tc>
          <w:tcPr>
            <w:tcW w:w="9820" w:type="dxa"/>
            <w:vAlign w:val="bottom"/>
            <w:gridSpan w:val="20"/>
          </w:tcPr>
          <w:p>
            <w:pPr>
              <w:ind w:left="180"/>
              <w:spacing w:after="0" w:line="176" w:lineRule="exact"/>
              <w:rPr>
                <w:sz w:val="20"/>
                <w:szCs w:val="20"/>
                <w:color w:val="auto"/>
              </w:rPr>
            </w:pPr>
            <w:r>
              <w:rPr>
                <w:rFonts w:ascii="Arial" w:cs="Arial" w:eastAsia="Arial" w:hAnsi="Arial"/>
                <w:sz w:val="18"/>
                <w:szCs w:val="18"/>
                <w:color w:val="0000EE"/>
              </w:rPr>
              <w:t>Consolidated Statements of Operations for the Three and Nine Months Ended September 30, 2023 and 2022</w:t>
            </w:r>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4"/>
              </w:rPr>
              <w:t>Consolidated Statements of Comprehensive Income (loss) for the Three and Nine Months Ended September 30, 2023 and 2022</w:t>
            </w:r>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7"/>
                <w:szCs w:val="17"/>
                <w:color w:val="auto"/>
              </w:rPr>
            </w:pPr>
          </w:p>
        </w:tc>
      </w:tr>
      <w:tr>
        <w:trPr>
          <w:trHeight w:val="176"/>
        </w:trPr>
        <w:tc>
          <w:tcPr>
            <w:tcW w:w="8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16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color w:val="0000EE"/>
                <w:w w:val="98"/>
              </w:rPr>
              <w:t>Consolidated Statements of Changes in Equity for the Three and Nine Months Ended September 30, 2023 and 2022</w:t>
            </w:r>
          </w:p>
        </w:tc>
        <w:tc>
          <w:tcPr>
            <w:tcW w:w="4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4</w:t>
            </w:r>
          </w:p>
        </w:tc>
        <w:tc>
          <w:tcPr>
            <w:tcW w:w="220" w:type="dxa"/>
            <w:vAlign w:val="bottom"/>
            <w:tcBorders>
              <w:top w:val="single" w:sz="8" w:color="CCEEFF"/>
            </w:tcBorders>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Cash Flows for the Nine Months Ended September 30, 2023 and 2022</w:t>
            </w:r>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220" w:type="dxa"/>
            <w:vAlign w:val="bottom"/>
            <w:shd w:val="clear" w:color="auto" w:fill="CCEEFF"/>
          </w:tcPr>
          <w:p>
            <w:pPr>
              <w:spacing w:after="0"/>
              <w:rPr>
                <w:sz w:val="17"/>
                <w:szCs w:val="17"/>
                <w:color w:val="auto"/>
              </w:rPr>
            </w:pPr>
          </w:p>
        </w:tc>
      </w:tr>
      <w:tr>
        <w:trPr>
          <w:trHeight w:val="175"/>
        </w:trPr>
        <w:tc>
          <w:tcPr>
            <w:tcW w:w="8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08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rPr>
              <w:t>Notes to the Unaudited Consolidated Financial Statements</w:t>
            </w:r>
          </w:p>
        </w:tc>
        <w:tc>
          <w:tcPr>
            <w:tcW w:w="2560" w:type="dxa"/>
            <w:vAlign w:val="bottom"/>
            <w:tcBorders>
              <w:top w:val="single" w:sz="8" w:color="CCEEFF"/>
            </w:tcBorders>
            <w:gridSpan w:val="4"/>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7</w:t>
            </w:r>
          </w:p>
        </w:tc>
        <w:tc>
          <w:tcPr>
            <w:tcW w:w="220" w:type="dxa"/>
            <w:vAlign w:val="bottom"/>
            <w:tcBorders>
              <w:top w:val="single" w:sz="8" w:color="CCEEFF"/>
            </w:tcBorders>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8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200" w:type="dxa"/>
            <w:vAlign w:val="bottom"/>
            <w:tcBorders>
              <w:bottom w:val="single" w:sz="8" w:color="CCEEFF"/>
            </w:tcBorders>
            <w:gridSpan w:val="5"/>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820" w:type="dxa"/>
            <w:vAlign w:val="bottom"/>
            <w:gridSpan w:val="20"/>
          </w:tcPr>
          <w:p>
            <w:pPr>
              <w:ind w:left="18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80" w:type="dxa"/>
            <w:vAlign w:val="bottom"/>
            <w:shd w:val="clear" w:color="auto" w:fill="CCEEFF"/>
          </w:tcPr>
          <w:p>
            <w:pPr>
              <w:spacing w:after="0"/>
              <w:rPr>
                <w:sz w:val="15"/>
                <w:szCs w:val="15"/>
                <w:color w:val="auto"/>
              </w:rPr>
            </w:pPr>
          </w:p>
        </w:tc>
        <w:tc>
          <w:tcPr>
            <w:tcW w:w="96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22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60" w:type="dxa"/>
            <w:vAlign w:val="bottom"/>
            <w:gridSpan w:val="21"/>
          </w:tcPr>
          <w:p>
            <w:pPr>
              <w:spacing w:after="0" w:line="176" w:lineRule="exact"/>
              <w:rPr>
                <w:sz w:val="20"/>
                <w:szCs w:val="20"/>
                <w:color w:val="auto"/>
              </w:rPr>
            </w:pPr>
            <w:r>
              <w:rPr>
                <w:rFonts w:ascii="Arial" w:cs="Arial" w:eastAsia="Arial" w:hAnsi="Arial"/>
                <w:sz w:val="18"/>
                <w:szCs w:val="18"/>
                <w:color w:val="0000EE"/>
              </w:rPr>
              <w:t>PART II—OTHER INFORMATION</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8"/>
              </w:rPr>
              <w:t>Legal Proceedings</w:t>
            </w:r>
          </w:p>
        </w:tc>
        <w:tc>
          <w:tcPr>
            <w:tcW w:w="8300" w:type="dxa"/>
            <w:vAlign w:val="bottom"/>
            <w:tcBorders>
              <w:bottom w:val="single" w:sz="8" w:color="CCEEFF"/>
            </w:tcBorders>
            <w:gridSpan w:val="14"/>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820" w:type="dxa"/>
            <w:vAlign w:val="bottom"/>
            <w:gridSpan w:val="20"/>
          </w:tcPr>
          <w:p>
            <w:pPr>
              <w:ind w:left="180"/>
              <w:spacing w:after="0" w:line="176" w:lineRule="exact"/>
              <w:rPr>
                <w:sz w:val="20"/>
                <w:szCs w:val="20"/>
                <w:color w:val="auto"/>
              </w:rPr>
            </w:pPr>
            <w:r>
              <w:rPr>
                <w:rFonts w:ascii="Arial" w:cs="Arial" w:eastAsia="Arial" w:hAnsi="Arial"/>
                <w:sz w:val="18"/>
                <w:szCs w:val="18"/>
                <w:color w:val="0000EE"/>
              </w:rPr>
              <w:t>Risk Factors</w:t>
            </w:r>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80" w:type="dxa"/>
            <w:vAlign w:val="bottom"/>
            <w:shd w:val="clear" w:color="auto" w:fill="CCEEFF"/>
          </w:tcPr>
          <w:p>
            <w:pPr>
              <w:spacing w:after="0"/>
              <w:rPr>
                <w:sz w:val="17"/>
                <w:szCs w:val="17"/>
                <w:color w:val="auto"/>
              </w:rPr>
            </w:pPr>
          </w:p>
        </w:tc>
        <w:tc>
          <w:tcPr>
            <w:tcW w:w="96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220" w:type="dxa"/>
            <w:vAlign w:val="bottom"/>
            <w:shd w:val="clear" w:color="auto" w:fill="CCEEFF"/>
          </w:tcPr>
          <w:p>
            <w:pPr>
              <w:spacing w:after="0"/>
              <w:rPr>
                <w:sz w:val="17"/>
                <w:szCs w:val="17"/>
                <w:color w:val="auto"/>
              </w:rPr>
            </w:pP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5</w:t>
            </w:r>
          </w:p>
        </w:tc>
        <w:tc>
          <w:tcPr>
            <w:tcW w:w="18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gridSpan w:val="11"/>
          </w:tcPr>
          <w:p>
            <w:pPr>
              <w:spacing w:after="0" w:line="176" w:lineRule="exact"/>
              <w:rPr>
                <w:sz w:val="20"/>
                <w:szCs w:val="20"/>
                <w:color w:val="auto"/>
              </w:rPr>
            </w:pPr>
            <w:r>
              <w:rPr>
                <w:rFonts w:ascii="Arial" w:cs="Arial" w:eastAsia="Arial" w:hAnsi="Arial"/>
                <w:sz w:val="18"/>
                <w:szCs w:val="18"/>
                <w:color w:val="0000EE"/>
              </w:rPr>
              <w:t>Other Information</w:t>
            </w:r>
          </w:p>
        </w:tc>
        <w:tc>
          <w:tcPr>
            <w:tcW w:w="5300" w:type="dxa"/>
            <w:vAlign w:val="bottom"/>
            <w:tcBorders>
              <w:top w:val="single" w:sz="8" w:color="CCEEFF"/>
            </w:tcBorders>
            <w:gridSpan w:val="8"/>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43</w:t>
            </w:r>
          </w:p>
        </w:tc>
        <w:tc>
          <w:tcPr>
            <w:tcW w:w="220" w:type="dxa"/>
            <w:vAlign w:val="bottom"/>
            <w:tcBorders>
              <w:top w:val="single" w:sz="8" w:color="CCEEFF"/>
            </w:tcBorders>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80" w:type="dxa"/>
            <w:vAlign w:val="bottom"/>
            <w:shd w:val="clear" w:color="auto" w:fill="CCEEFF"/>
          </w:tcPr>
          <w:p>
            <w:pPr>
              <w:spacing w:after="0"/>
              <w:rPr>
                <w:sz w:val="15"/>
                <w:szCs w:val="15"/>
                <w:color w:val="auto"/>
              </w:rPr>
            </w:pPr>
          </w:p>
        </w:tc>
        <w:tc>
          <w:tcPr>
            <w:tcW w:w="96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c>
          <w:tcPr>
            <w:tcW w:w="22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40" w:type="dxa"/>
            <w:vAlign w:val="bottom"/>
            <w:gridSpan w:val="19"/>
          </w:tcPr>
          <w:p>
            <w:pPr>
              <w:spacing w:after="0" w:line="176" w:lineRule="exact"/>
              <w:rPr>
                <w:sz w:val="20"/>
                <w:szCs w:val="20"/>
                <w:color w:val="auto"/>
              </w:rPr>
            </w:pPr>
            <w:r>
              <w:rPr>
                <w:rFonts w:ascii="Arial" w:cs="Arial" w:eastAsia="Arial" w:hAnsi="Arial"/>
                <w:sz w:val="18"/>
                <w:szCs w:val="18"/>
                <w:color w:val="0000EE"/>
              </w:rPr>
              <w:t>Signatures</w:t>
            </w:r>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5"/>
                <w:szCs w:val="15"/>
                <w:color w:val="auto"/>
              </w:rPr>
            </w:pPr>
          </w:p>
        </w:tc>
      </w:tr>
      <w:tr>
        <w:trPr>
          <w:trHeight w:val="338"/>
        </w:trPr>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406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right"/>
              <w:ind w:right="300"/>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80"/>
              <w:spacing w:after="0"/>
              <w:rPr>
                <w:sz w:val="20"/>
                <w:szCs w:val="20"/>
                <w:color w:val="auto"/>
              </w:rPr>
            </w:pPr>
            <w:r>
              <w:rPr>
                <w:rFonts w:ascii="Arial" w:cs="Arial" w:eastAsia="Arial" w:hAnsi="Arial"/>
                <w:sz w:val="18"/>
                <w:szCs w:val="18"/>
                <w:color w:val="auto"/>
              </w:rPr>
              <w:t>ATM cash</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603.5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1,242.3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receivable, net of credit losses of $3.7 and $4.0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0"/>
              <w:spacing w:after="0"/>
              <w:rPr>
                <w:sz w:val="20"/>
                <w:szCs w:val="20"/>
                <w:color w:val="auto"/>
              </w:rPr>
            </w:pPr>
            <w:r>
              <w:rPr>
                <w:rFonts w:ascii="Arial" w:cs="Arial" w:eastAsia="Arial" w:hAnsi="Arial"/>
                <w:sz w:val="18"/>
                <w:szCs w:val="18"/>
                <w:color w:val="auto"/>
              </w:rPr>
              <w:t>Operating right of use lease assets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$620.1 and $576.4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817.8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intangible assets, net of accumulated amortization of $202.4 and $199.2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0"/>
              <w:spacing w:after="0"/>
              <w:rPr>
                <w:sz w:val="20"/>
                <w:szCs w:val="20"/>
                <w:color w:val="auto"/>
              </w:rPr>
            </w:pPr>
            <w:r>
              <w:rPr>
                <w:rFonts w:ascii="Arial" w:cs="Arial" w:eastAsia="Arial" w:hAnsi="Arial"/>
                <w:sz w:val="18"/>
                <w:szCs w:val="18"/>
                <w:color w:val="auto"/>
              </w:rPr>
              <w:t>Other assets, net of accumulated amortization of $73.5 and $68.0</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Borders>
              <w:top w:val="single" w:sz="8" w:color="CCEEFF"/>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5,162.9</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1,242.3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846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846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1,263.0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4,020.7</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4,159.2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ind w:left="380"/>
              <w:spacing w:after="0"/>
              <w:rPr>
                <w:sz w:val="20"/>
                <w:szCs w:val="20"/>
                <w:color w:val="auto"/>
              </w:rPr>
            </w:pPr>
            <w:r>
              <w:rPr>
                <w:rFonts w:ascii="Arial" w:cs="Arial" w:eastAsia="Arial" w:hAnsi="Arial"/>
                <w:sz w:val="18"/>
                <w:szCs w:val="18"/>
                <w:color w:val="auto"/>
                <w:w w:val="94"/>
              </w:rPr>
              <w:t>Common Stock, $0.02 par value. 90,000,000 shares authorized; shares issued 64,205,802 and 64,091,387</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80"/>
              <w:spacing w:after="0"/>
              <w:rPr>
                <w:sz w:val="20"/>
                <w:szCs w:val="20"/>
                <w:color w:val="auto"/>
              </w:rPr>
            </w:pPr>
            <w:r>
              <w:rPr>
                <w:rFonts w:ascii="Arial" w:cs="Arial" w:eastAsia="Arial" w:hAnsi="Arial"/>
                <w:sz w:val="18"/>
                <w:szCs w:val="18"/>
                <w:color w:val="auto"/>
              </w:rPr>
              <w:t>Treasury stock, at cost, shares issued 18,044,759 and 14,269,645</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(1,429.7)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5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2,493.1</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1,626.4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1,484.9</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134.4</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444.9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392.5</w:t>
            </w: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99.4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r>
      <w:tr>
        <w:trPr>
          <w:trHeight w:val="209"/>
        </w:trPr>
        <w:tc>
          <w:tcPr>
            <w:tcW w:w="552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Foreign currency exchange loss, net</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(losses) gains, net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09"/>
        </w:trPr>
        <w:tc>
          <w:tcPr>
            <w:tcW w:w="552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Other expense, net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(81.9)</w:t>
            </w:r>
          </w:p>
        </w:tc>
      </w:tr>
      <w:tr>
        <w:trPr>
          <w:trHeight w:val="209"/>
        </w:trPr>
        <w:tc>
          <w:tcPr>
            <w:tcW w:w="5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0"/>
        </w:trPr>
        <w:tc>
          <w:tcPr>
            <w:tcW w:w="5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5"/>
              </w:rPr>
              <w:t>Earnings per share attributable to Euronet Worldwide, Inc. stockholders: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5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4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4.27</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196"/>
        </w:trPr>
        <w:tc>
          <w:tcPr>
            <w:tcW w:w="552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5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5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48,406,473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49,583,317</w:t>
            </w:r>
          </w:p>
        </w:tc>
        <w:tc>
          <w:tcPr>
            <w:tcW w:w="260" w:type="dxa"/>
            <w:vAlign w:val="bottom"/>
          </w:tcPr>
          <w:p>
            <w:pPr>
              <w:spacing w:after="0"/>
              <w:rPr>
                <w:sz w:val="22"/>
                <w:szCs w:val="22"/>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49,285,143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50,345,293</w:t>
            </w:r>
          </w:p>
        </w:tc>
      </w:tr>
      <w:tr>
        <w:trPr>
          <w:trHeight w:val="196"/>
        </w:trPr>
        <w:tc>
          <w:tcPr>
            <w:tcW w:w="552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51,470,603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52,751,304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52,446,292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53,688,800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94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84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(100.5)</w:t>
            </w:r>
          </w:p>
        </w:tc>
        <w:tc>
          <w:tcPr>
            <w:tcW w:w="3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(209.9)</w:t>
            </w:r>
          </w:p>
        </w:tc>
      </w:tr>
      <w:tr>
        <w:trPr>
          <w:trHeight w:val="209"/>
        </w:trPr>
        <w:tc>
          <w:tcPr>
            <w:tcW w:w="5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84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09"/>
        </w:trPr>
        <w:tc>
          <w:tcPr>
            <w:tcW w:w="55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Comprehensive income (loss) attributable to Euronet Worldwide, Inc.</w:t>
            </w: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4"/>
              </w:rPr>
              <w:t>Treasury</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Shares Outstanding</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Paid-in Capital</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51,147,884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Repurchase of shares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(639,535)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2020-06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Balance as of March 31, 2022</w:t>
            </w:r>
          </w:p>
        </w:tc>
        <w:tc>
          <w:tcPr>
            <w:tcW w:w="12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50,548,522</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1,211.8</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(1,001.4)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June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49,579,755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49,593,153</w:t>
            </w:r>
          </w:p>
        </w:tc>
        <w:tc>
          <w:tcPr>
            <w:tcW w:w="1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w:t>
            </w:r>
          </w:p>
        </w:tc>
        <w:tc>
          <w:tcPr>
            <w:tcW w:w="14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56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4"/>
              </w:rPr>
              <w:t>Treasury</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Shares Outstanding</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Paid-in Capital</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49,822,707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79,859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Repurchase of shares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(276,400)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March 31, 2023</w:t>
            </w:r>
          </w:p>
        </w:tc>
        <w:tc>
          <w:tcPr>
            <w:tcW w:w="12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49,626,166</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(1,133.6)</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33333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333333"/>
              </w:rPr>
              <w:t>—</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333333"/>
              </w:rPr>
              <w:t>—</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33333"/>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33333"/>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333333"/>
              </w:rPr>
              <w:t>—</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333333"/>
              </w:rPr>
              <w:t>30,188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333333"/>
              </w:rPr>
              <w:t>—</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33333"/>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33333"/>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333333"/>
              </w:rPr>
              <w:t>—</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Repurchase of shares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333333"/>
              </w:rPr>
              <w:t>—</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333333"/>
              </w:rPr>
              <w:t>(0.1</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June 30, 2023</w:t>
            </w:r>
          </w:p>
        </w:tc>
        <w:tc>
          <w:tcPr>
            <w:tcW w:w="12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vMerge w:val="continue"/>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49,655,544</w:t>
            </w:r>
          </w:p>
        </w:tc>
        <w:tc>
          <w:tcPr>
            <w:tcW w:w="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w:t>
            </w:r>
          </w:p>
        </w:tc>
        <w:tc>
          <w:tcPr>
            <w:tcW w:w="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Net income (loss)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12,548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Repurchase of shares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(3,507,049)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46,161,043</w:t>
            </w: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14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CHANGES IN EQUITY (CONTINUED) (Unaudited,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Retained Earnings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Repurchase of shares</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2020-06</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Balance as of March 31, 2022</w:t>
            </w: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1,125.6</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1,143.6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June 30, 2022</w:t>
            </w: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Balance as of September 30, 2022</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24"/>
                <w:szCs w:val="2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Retained Earnings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Repurchase of shares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March 31, 2023</w:t>
            </w: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1,368.4</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Repurchase of shares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June 30, 2023</w:t>
            </w: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Repurchase of shares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September 30, 2023</w:t>
            </w: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75"/>
        </w:trPr>
        <w:tc>
          <w:tcPr>
            <w:tcW w:w="76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Arial" w:cs="Arial" w:eastAsia="Arial" w:hAnsi="Arial"/>
                <w:sz w:val="18"/>
                <w:szCs w:val="18"/>
                <w:color w:val="auto"/>
              </w:rPr>
              <w:t>Trade accounts receivable, including amounts in settlement assets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 including amounts in settlement assets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Arial" w:cs="Arial" w:eastAsia="Arial" w:hAnsi="Arial"/>
                <w:sz w:val="18"/>
                <w:szCs w:val="18"/>
                <w:color w:val="auto"/>
              </w:rPr>
              <w:t>Trade accounts payable, including amounts in settlement obligations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 including amounts in settlement obligations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76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and proceeds of property and equipment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60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9"/>
        </w:trPr>
        <w:tc>
          <w:tcPr>
            <w:tcW w:w="7680" w:type="dxa"/>
            <w:vAlign w:val="bottom"/>
          </w:tcPr>
          <w:p>
            <w:pPr>
              <w:ind w:left="180"/>
              <w:spacing w:after="0"/>
              <w:rPr>
                <w:sz w:val="20"/>
                <w:szCs w:val="20"/>
                <w:color w:val="auto"/>
              </w:rPr>
            </w:pPr>
            <w:r>
              <w:rPr>
                <w:rFonts w:ascii="Arial" w:cs="Arial" w:eastAsia="Arial" w:hAnsi="Arial"/>
                <w:sz w:val="18"/>
                <w:szCs w:val="18"/>
                <w:color w:val="auto"/>
              </w:rPr>
              <w:t>Borrowings from credit agreements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6,294.1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5,924.1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credit agreements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(5,581.2)</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Net borrowings (repayments) from short-term debt obligations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Increase/(decrease) in cash and cash equivalents and restricted cash</w:t>
            </w: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2,043.3</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0"/>
              <w:spacing w:after="0"/>
              <w:rPr>
                <w:sz w:val="20"/>
                <w:szCs w:val="20"/>
                <w:color w:val="auto"/>
              </w:rPr>
            </w:pPr>
            <w:r>
              <w:rPr>
                <w:rFonts w:ascii="Arial" w:cs="Arial" w:eastAsia="Arial" w:hAnsi="Arial"/>
                <w:sz w:val="18"/>
                <w:szCs w:val="18"/>
                <w:color w:val="auto"/>
              </w:rPr>
              <w:t>Interest paid during the period</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39.2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paid during the period</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Euronet Worldwide, Inc. (the "Company" or "Euronet")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point-of-sale ("POS"), card outsourcing, card issuing and merchant acquiring services, electronic distribution of prepaid mobile airtime and other electronic payment products, and international payment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 December 31, 2022, including the notes thereto, set forth in the Company's 2022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Euronet’s EFT Processing Segment normally experiences its heaviest demand for dynamic currency conversion ("DCC") services during the third quarter of the fiscal year, normally coinciding with the tourism season. The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2020, the Financial Accounting Standards Board ("FASB") issued ASU 2020-06, </w:t>
      </w:r>
      <w:r>
        <w:rPr>
          <w:rFonts w:ascii="Arial" w:cs="Arial" w:eastAsia="Arial" w:hAnsi="Arial"/>
          <w:sz w:val="17"/>
          <w:szCs w:val="17"/>
          <w:i w:val="1"/>
          <w:iCs w:val="1"/>
          <w:color w:val="auto"/>
        </w:rPr>
        <w:t>"Accounting for Convertible Instruments and Contracts in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Entity's Own Equity" </w:t>
      </w:r>
      <w:r>
        <w:rPr>
          <w:rFonts w:ascii="Arial" w:cs="Arial" w:eastAsia="Arial" w:hAnsi="Arial"/>
          <w:sz w:val="17"/>
          <w:szCs w:val="17"/>
          <w:color w:val="auto"/>
        </w:rPr>
        <w:t>which simplifies the accounting for convertible instruments by eliminating certain accounting models when the conversion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The Company adopted this standard on January 1, 2022 using the modified retrospective approach, which resulted in the Company's Convertible Senior Notes Due 2049 being recognized as a single liability. As a result of the adoption of this standard, the Company recorded a $99.7 million decrease to additional paid-in capital, a $56.8 million decrease in debt discounts and a $42.9 million increase in retained earnings. The adoption of this standard also impacted the Company's deferred tax liability by decreasing the Company's deferred tax liability by $15.0 million, decreasing retained earnings by $10.6 million, and increasing additional paid-in capital by $25.6 million. Additionally, the elimination of the treasury stock method increased the number of dilutive shares used in the diluted earnings per share calculation, if dilutive, by 2.8 million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15, 2022, the Company completed the acquisition of the Merchant Acquiring Business of Piraeus Bank ("PBMA"). The acquisition includes 205,000 POS terminals at 170,000 merchants throughout Greece, as well as Piraeus Bank’s online merchant acquiring business and expands Euronet’s omnichannel payments strategy where the Company uses its proprietary technology to provide cash, card-based acquiring solutions, alternative payment acquiring, online acquiring, tokenized payment services and other payment products. Additionally, the acquisition includes a long-term commercial framework agreement between Piraeus Bank and Euronet which includes collaborative product distribution, processing and customer referrals.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purchase price was €317.8 million, or approximately $350.6 million, which includes $331.0 million cash paid at closing, $4.4 million cash paid for surplus working capital and $15.2 million of estimated contingent consideration for a ten-year earn out contingent on performance targets outlined in the commercial framework agreement. The contingent consideration is related to a percentage of the net fee income received during the ten-year period of the commercial framework agreement and there is no contractual maximum amount of consideration under this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has been accounted for as a business combination in accordance with U.S. GAAP and the results of operations have been included from the date of acquisition in the EFT Processing Segment.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the final fair value that was allocated to PBMA's Euronet Merchant Services' (EMS) assets and liabilities based upon fair values as determined by the Company. The valuation process to determine the fair values is complete. For the year ended December 31, 2022, the Company made measurement period adjustments to reflect facts and circumstances in existence as of the effective time of the acquisition. These adjustments primarily included an adjustment to the accrued expenses and other current liabilities related to the surplus working capital of $4.4 million and some other immaterial adjustments.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9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As of March 15,</w:t>
            </w:r>
          </w:p>
        </w:tc>
      </w:tr>
      <w:tr>
        <w:trPr>
          <w:trHeight w:val="228"/>
        </w:trPr>
        <w:tc>
          <w:tcPr>
            <w:tcW w:w="9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9"/>
                <w:szCs w:val="19"/>
                <w:color w:val="auto"/>
              </w:rPr>
            </w:pPr>
          </w:p>
        </w:tc>
        <w:tc>
          <w:tcPr>
            <w:tcW w:w="11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Settlement assets</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122.5</w:t>
            </w:r>
          </w:p>
        </w:tc>
        <w:tc>
          <w:tcPr>
            <w:tcW w:w="80" w:type="dxa"/>
            <w:vAlign w:val="bottom"/>
          </w:tcPr>
          <w:p>
            <w:pPr>
              <w:spacing w:after="0"/>
              <w:rPr>
                <w:sz w:val="18"/>
                <w:szCs w:val="18"/>
                <w:color w:val="auto"/>
              </w:rPr>
            </w:pPr>
          </w:p>
        </w:tc>
      </w:tr>
      <w:tr>
        <w:trPr>
          <w:trHeight w:val="209"/>
        </w:trPr>
        <w:tc>
          <w:tcPr>
            <w:tcW w:w="9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Settlement liabilities</w:t>
            </w: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(65.9)</w:t>
            </w: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10"/>
        </w:trPr>
        <w:tc>
          <w:tcPr>
            <w:tcW w:w="9900" w:type="dxa"/>
            <w:vAlign w:val="bottom"/>
            <w:gridSpan w:val="2"/>
          </w:tcPr>
          <w:p>
            <w:pPr>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212.7</w:t>
            </w:r>
          </w:p>
        </w:tc>
        <w:tc>
          <w:tcPr>
            <w:tcW w:w="8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990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measurements of intangible assets were based on significant inputs not observable in the market and represent Level 3 measurements within the fair value hierarchy. Level 3 inputs include discount rates that would be used by a market participant in valuing these assets, projections of revenues and cash flows, and customer attrition rates, among others.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acquired a customer relationship intangible asset with a fair value of $112.2 million that is being amortized on a straight-line basis over 15 years and a contract related intangible asset of $10.3 million that is being amortized on a straight-line basis over 10 years.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with a value of $212.7 million, arising from the acquisition was included in the EFT Processing Segment. The factors that make up goodwill include synergies from combining PBMA operations and intangible assets that do not qualify for separate recognition. Goodwill and intangible assets associated with this acquisition are deductible for tax purposes.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PBMA operations are included in the Company's consolidated results of operation, as part of the EFT Processing business segment, beginning on March 16, 2022. For the period beginning on the acquisition date through September 30, 2022, PBMA had $63.8 million in revenue. PBMA had $42.3 million and $98.5 million in revenue for the three and nine months ended September 30, 2023. The PBMA business is impacted by higher transaction volumes during the tourism season in the second and third quarters.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SETTLEMENT ASSETS AND OBLIGATIONS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both"/>
        <w:spacing w:after="0" w:line="301" w:lineRule="auto"/>
        <w:rPr>
          <w:sz w:val="20"/>
          <w:szCs w:val="20"/>
          <w:color w:val="auto"/>
        </w:rPr>
      </w:pPr>
      <w:r>
        <w:rPr>
          <w:rFonts w:ascii="Arial" w:cs="Arial" w:eastAsia="Arial" w:hAnsi="Arial"/>
          <w:sz w:val="16"/>
          <w:szCs w:val="16"/>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8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1"/>
                <w:szCs w:val="11"/>
                <w:color w:val="auto"/>
              </w:rPr>
            </w:pPr>
          </w:p>
        </w:tc>
        <w:tc>
          <w:tcPr>
            <w:tcW w:w="110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gridSpan w:val="2"/>
          </w:tcPr>
          <w:p>
            <w:pPr>
              <w:spacing w:after="0"/>
              <w:rPr>
                <w:sz w:val="11"/>
                <w:szCs w:val="11"/>
                <w:color w:val="auto"/>
              </w:rPr>
            </w:pPr>
          </w:p>
        </w:tc>
      </w:tr>
      <w:tr>
        <w:trPr>
          <w:trHeight w:val="171"/>
        </w:trPr>
        <w:tc>
          <w:tcPr>
            <w:tcW w:w="8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100" w:type="dxa"/>
            <w:vAlign w:val="bottom"/>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Settlement assets: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Settlement 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242.6</w:t>
            </w: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 restricted cash</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credit losses of $39.4 and $33.0</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690.9</w:t>
            </w:r>
          </w:p>
        </w:tc>
        <w:tc>
          <w:tcPr>
            <w:tcW w:w="14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887.6</w:t>
            </w: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200.1</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218.5</w:t>
            </w:r>
          </w:p>
        </w:tc>
      </w:tr>
      <w:tr>
        <w:trPr>
          <w:trHeight w:val="263"/>
        </w:trPr>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settlement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1,242.3</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10"/>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obligations: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Trade account payables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655.1</w:t>
            </w: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777.3</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787.6</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 settlement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5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1"/>
                <w:szCs w:val="11"/>
                <w:color w:val="auto"/>
              </w:rPr>
            </w:pPr>
          </w:p>
        </w:tc>
        <w:tc>
          <w:tcPr>
            <w:tcW w:w="130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1"/>
                <w:szCs w:val="11"/>
                <w:color w:val="auto"/>
              </w:rPr>
            </w:pPr>
          </w:p>
        </w:tc>
        <w:tc>
          <w:tcPr>
            <w:tcW w:w="130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gridSpan w:val="2"/>
          </w:tcPr>
          <w:p>
            <w:pPr>
              <w:spacing w:after="0"/>
              <w:rPr>
                <w:sz w:val="11"/>
                <w:szCs w:val="11"/>
                <w:color w:val="auto"/>
              </w:rPr>
            </w:pPr>
          </w:p>
        </w:tc>
      </w:tr>
      <w:tr>
        <w:trPr>
          <w:trHeight w:val="171"/>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ATM cash</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603.5</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515.6</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543.4</w:t>
            </w:r>
          </w:p>
        </w:tc>
        <w:tc>
          <w:tcPr>
            <w:tcW w:w="80" w:type="dxa"/>
            <w:vAlign w:val="bottom"/>
            <w:shd w:val="clear" w:color="auto" w:fill="CCEEFF"/>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Settlement cash and cash equivalents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274.9</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242.6</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203.6</w:t>
            </w:r>
          </w:p>
        </w:tc>
        <w:tc>
          <w:tcPr>
            <w:tcW w:w="80" w:type="dxa"/>
            <w:vAlign w:val="bottom"/>
          </w:tcPr>
          <w:p>
            <w:pPr>
              <w:spacing w:after="0"/>
              <w:rPr>
                <w:sz w:val="19"/>
                <w:szCs w:val="19"/>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Settlement restricted cash</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provides the computation of diluted earnings and diluted weighted average number of common shares outstanding: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520" w:type="dxa"/>
            <w:vAlign w:val="bottom"/>
            <w:gridSpan w:val="6"/>
          </w:tcPr>
          <w:p>
            <w:pPr>
              <w:ind w:left="5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5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earnings: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104.2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97.8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c>
          <w:tcPr>
            <w:tcW w:w="80" w:type="dxa"/>
            <w:vAlign w:val="bottom"/>
          </w:tcPr>
          <w:p>
            <w:pPr>
              <w:spacing w:after="0"/>
              <w:rPr>
                <w:sz w:val="19"/>
                <w:szCs w:val="19"/>
                <w:color w:val="auto"/>
              </w:rPr>
            </w:pPr>
          </w:p>
        </w:tc>
      </w:tr>
      <w:tr>
        <w:trPr>
          <w:trHeight w:val="215"/>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Add: Interest expense from assumed conversion of convertible notes, net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r>
      <w:tr>
        <w:trPr>
          <w:trHeight w:val="223"/>
        </w:trPr>
        <w:tc>
          <w:tcPr>
            <w:tcW w:w="5520" w:type="dxa"/>
            <w:vAlign w:val="bottom"/>
          </w:tcPr>
          <w:p>
            <w:pPr>
              <w:ind w:left="280"/>
              <w:spacing w:after="0"/>
              <w:rPr>
                <w:sz w:val="20"/>
                <w:szCs w:val="20"/>
                <w:color w:val="auto"/>
              </w:rPr>
            </w:pPr>
            <w:r>
              <w:rPr>
                <w:rFonts w:ascii="Arial" w:cs="Arial" w:eastAsia="Arial" w:hAnsi="Arial"/>
                <w:sz w:val="18"/>
                <w:szCs w:val="18"/>
                <w:color w:val="auto"/>
              </w:rPr>
              <w:t>Net income for diluted earnings per share calculation</w:t>
            </w: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9"/>
                <w:szCs w:val="19"/>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48,406,473</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49,583,317</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49,285,143</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50,345,293</w:t>
            </w:r>
          </w:p>
        </w:tc>
        <w:tc>
          <w:tcPr>
            <w:tcW w:w="80" w:type="dxa"/>
            <w:vAlign w:val="bottom"/>
            <w:shd w:val="clear" w:color="auto" w:fill="CCEEFF"/>
          </w:tcPr>
          <w:p>
            <w:pPr>
              <w:spacing w:after="0"/>
              <w:rPr>
                <w:sz w:val="19"/>
                <w:szCs w:val="19"/>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w w:val="93"/>
              </w:rPr>
              <w:t>Incremental shares from assumed exercise of stock options and vesting of</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282,312</w:t>
            </w:r>
          </w:p>
        </w:tc>
        <w:tc>
          <w:tcPr>
            <w:tcW w:w="3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386,169</w:t>
            </w: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379,331</w:t>
            </w:r>
          </w:p>
        </w:tc>
        <w:tc>
          <w:tcPr>
            <w:tcW w:w="4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561,689</w:t>
            </w:r>
          </w:p>
        </w:tc>
        <w:tc>
          <w:tcPr>
            <w:tcW w:w="80" w:type="dxa"/>
            <w:vAlign w:val="bottom"/>
          </w:tcPr>
          <w:p>
            <w:pPr>
              <w:spacing w:after="0"/>
              <w:rPr>
                <w:sz w:val="20"/>
                <w:szCs w:val="20"/>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Incremental shares from assumed conversion of convertible debt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2,781,818</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2,781,818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2,781,818</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2,781,818</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51,470,603</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52,751,304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52,446,292</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53,688,800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table includes all stock options and restricted stock units that are dilutive to the Company's weighted average common shares outstanding during the period. The calculation of diluted earnings per share excludes stock options or shares of restricted stock units that are anti-dilutive to the Company's weighted average common shares outstanding of approximately 3.6 million and 2.7 million for the three and nine months ended September 30, 2023 and 3.3 million and 2.8 million for the three and nine months ended September 30, 2022, respectively.</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Euronet issued Convertible Senior Notes ("Convertible Notes") due March 2049 on March 18, 2019. 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The Company has stated its intent to settle any conversion of these notes by paying cash for the principal value and issuing common stock for any conversion premium; however, after adopting ASU 2020-06, 2.8 million incremental shares assumed for conversion of convertible notes is required to be included in the dilutive earnings per share calculation, if dilutive, regardless of whether the market price trigger has been met. Therefore, the Convertible Notes were included in the calculation of diluted earnings per share if their inclusion was dilutive. The dilutive effect increases the more the market price exceeds the conversion price of $188.73 per share. See Note 9, Debt Obligations, to the consolidated financial statements for more information about the Convertible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8, 2021, the Company put a repurchase program in place to repurchase up to $300 million in value, but not more than 5.0 million shares of common stock through December 8, 2023. On September 13, 2022, the Company put a repurchase program in place to repurchase up to $350 million in value, but not more than 7.0 million shares of common stock through September 13, 2024. On September 13, 2023, the Company put a repurchase program in place to repurchase up to $350 million in value, but not more than 7.0 million shares of common stock through September 13, 2025. Under the repurchase programs, we repurchased $296.1 million and $324.5 million of stock, for the three and nine months ended September 30, 2023 and we repurchased $175.0 million of stock for the nine months ended September 30, 2022. We did not repurchase any stock during the three months ended September 30, 2022. Repurchases under the current program may take place in the open market or in privately negotiated transactions, including derivative transactions, and may be made under a Rule 10b5-1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Accumulated other comprehensive loss consists entirely of foreign currency translation adjustments. The Company recorded foreign currency translation adjustments of ($61.0) million and ($30.1) million for the three and nine months ended September 30, 2023 and ($100.5) million and ($209.9) million for the three and nine months ended September 30, 2022, respectively. There were no reclassifications of foreign currency translation adjustments into the consolidated statements of income for the three and nine months ended September 30, 2023 and 2022.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GOODWILL AND ACQUIRED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 months ended September 30, 2023 is presented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Acquired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Goodwill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2022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0"/>
              <w:spacing w:after="0"/>
              <w:rPr>
                <w:sz w:val="20"/>
                <w:szCs w:val="20"/>
                <w:color w:val="auto"/>
              </w:rPr>
            </w:pPr>
            <w:r>
              <w:rPr>
                <w:rFonts w:ascii="Arial" w:cs="Arial" w:eastAsia="Arial" w:hAnsi="Arial"/>
                <w:sz w:val="18"/>
                <w:szCs w:val="18"/>
                <w:color w:val="auto"/>
              </w:rPr>
              <w:t>Increases (decreases):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6860" w:type="dxa"/>
            <w:vAlign w:val="bottom"/>
          </w:tcPr>
          <w:p>
            <w:pPr>
              <w:ind w:left="40"/>
              <w:spacing w:after="0"/>
              <w:rPr>
                <w:sz w:val="20"/>
                <w:szCs w:val="20"/>
                <w:color w:val="auto"/>
              </w:rPr>
            </w:pPr>
            <w:r>
              <w:rPr>
                <w:rFonts w:ascii="Arial" w:cs="Arial" w:eastAsia="Arial" w:hAnsi="Arial"/>
                <w:sz w:val="18"/>
                <w:szCs w:val="18"/>
                <w:color w:val="auto"/>
              </w:rPr>
              <w:t>Balance as of September 30, 2023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total goodwill balance of $817.8 million as of September 30, 2023, $378.2 million relates to the Money Transfer Segment, $317.9 million relates to the EFT Processing Segment and the remaining $121.7 million relates to the epay Segment. Estimated amortization expense on acquired intangible assets with finite lives as of September 30, 2023, is expected to total $5.3 million for the remainder of 2023, $17.5 million for 2024, $14.2 million for 2025, $13.9 million for 2026, $12.6 million for 2027 and $12.2 million for 2028.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September 30,</w:t>
            </w:r>
          </w:p>
        </w:tc>
        <w:tc>
          <w:tcPr>
            <w:tcW w:w="1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100" w:type="dxa"/>
            <w:vAlign w:val="bottom"/>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tax payables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Accrued payroll expenses</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REVENUES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records deferred revenues when cash payments are received or due in advance of the Company's performance. The decrease in the deferred revenue balance for the nine months ended September 30, 2023 is the result of $134.4 million of cash payments received in the current year for which the Company has not yet satisfied the performance obligations, offset by $145.1 million of revenues recognized.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50"/>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2023</w:t>
            </w:r>
          </w:p>
        </w:tc>
        <w:tc>
          <w:tcPr>
            <w:tcW w:w="1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December 31, 2022</w:t>
            </w:r>
          </w:p>
        </w:tc>
      </w:tr>
      <w:tr>
        <w:trPr>
          <w:trHeight w:val="210"/>
        </w:trPr>
        <w:tc>
          <w:tcPr>
            <w:tcW w:w="8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Revolving credit agreement</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454.8</w:t>
            </w:r>
          </w:p>
        </w:tc>
      </w:tr>
      <w:tr>
        <w:trPr>
          <w:trHeight w:val="21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0.75% Convertible Notes, unsecured, due 2049</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525.0</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1.375% Senior Notes, due 2026</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642.1</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Uncommitted credit agreements</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8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debt obligations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gridSpan w:val="2"/>
            <w:shd w:val="clear" w:color="auto" w:fill="CCEEFF"/>
          </w:tcPr>
          <w:p>
            <w:pPr>
              <w:spacing w:after="0"/>
              <w:rPr>
                <w:sz w:val="18"/>
                <w:szCs w:val="18"/>
                <w:color w:val="auto"/>
              </w:rPr>
            </w:pPr>
          </w:p>
        </w:tc>
      </w:tr>
      <w:tr>
        <w:trPr>
          <w:trHeight w:val="21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Carrying value of debt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09"/>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24, 2022, the Company amended its revolving credit agreement (the “Credit Facility”) to increase the facility from $1.03 billion to $1.25 billion and to extend the expiration to October 24, 2027.</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revolving credit facility contains a sublimit of up to $250 million, with $150 million committed, for the issuance of letters of credit and a $75 million sublimit for U.S. dollar swingline loans and a $75 million sublimit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 The Company was in compliance with all debt covenants as of September 30, 2023.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may redeem for cash all or any portion of the Convertible Notes, at its option, (i) if the closing sale price of the Company's Common Stock has been at least 130 %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As of September 30, 2023, the conversion threshold was not met. Contractual interest expense for the Convertible Notes was $1.0 million and $2.9 million for the three and nine months ended September 30, 2023, respectively. Contractual interest expense for the Convertible Notes was $4.0 million and $9.0 million for the three and nine months ended September 30, 2022,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1.375% Senior Notes due 2026</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are due in May 2026 (the “Senior Notes”). The Senior Notes accrue interest at a rate of 1.375% per year, payable annually in arrears commencing May 22, 2020, until maturity or earlier redemption. As of September 30, 2023, the Company has outstanding €600 million ($634.2 million) principal amount of the Senior Notes. In addition, the Company may redeem some or all of these notes on or after February 22, 2026 at their principal amount plus any accrued and unpaid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Uncommitted Credit Agreements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27, 2023, the Company entered into an Uncommitted Credit Agreement for $300 million, fully drawn and outstanding at September 30, 2023, for the sole purpose of providing vault cash for ATMs, that expires no later than November 30, 2023. The loan bears interest at the rate per annum equal to the secured overnight financing rate (“SOFR”) plus 1.125%. The weighted-average interest rate from the loan inception date to September 30, 2023 was 6.33%.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26, 2023, the Company entered into an Uncommitted Loan Agreement for $150 million, fully drawn and outstanding at September 30, 2023, for the sole purpose of providing vault cash for ATMs, that expires no later than June 21, 2024. The loan is a Prime rate loan, a Bloomberg Short-term Bank Yield ("BSBY") rate loan plus 0.95% or bears interest at the rate agreed to by the Bank and the Company at the time such loan is made. The weighted-average interest rate from the loan inception date to September 30, 2023 was 6.24%.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Other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the Company's subsidiaries have available lines of credit and overdraft credit facilities that generally provide for short-term borrowings that are used from time to time for working capital purposes. As of September 30, 2023 and December 31, 2022, borrowings under these arrangements were $0.2 million each.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September 30, 2023, the Company had unamortized debt issuance costs of $3.4 million for the Credit Facility, $3.2 million for the Convertible Notes and $3.2 million for the Senior Notes that will be amortized through October 2027, March 2025 and May 2026,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$426.0 million and $398.6 million as of September 30, 2023 and December 31, 2022, respectively. The foreign currency forward contracts consist primarily in Australian dollars, Canadian dollars, British pounds sterling, euros and Mexican pesos.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$325.5 million and $228.4 million as of September 30, 2023 and December 31, 2022, respectively, primarily in euro.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$22.2 million and $63.8 million for the three and nine months ended September 30, 2023, respectively, and $22.3 million and $66.5 million for the same periods in 2022, respectively. All of the derivative contracts used in the Company's xe operations are economic hedges and are not designated as hedges under ASC 815. The duration of these derivative contracts is generally less than one year.</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equivalent U.S. dollar notional amount of foreign currency derivative customer contracts held by the Company in its xe operations as of September 30, 2023 and December 31, 2022 was $1.0 billion and $1.0 billion, respectively. The significant majority of customer contracts are written in major currencies such as the euro, U.S. dollar, British pounds sterling, Australian dollar and New Zealand dollar.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tcBorders>
              <w:bottom w:val="single" w:sz="8" w:color="auto"/>
            </w:tcBorders>
            <w:gridSpan w:val="4"/>
          </w:tcPr>
          <w:p>
            <w:pPr>
              <w:ind w:left="1400"/>
              <w:spacing w:after="0"/>
              <w:rPr>
                <w:sz w:val="20"/>
                <w:szCs w:val="20"/>
                <w:color w:val="auto"/>
              </w:rPr>
            </w:pPr>
            <w:r>
              <w:rPr>
                <w:rFonts w:ascii="Arial" w:cs="Arial" w:eastAsia="Arial" w:hAnsi="Arial"/>
                <w:sz w:val="14"/>
                <w:szCs w:val="14"/>
                <w:b w:val="1"/>
                <w:bCs w:val="1"/>
                <w:color w:val="auto"/>
              </w:rPr>
              <w:t>Asset Derivatives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360" w:type="dxa"/>
            <w:vAlign w:val="bottom"/>
            <w:tcBorders>
              <w:bottom w:val="single" w:sz="8" w:color="auto"/>
            </w:tcBorders>
            <w:gridSpan w:val="5"/>
          </w:tcPr>
          <w:p>
            <w:pPr>
              <w:ind w:left="158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5"/>
          </w:tcPr>
          <w:p>
            <w:pPr>
              <w:ind w:left="500"/>
              <w:spacing w:after="0"/>
              <w:rPr>
                <w:sz w:val="20"/>
                <w:szCs w:val="20"/>
                <w:color w:val="auto"/>
              </w:rPr>
            </w:pPr>
            <w:r>
              <w:rPr>
                <w:rFonts w:ascii="Arial" w:cs="Arial" w:eastAsia="Arial" w:hAnsi="Arial"/>
                <w:sz w:val="14"/>
                <w:szCs w:val="14"/>
                <w:b w:val="1"/>
                <w:bCs w:val="1"/>
                <w:color w:val="auto"/>
              </w:rPr>
              <w:t>Fair Value</w:t>
            </w: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right"/>
              <w:ind w:right="68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Sheet Location</w:t>
            </w:r>
          </w:p>
        </w:tc>
        <w:tc>
          <w:tcPr>
            <w:tcW w:w="10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22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Balance Sheet Location</w:t>
            </w:r>
          </w:p>
        </w:tc>
        <w:tc>
          <w:tcPr>
            <w:tcW w:w="110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29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2860" w:type="dxa"/>
            <w:vAlign w:val="bottom"/>
            <w:tcBorders>
              <w:top w:val="single" w:sz="8" w:color="auto"/>
            </w:tcBorders>
            <w:shd w:val="clear" w:color="auto" w:fill="CCEEFF"/>
          </w:tcPr>
          <w:p>
            <w:pPr>
              <w:ind w:left="40"/>
              <w:spacing w:after="0" w:line="191" w:lineRule="exact"/>
              <w:rPr>
                <w:sz w:val="20"/>
                <w:szCs w:val="20"/>
                <w:color w:val="auto"/>
              </w:rPr>
            </w:pPr>
            <w:r>
              <w:rPr>
                <w:rFonts w:ascii="Arial" w:cs="Arial" w:eastAsia="Arial" w:hAnsi="Arial"/>
                <w:sz w:val="18"/>
                <w:szCs w:val="18"/>
                <w:b w:val="1"/>
                <w:bCs w:val="1"/>
                <w:color w:val="auto"/>
              </w:rPr>
              <w:t>Derivatives not designated as</w:t>
            </w:r>
          </w:p>
        </w:tc>
        <w:tc>
          <w:tcPr>
            <w:tcW w:w="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hedging instruments</w:t>
            </w:r>
          </w:p>
        </w:tc>
        <w:tc>
          <w:tcPr>
            <w:tcW w:w="1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w w:val="91"/>
              </w:rPr>
              <w:t>Foreign currency exchange contracts</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w w:val="95"/>
              </w:rPr>
              <w:t>Other current assets</w:t>
            </w:r>
          </w:p>
        </w:tc>
        <w:tc>
          <w:tcPr>
            <w:tcW w:w="240" w:type="dxa"/>
            <w:vAlign w:val="bottom"/>
          </w:tcPr>
          <w:p>
            <w:pPr>
              <w:jc w:val="right"/>
              <w:ind w:right="6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43.6</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20"/>
                <w:szCs w:val="20"/>
                <w:color w:val="auto"/>
              </w:rPr>
            </w:pPr>
          </w:p>
        </w:tc>
        <w:tc>
          <w:tcPr>
            <w:tcW w:w="22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Other current liabilities</w:t>
            </w:r>
          </w:p>
        </w:tc>
        <w:tc>
          <w:tcPr>
            <w:tcW w:w="240" w:type="dxa"/>
            <w:vAlign w:val="bottom"/>
          </w:tcPr>
          <w:p>
            <w:pPr>
              <w:jc w:val="right"/>
              <w:ind w:right="6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(39.2)</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gross and net fair value of derivative assets and liabilities as of September 30, 2023 and December 31, 2022 (in millions):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4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Net Amounts</w:t>
            </w: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Derivatives Not Offset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0"/>
              </w:rPr>
              <w:t>Gross Amounts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3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September 30, 2023</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14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80" w:type="dxa"/>
            <w:vAlign w:val="bottom"/>
          </w:tcPr>
          <w:p>
            <w:pPr>
              <w:spacing w:after="0"/>
              <w:rPr>
                <w:sz w:val="12"/>
                <w:szCs w:val="12"/>
                <w:color w:val="auto"/>
              </w:rPr>
            </w:pPr>
          </w:p>
        </w:tc>
        <w:tc>
          <w:tcPr>
            <w:tcW w:w="130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0"/>
              </w:rPr>
              <w:t>in the Consolidated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9"/>
              <w:spacing w:after="0"/>
              <w:rPr>
                <w:sz w:val="20"/>
                <w:szCs w:val="20"/>
                <w:color w:val="auto"/>
              </w:rPr>
            </w:pPr>
            <w:r>
              <w:rPr>
                <w:rFonts w:ascii="Arial" w:cs="Arial" w:eastAsia="Arial" w:hAnsi="Arial"/>
                <w:sz w:val="14"/>
                <w:szCs w:val="14"/>
                <w:b w:val="1"/>
                <w:bCs w:val="1"/>
                <w:color w:val="auto"/>
                <w:w w:val="85"/>
              </w:rPr>
              <w:t>Recognized Assets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Sheet</w:t>
            </w:r>
          </w:p>
        </w:tc>
        <w:tc>
          <w:tcPr>
            <w:tcW w:w="14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Sheet</w:t>
            </w:r>
          </w:p>
        </w:tc>
        <w:tc>
          <w:tcPr>
            <w:tcW w:w="80" w:type="dxa"/>
            <w:vAlign w:val="bottom"/>
          </w:tcPr>
          <w:p>
            <w:pPr>
              <w:spacing w:after="0"/>
              <w:rPr>
                <w:sz w:val="14"/>
                <w:szCs w:val="14"/>
                <w:color w:val="auto"/>
              </w:rPr>
            </w:pPr>
          </w:p>
        </w:tc>
        <w:tc>
          <w:tcPr>
            <w:tcW w:w="1300" w:type="dxa"/>
            <w:vAlign w:val="bottom"/>
          </w:tcPr>
          <w:p>
            <w:pPr>
              <w:jc w:val="right"/>
              <w:ind w:right="179"/>
              <w:spacing w:after="0"/>
              <w:rPr>
                <w:sz w:val="20"/>
                <w:szCs w:val="20"/>
                <w:color w:val="auto"/>
              </w:rPr>
            </w:pPr>
            <w:r>
              <w:rPr>
                <w:rFonts w:ascii="Arial" w:cs="Arial" w:eastAsia="Arial" w:hAnsi="Arial"/>
                <w:sz w:val="14"/>
                <w:szCs w:val="14"/>
                <w:b w:val="1"/>
                <w:bCs w:val="1"/>
                <w:color w:val="auto"/>
              </w:rPr>
              <w:t>Balance Sheet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2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w w:val="93"/>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351"/>
        </w:trPr>
        <w:tc>
          <w:tcPr>
            <w:tcW w:w="41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2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w w:val="93"/>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89"/>
              </w:rPr>
              <w:t>16</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Offsetting of Derivative Liabilities</w:t>
      </w: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Net Amounts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Amounts of</w:t>
            </w: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September 30, 2023</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4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180" w:type="dxa"/>
            <w:vAlign w:val="bottom"/>
          </w:tcPr>
          <w:p>
            <w:pPr>
              <w:spacing w:after="0"/>
              <w:rPr>
                <w:sz w:val="12"/>
                <w:szCs w:val="12"/>
                <w:color w:val="auto"/>
              </w:rPr>
            </w:pPr>
          </w:p>
        </w:tc>
        <w:tc>
          <w:tcPr>
            <w:tcW w:w="12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Recognized Liabilities</w:t>
            </w:r>
          </w:p>
        </w:tc>
        <w:tc>
          <w:tcPr>
            <w:tcW w:w="140" w:type="dxa"/>
            <w:vAlign w:val="bottom"/>
          </w:tcPr>
          <w:p>
            <w:pPr>
              <w:spacing w:after="0"/>
              <w:rPr>
                <w:sz w:val="14"/>
                <w:szCs w:val="14"/>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b w:val="1"/>
                <w:bCs w:val="1"/>
                <w:color w:val="auto"/>
                <w:w w:val="83"/>
              </w:rPr>
              <w:t>Sheet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2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w w:val="93"/>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500"/>
        </w:trPr>
        <w:tc>
          <w:tcPr>
            <w:tcW w:w="41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2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w w:val="93"/>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location and amount of losses on derivatives in the Consolidated Statements of Income for the three and nine months ended September 30, 2023 and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rPr>
              <w:t>Amount of (Loss) Recognized in Income on Derivative Contracts (a)</w:t>
            </w: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40" w:type="dxa"/>
            <w:vAlign w:val="bottom"/>
            <w:gridSpan w:val="5"/>
          </w:tcPr>
          <w:p>
            <w:pPr>
              <w:jc w:val="center"/>
              <w:ind w:right="340"/>
              <w:spacing w:after="0" w:line="119" w:lineRule="exact"/>
              <w:rPr>
                <w:sz w:val="20"/>
                <w:szCs w:val="20"/>
                <w:color w:val="auto"/>
              </w:rPr>
            </w:pPr>
            <w:r>
              <w:rPr>
                <w:rFonts w:ascii="Arial" w:cs="Arial" w:eastAsia="Arial" w:hAnsi="Arial"/>
                <w:sz w:val="13"/>
                <w:szCs w:val="13"/>
                <w:b w:val="1"/>
                <w:bCs w:val="1"/>
                <w:color w:val="auto"/>
              </w:rPr>
              <w:t>Three Months Ended</w:t>
            </w:r>
          </w:p>
        </w:tc>
        <w:tc>
          <w:tcPr>
            <w:tcW w:w="300" w:type="dxa"/>
            <w:vAlign w:val="bottom"/>
          </w:tcPr>
          <w:p>
            <w:pPr>
              <w:spacing w:after="0"/>
              <w:rPr>
                <w:sz w:val="10"/>
                <w:szCs w:val="10"/>
                <w:color w:val="auto"/>
              </w:rPr>
            </w:pPr>
          </w:p>
        </w:tc>
        <w:tc>
          <w:tcPr>
            <w:tcW w:w="2300" w:type="dxa"/>
            <w:vAlign w:val="bottom"/>
            <w:gridSpan w:val="4"/>
          </w:tcPr>
          <w:p>
            <w:pPr>
              <w:jc w:val="center"/>
              <w:ind w:right="279"/>
              <w:spacing w:after="0" w:line="119" w:lineRule="exact"/>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Location of Gain (Loss) Recognized in Income</w:t>
            </w: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45"/>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line="20" w:lineRule="exact"/>
              <w:rPr>
                <w:sz w:val="1"/>
                <w:szCs w:val="1"/>
                <w:color w:val="auto"/>
              </w:rPr>
            </w:pPr>
          </w:p>
        </w:tc>
      </w:tr>
      <w:tr>
        <w:trPr>
          <w:trHeight w:val="171"/>
        </w:trPr>
        <w:tc>
          <w:tcPr>
            <w:tcW w:w="29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4"/>
                <w:szCs w:val="14"/>
                <w:color w:val="auto"/>
              </w:rPr>
            </w:pPr>
          </w:p>
        </w:tc>
        <w:tc>
          <w:tcPr>
            <w:tcW w:w="3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on Derivative Contracts</w:t>
            </w:r>
          </w:p>
        </w:tc>
        <w:tc>
          <w:tcPr>
            <w:tcW w:w="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2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w w:val="93"/>
              </w:rPr>
              <w:t>Foreign currency exchange contracts -</w:t>
            </w:r>
          </w:p>
        </w:tc>
        <w:tc>
          <w:tcPr>
            <w:tcW w:w="80" w:type="dxa"/>
            <w:vAlign w:val="bottom"/>
            <w:tcBorders>
              <w:top w:val="single" w:sz="8" w:color="CCEEFF"/>
            </w:tcBorders>
            <w:shd w:val="clear" w:color="auto" w:fill="CCEEFF"/>
          </w:tcPr>
          <w:p>
            <w:pPr>
              <w:spacing w:after="0"/>
              <w:rPr>
                <w:sz w:val="16"/>
                <w:szCs w:val="16"/>
                <w:color w:val="auto"/>
              </w:rPr>
            </w:pPr>
          </w:p>
        </w:tc>
        <w:tc>
          <w:tcPr>
            <w:tcW w:w="2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Ria Operations</w:t>
            </w:r>
          </w:p>
        </w:tc>
        <w:tc>
          <w:tcPr>
            <w:tcW w:w="80" w:type="dxa"/>
            <w:vAlign w:val="bottom"/>
            <w:shd w:val="clear" w:color="auto" w:fill="CCEEFF"/>
          </w:tcPr>
          <w:p>
            <w:pPr>
              <w:spacing w:after="0"/>
              <w:rPr>
                <w:sz w:val="20"/>
                <w:szCs w:val="20"/>
                <w:color w:val="auto"/>
              </w:rPr>
            </w:pPr>
          </w:p>
        </w:tc>
        <w:tc>
          <w:tcPr>
            <w:tcW w:w="3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Foreign currency exchange (loss), net  $</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(6.9)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63" w:lineRule="auto"/>
        <w:tabs>
          <w:tab w:leader="none" w:pos="2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right="20"/>
        <w:spacing w:after="0" w:line="250" w:lineRule="auto"/>
        <w:rPr>
          <w:sz w:val="20"/>
          <w:szCs w:val="20"/>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60" w:lineRule="auto"/>
        <w:rPr>
          <w:sz w:val="20"/>
          <w:szCs w:val="20"/>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0"/>
              </w:rPr>
              <w:t>As of September 30, 2023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80" w:type="dxa"/>
            <w:vAlign w:val="bottom"/>
          </w:tcPr>
          <w:p>
            <w:pPr>
              <w:spacing w:after="0"/>
              <w:rPr>
                <w:sz w:val="12"/>
                <w:szCs w:val="12"/>
                <w:color w:val="auto"/>
              </w:rPr>
            </w:pP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Classification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0"/>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480"/>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0"/>
              </w:rPr>
              <w:t>As of December 31, 2022</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80" w:type="dxa"/>
            <w:vAlign w:val="bottom"/>
          </w:tcPr>
          <w:p>
            <w:pPr>
              <w:spacing w:after="0"/>
              <w:rPr>
                <w:sz w:val="12"/>
                <w:szCs w:val="12"/>
                <w:color w:val="auto"/>
              </w:rPr>
            </w:pPr>
          </w:p>
        </w:tc>
        <w:tc>
          <w:tcPr>
            <w:tcW w:w="10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0"/>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as of September 30, 2023 was based on SOFR that resets at various intervals of less than one year. The Company estimates the fair value of the Convertible Notes and Senior Notes using quoted prices in inactive markets for identical liabilities (Level 2). </w:t>
      </w:r>
      <w:r>
        <w:rPr>
          <w:rFonts w:ascii="Arial" w:cs="Arial" w:eastAsia="Arial" w:hAnsi="Arial"/>
          <w:sz w:val="18"/>
          <w:szCs w:val="18"/>
          <w:color w:val="252525"/>
        </w:rPr>
        <w:t>As of September 30, 2023,</w:t>
      </w:r>
      <w:r>
        <w:rPr>
          <w:rFonts w:ascii="Arial" w:cs="Arial" w:eastAsia="Arial" w:hAnsi="Arial"/>
          <w:sz w:val="18"/>
          <w:szCs w:val="18"/>
          <w:color w:val="auto"/>
        </w:rPr>
        <w:t xml:space="preserve"> the fair values of the Convertible Notes and Senior Notes were $498.5 million and $571.8 million, respectively, with carrying values of $525.0 million and $634.2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170" w:lineRule="exact"/>
        <w:rPr>
          <w:sz w:val="20"/>
          <w:szCs w:val="20"/>
          <w:color w:val="auto"/>
        </w:rPr>
      </w:pPr>
    </w:p>
    <w:p>
      <w:pPr>
        <w:jc w:val="both"/>
        <w:ind w:firstLine="278"/>
        <w:spacing w:after="0" w:line="275" w:lineRule="auto"/>
        <w:tabs>
          <w:tab w:leader="none" w:pos="47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EFT Processing Segment, the Company processes transactions for a network of ATMs and POS terminals across Europe, the Middle East, Africa, Asia Pacific and the United States. Euronet provides comprehensive electronic payment solutions consisting of ATM cash withdrawal and deposit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0" w:name="page21"/>
    <w:bookmarkEnd w:id="20"/>
    <w:p>
      <w:pPr>
        <w:jc w:val="both"/>
        <w:ind w:firstLine="278"/>
        <w:spacing w:after="0" w:line="263" w:lineRule="auto"/>
        <w:tabs>
          <w:tab w:leader="none" w:pos="47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epay Segment, Euronet provides distribution, processing and collection services for electronic payment products, and prepaid mobile airtime through a network of POS terminals in Europe, the Middle East, Asia Pacific, South America and North America. The epay Segment also provides vouchers and physical gift fulfillment services in Europe.</w:t>
      </w:r>
    </w:p>
    <w:p>
      <w:pPr>
        <w:spacing w:after="0" w:line="183" w:lineRule="exact"/>
        <w:rPr>
          <w:rFonts w:ascii="Arial" w:cs="Arial" w:eastAsia="Arial" w:hAnsi="Arial"/>
          <w:sz w:val="18"/>
          <w:szCs w:val="18"/>
          <w:color w:val="auto"/>
        </w:rPr>
      </w:pPr>
    </w:p>
    <w:p>
      <w:pPr>
        <w:jc w:val="both"/>
        <w:ind w:firstLine="278"/>
        <w:spacing w:after="0" w:line="254" w:lineRule="auto"/>
        <w:tabs>
          <w:tab w:leader="none" w:pos="47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Money Transfer Segment, Euronet provides global consumer-to-consumer money transfer services, primarily under the brand names Ria, IME, AFEX, and xe, and global account-to-account money transfer services under the brand name xe. The Company offers services under the brand names Ria and IME through a network of sending agents, Company-owned stores, Company-owned websites, and mobile applications, disbursing money transfers through a worldwide correspondent network. xe is a provider of foreign currency exchange information and offers money transfer services on its currency data websites. The Company also offers customers bill payment services (primarily in the U.S.), payment alternatives such as money orders and prepaid debit cards, comprehensive check cashing services for a wide variety of issued checks, along with competitive foreign currency exchange services and prepaid mobile top-up. Furthermore, xe provides cash management solutions and foreign currency risk management services to small-to-medium sized businesses.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Company's reportable segment results for the three months and nine months ended September 30, 2023 and 2022:</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September 30, 2023</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Money</w:t>
            </w:r>
          </w:p>
        </w:tc>
        <w:tc>
          <w:tcPr>
            <w:tcW w:w="13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Corporate Services,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epay</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Transfer</w:t>
            </w:r>
          </w:p>
        </w:tc>
        <w:tc>
          <w:tcPr>
            <w:tcW w:w="16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and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345.8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264.5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09"/>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241.0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837.0</w:t>
            </w:r>
          </w:p>
        </w:tc>
        <w:tc>
          <w:tcPr>
            <w:tcW w:w="0" w:type="dxa"/>
            <w:vAlign w:val="bottom"/>
          </w:tcPr>
          <w:p>
            <w:pPr>
              <w:spacing w:after="0"/>
              <w:rPr>
                <w:sz w:val="1"/>
                <w:szCs w:val="1"/>
                <w:color w:val="auto"/>
              </w:rPr>
            </w:pPr>
          </w:p>
        </w:tc>
      </w:tr>
      <w:tr>
        <w:trPr>
          <w:trHeight w:val="210"/>
        </w:trPr>
        <w:tc>
          <w:tcPr>
            <w:tcW w:w="45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w w:val="93"/>
              </w:rPr>
              <w:t>For the Three Months Ended September 30,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Money</w:t>
            </w:r>
          </w:p>
        </w:tc>
        <w:tc>
          <w:tcPr>
            <w:tcW w:w="13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Corporate Services,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Processing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epay</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Transfer</w:t>
            </w:r>
          </w:p>
        </w:tc>
        <w:tc>
          <w:tcPr>
            <w:tcW w:w="16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and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319.5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248.9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364.9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10"/>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219.8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10"/>
        </w:trPr>
        <w:tc>
          <w:tcPr>
            <w:tcW w:w="45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13"/>
          </w:tcPr>
          <w:p>
            <w:pPr>
              <w:jc w:val="center"/>
              <w:ind w:right="420"/>
              <w:spacing w:after="0"/>
              <w:rPr>
                <w:sz w:val="20"/>
                <w:szCs w:val="20"/>
                <w:color w:val="auto"/>
              </w:rPr>
            </w:pPr>
            <w:r>
              <w:rPr>
                <w:rFonts w:ascii="Arial" w:cs="Arial" w:eastAsia="Arial" w:hAnsi="Arial"/>
                <w:sz w:val="14"/>
                <w:szCs w:val="14"/>
                <w:b w:val="1"/>
                <w:bCs w:val="1"/>
                <w:color w:val="auto"/>
                <w:w w:val="93"/>
              </w:rPr>
              <w:t>For the Nine Months Ended September 30, 2023</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9"/>
              </w:rPr>
              <w:t>Money</w:t>
            </w:r>
          </w:p>
        </w:tc>
        <w:tc>
          <w:tcPr>
            <w:tcW w:w="20" w:type="dxa"/>
            <w:vAlign w:val="bottom"/>
          </w:tcPr>
          <w:p>
            <w:pPr>
              <w:spacing w:after="0"/>
              <w:rPr>
                <w:sz w:val="14"/>
                <w:szCs w:val="14"/>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Corporate Services,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epay</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Transfer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and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820.4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1,150.1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2,730.3</w:t>
            </w:r>
          </w:p>
        </w:tc>
        <w:tc>
          <w:tcPr>
            <w:tcW w:w="0" w:type="dxa"/>
            <w:vAlign w:val="bottom"/>
          </w:tcPr>
          <w:p>
            <w:pPr>
              <w:spacing w:after="0"/>
              <w:rPr>
                <w:sz w:val="1"/>
                <w:szCs w:val="1"/>
                <w:color w:val="auto"/>
              </w:rPr>
            </w:pPr>
          </w:p>
        </w:tc>
      </w:tr>
      <w:tr>
        <w:trPr>
          <w:trHeight w:val="209"/>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1,626.4</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9"/>
        </w:trPr>
        <w:tc>
          <w:tcPr>
            <w:tcW w:w="4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639.6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2,395.1</w:t>
            </w:r>
          </w:p>
        </w:tc>
        <w:tc>
          <w:tcPr>
            <w:tcW w:w="0" w:type="dxa"/>
            <w:vAlign w:val="bottom"/>
          </w:tcPr>
          <w:p>
            <w:pPr>
              <w:spacing w:after="0"/>
              <w:rPr>
                <w:sz w:val="1"/>
                <w:szCs w:val="1"/>
                <w:color w:val="auto"/>
              </w:rPr>
            </w:pPr>
          </w:p>
        </w:tc>
      </w:tr>
      <w:tr>
        <w:trPr>
          <w:trHeight w:val="210"/>
        </w:trPr>
        <w:tc>
          <w:tcPr>
            <w:tcW w:w="45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180.8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3"/>
          </w:tcPr>
          <w:p>
            <w:pPr>
              <w:jc w:val="center"/>
              <w:ind w:right="420"/>
              <w:spacing w:after="0"/>
              <w:rPr>
                <w:sz w:val="20"/>
                <w:szCs w:val="20"/>
                <w:color w:val="auto"/>
              </w:rPr>
            </w:pPr>
            <w:r>
              <w:rPr>
                <w:rFonts w:ascii="Arial" w:cs="Arial" w:eastAsia="Arial" w:hAnsi="Arial"/>
                <w:sz w:val="14"/>
                <w:szCs w:val="14"/>
                <w:b w:val="1"/>
                <w:bCs w:val="1"/>
                <w:color w:val="auto"/>
                <w:w w:val="93"/>
              </w:rPr>
              <w:t>For the Nine Months Ended September 30,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20" w:type="dxa"/>
            <w:vAlign w:val="bottom"/>
          </w:tcPr>
          <w:p>
            <w:pPr>
              <w:spacing w:after="0"/>
              <w:rPr>
                <w:sz w:val="14"/>
                <w:szCs w:val="14"/>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Corporate Services,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Processing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epay</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Transfer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9"/>
        </w:trPr>
        <w:tc>
          <w:tcPr>
            <w:tcW w:w="4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714.1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2,493.1</w:t>
            </w:r>
          </w:p>
        </w:tc>
        <w:tc>
          <w:tcPr>
            <w:tcW w:w="0" w:type="dxa"/>
            <w:vAlign w:val="bottom"/>
          </w:tcPr>
          <w:p>
            <w:pPr>
              <w:spacing w:after="0"/>
              <w:rPr>
                <w:sz w:val="1"/>
                <w:szCs w:val="1"/>
                <w:color w:val="auto"/>
              </w:rPr>
            </w:pPr>
          </w:p>
        </w:tc>
      </w:tr>
      <w:tr>
        <w:trPr>
          <w:trHeight w:val="209"/>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1,484.9</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204.9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9"/>
        </w:trPr>
        <w:tc>
          <w:tcPr>
            <w:tcW w:w="4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957.8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2,186.8</w:t>
            </w:r>
          </w:p>
        </w:tc>
        <w:tc>
          <w:tcPr>
            <w:tcW w:w="0" w:type="dxa"/>
            <w:vAlign w:val="bottom"/>
          </w:tcPr>
          <w:p>
            <w:pPr>
              <w:spacing w:after="0"/>
              <w:rPr>
                <w:sz w:val="1"/>
                <w:szCs w:val="1"/>
                <w:color w:val="auto"/>
              </w:rPr>
            </w:pPr>
          </w:p>
        </w:tc>
      </w:tr>
      <w:tr>
        <w:trPr>
          <w:trHeight w:val="210"/>
        </w:trPr>
        <w:tc>
          <w:tcPr>
            <w:tcW w:w="45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114.6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total assets by reportable segment: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0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Total Assets as of</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vMerge w:val="continue"/>
          </w:tcPr>
          <w:p>
            <w:pPr>
              <w:spacing w:after="0"/>
              <w:rPr>
                <w:sz w:val="12"/>
                <w:szCs w:val="12"/>
                <w:color w:val="auto"/>
              </w:rPr>
            </w:pPr>
          </w:p>
        </w:tc>
        <w:tc>
          <w:tcPr>
            <w:tcW w:w="4080" w:type="dxa"/>
            <w:vAlign w:val="bottom"/>
          </w:tcPr>
          <w:p>
            <w:pPr>
              <w:spacing w:after="0"/>
              <w:rPr>
                <w:sz w:val="12"/>
                <w:szCs w:val="12"/>
                <w:color w:val="auto"/>
              </w:rPr>
            </w:pPr>
          </w:p>
        </w:tc>
        <w:tc>
          <w:tcPr>
            <w:tcW w:w="14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September 30, 2023</w:t>
            </w:r>
          </w:p>
        </w:tc>
        <w:tc>
          <w:tcPr>
            <w:tcW w:w="1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09"/>
        </w:trPr>
        <w:tc>
          <w:tcPr>
            <w:tcW w:w="4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4480" w:type="dxa"/>
            <w:vAlign w:val="bottom"/>
            <w:tcBorders>
              <w:top w:val="single" w:sz="8" w:color="auto"/>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2,296.9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2,150.7</w:t>
            </w: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Arial" w:cs="Arial" w:eastAsia="Arial" w:hAnsi="Arial"/>
                <w:sz w:val="18"/>
                <w:szCs w:val="18"/>
                <w:color w:val="auto"/>
              </w:rPr>
              <w:t>epay</w:t>
            </w:r>
          </w:p>
        </w:tc>
        <w:tc>
          <w:tcPr>
            <w:tcW w:w="4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825.5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1,173.3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4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1,714.4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1,795.8</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40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5,162.9</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5,403.6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80" w:type="dxa"/>
            <w:vAlign w:val="bottom"/>
            <w:vMerge w:val="restart"/>
          </w:tcPr>
          <w:p>
            <w:pPr>
              <w:jc w:val="right"/>
              <w:ind w:right="2630"/>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36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16"/>
          </w:tcPr>
          <w:p>
            <w:pPr>
              <w:jc w:val="right"/>
              <w:ind w:right="300"/>
              <w:spacing w:after="0"/>
              <w:rPr>
                <w:sz w:val="20"/>
                <w:szCs w:val="20"/>
                <w:color w:val="auto"/>
              </w:rPr>
            </w:pPr>
            <w:r>
              <w:rPr>
                <w:rFonts w:ascii="Arial" w:cs="Arial" w:eastAsia="Arial" w:hAnsi="Arial"/>
                <w:sz w:val="14"/>
                <w:szCs w:val="14"/>
                <w:b w:val="1"/>
                <w:bCs w:val="1"/>
                <w:color w:val="auto"/>
                <w:w w:val="97"/>
              </w:rPr>
              <w:t>Revenues for the Three Months Ended September 30, 2023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14"/>
          </w:tcPr>
          <w:p>
            <w:pPr>
              <w:ind w:left="240"/>
              <w:spacing w:after="0"/>
              <w:rPr>
                <w:sz w:val="20"/>
                <w:szCs w:val="20"/>
                <w:color w:val="auto"/>
              </w:rPr>
            </w:pPr>
            <w:r>
              <w:rPr>
                <w:rFonts w:ascii="Arial" w:cs="Arial" w:eastAsia="Arial" w:hAnsi="Arial"/>
                <w:sz w:val="14"/>
                <w:szCs w:val="14"/>
                <w:b w:val="1"/>
                <w:bCs w:val="1"/>
                <w:color w:val="auto"/>
              </w:rPr>
              <w:t>Revenues for the Nine Months Ended September 30, 2023</w:t>
            </w: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rPr>
              <w:t>EFT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epay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9"/>
              </w:rPr>
              <w:t>Money</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240"/>
              <w:spacing w:after="0" w:line="139" w:lineRule="exact"/>
              <w:rPr>
                <w:sz w:val="20"/>
                <w:szCs w:val="20"/>
                <w:color w:val="auto"/>
              </w:rPr>
            </w:pPr>
            <w:r>
              <w:rPr>
                <w:rFonts w:ascii="Arial" w:cs="Arial" w:eastAsia="Arial" w:hAnsi="Arial"/>
                <w:sz w:val="14"/>
                <w:szCs w:val="14"/>
                <w:b w:val="1"/>
                <w:bCs w:val="1"/>
                <w:color w:val="auto"/>
              </w:rPr>
              <w:t>EFT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epay</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55"/>
              <w:spacing w:after="0" w:line="139" w:lineRule="exact"/>
              <w:rPr>
                <w:sz w:val="20"/>
                <w:szCs w:val="20"/>
                <w:color w:val="auto"/>
              </w:rPr>
            </w:pPr>
            <w:r>
              <w:rPr>
                <w:rFonts w:ascii="Arial" w:cs="Arial" w:eastAsia="Arial" w:hAnsi="Arial"/>
                <w:sz w:val="14"/>
                <w:szCs w:val="14"/>
                <w:b w:val="1"/>
                <w:bCs w:val="1"/>
                <w:color w:val="auto"/>
                <w:w w:val="94"/>
              </w:rPr>
              <w:t>Money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4"/>
              </w:rPr>
              <w:t>Processing</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Transfer</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Processing</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Transfer</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1,623.6</w:t>
            </w:r>
          </w:p>
        </w:tc>
        <w:tc>
          <w:tcPr>
            <w:tcW w:w="0" w:type="dxa"/>
            <w:vAlign w:val="bottom"/>
          </w:tcPr>
          <w:p>
            <w:pPr>
              <w:spacing w:after="0"/>
              <w:rPr>
                <w:sz w:val="1"/>
                <w:szCs w:val="1"/>
                <w:color w:val="auto"/>
              </w:rPr>
            </w:pPr>
          </w:p>
        </w:tc>
      </w:tr>
      <w:tr>
        <w:trPr>
          <w:trHeight w:val="179"/>
        </w:trPr>
        <w:tc>
          <w:tcPr>
            <w:tcW w:w="2560" w:type="dxa"/>
            <w:vAlign w:val="bottom"/>
            <w:tcBorders>
              <w:top w:val="single" w:sz="8" w:color="CCEEFF"/>
            </w:tcBorders>
          </w:tcPr>
          <w:p>
            <w:pPr>
              <w:ind w:left="40"/>
              <w:spacing w:after="0" w:line="179" w:lineRule="exact"/>
              <w:rPr>
                <w:sz w:val="20"/>
                <w:szCs w:val="20"/>
                <w:color w:val="auto"/>
              </w:rPr>
            </w:pPr>
            <w:r>
              <w:rPr>
                <w:rFonts w:ascii="Arial" w:cs="Arial" w:eastAsia="Arial" w:hAnsi="Arial"/>
                <w:sz w:val="18"/>
                <w:szCs w:val="18"/>
                <w:color w:val="auto"/>
              </w:rPr>
              <w:t>North America</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jc w:val="right"/>
              <w:spacing w:after="0" w:line="179" w:lineRule="exact"/>
              <w:rPr>
                <w:sz w:val="20"/>
                <w:szCs w:val="20"/>
                <w:color w:val="auto"/>
              </w:rPr>
            </w:pPr>
            <w:r>
              <w:rPr>
                <w:rFonts w:ascii="Arial" w:cs="Arial" w:eastAsia="Arial" w:hAnsi="Arial"/>
                <w:sz w:val="18"/>
                <w:szCs w:val="18"/>
                <w:color w:val="auto"/>
              </w:rPr>
              <w:t>18.6</w:t>
            </w: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right"/>
              <w:spacing w:after="0" w:line="179" w:lineRule="exact"/>
              <w:rPr>
                <w:sz w:val="20"/>
                <w:szCs w:val="20"/>
                <w:color w:val="auto"/>
              </w:rPr>
            </w:pPr>
            <w:r>
              <w:rPr>
                <w:rFonts w:ascii="Arial" w:cs="Arial" w:eastAsia="Arial" w:hAnsi="Arial"/>
                <w:sz w:val="18"/>
                <w:szCs w:val="18"/>
                <w:color w:val="auto"/>
              </w:rPr>
              <w:t>45.2</w:t>
            </w: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gridSpan w:val="2"/>
          </w:tcPr>
          <w:p>
            <w:pPr>
              <w:jc w:val="right"/>
              <w:ind w:right="40"/>
              <w:spacing w:after="0" w:line="179" w:lineRule="exact"/>
              <w:rPr>
                <w:sz w:val="20"/>
                <w:szCs w:val="20"/>
                <w:color w:val="auto"/>
              </w:rPr>
            </w:pPr>
            <w:r>
              <w:rPr>
                <w:rFonts w:ascii="Arial" w:cs="Arial" w:eastAsia="Arial" w:hAnsi="Arial"/>
                <w:sz w:val="18"/>
                <w:szCs w:val="18"/>
                <w:color w:val="auto"/>
              </w:rPr>
              <w:t>187.4</w:t>
            </w: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jc w:val="right"/>
              <w:spacing w:after="0" w:line="179" w:lineRule="exact"/>
              <w:rPr>
                <w:sz w:val="20"/>
                <w:szCs w:val="20"/>
                <w:color w:val="auto"/>
              </w:rPr>
            </w:pPr>
            <w:r>
              <w:rPr>
                <w:rFonts w:ascii="Arial" w:cs="Arial" w:eastAsia="Arial" w:hAnsi="Arial"/>
                <w:sz w:val="18"/>
                <w:szCs w:val="18"/>
                <w:color w:val="auto"/>
              </w:rPr>
              <w:t>251.2</w:t>
            </w: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spacing w:after="0" w:line="179" w:lineRule="exact"/>
              <w:rPr>
                <w:sz w:val="20"/>
                <w:szCs w:val="20"/>
                <w:color w:val="auto"/>
              </w:rPr>
            </w:pPr>
            <w:r>
              <w:rPr>
                <w:rFonts w:ascii="Arial" w:cs="Arial" w:eastAsia="Arial" w:hAnsi="Arial"/>
                <w:sz w:val="18"/>
                <w:szCs w:val="18"/>
                <w:color w:val="auto"/>
              </w:rPr>
              <w:t>53.9</w:t>
            </w: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right"/>
              <w:spacing w:after="0" w:line="179" w:lineRule="exact"/>
              <w:rPr>
                <w:sz w:val="20"/>
                <w:szCs w:val="20"/>
                <w:color w:val="auto"/>
              </w:rPr>
            </w:pPr>
            <w:r>
              <w:rPr>
                <w:rFonts w:ascii="Arial" w:cs="Arial" w:eastAsia="Arial" w:hAnsi="Arial"/>
                <w:sz w:val="18"/>
                <w:szCs w:val="18"/>
                <w:color w:val="auto"/>
              </w:rPr>
              <w:t>125.6</w:t>
            </w: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spacing w:after="0" w:line="179" w:lineRule="exact"/>
              <w:rPr>
                <w:sz w:val="20"/>
                <w:szCs w:val="20"/>
                <w:color w:val="auto"/>
              </w:rPr>
            </w:pPr>
            <w:r>
              <w:rPr>
                <w:rFonts w:ascii="Arial" w:cs="Arial" w:eastAsia="Arial" w:hAnsi="Arial"/>
                <w:sz w:val="18"/>
                <w:szCs w:val="18"/>
                <w:color w:val="auto"/>
              </w:rPr>
              <w:t>539.8</w:t>
            </w: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jc w:val="right"/>
              <w:spacing w:after="0" w:line="179" w:lineRule="exact"/>
              <w:rPr>
                <w:sz w:val="20"/>
                <w:szCs w:val="20"/>
                <w:color w:val="auto"/>
              </w:rPr>
            </w:pPr>
            <w:r>
              <w:rPr>
                <w:rFonts w:ascii="Arial" w:cs="Arial" w:eastAsia="Arial" w:hAnsi="Arial"/>
                <w:sz w:val="18"/>
                <w:szCs w:val="18"/>
                <w:color w:val="auto"/>
              </w:rPr>
              <w:t>719.3</w:t>
            </w:r>
          </w:p>
        </w:tc>
        <w:tc>
          <w:tcPr>
            <w:tcW w:w="60" w:type="dxa"/>
            <w:vAlign w:val="bottom"/>
            <w:tcBorders>
              <w:top w:val="single" w:sz="8" w:color="BBBBBB"/>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560" w:type="dxa"/>
            <w:vAlign w:val="bottom"/>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56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395.9</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765.7</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2,730.3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gridSpan w:val="16"/>
          </w:tcPr>
          <w:p>
            <w:pPr>
              <w:jc w:val="right"/>
              <w:ind w:right="320"/>
              <w:spacing w:after="0"/>
              <w:rPr>
                <w:sz w:val="20"/>
                <w:szCs w:val="20"/>
                <w:color w:val="auto"/>
              </w:rPr>
            </w:pPr>
            <w:r>
              <w:rPr>
                <w:rFonts w:ascii="Arial" w:cs="Arial" w:eastAsia="Arial" w:hAnsi="Arial"/>
                <w:sz w:val="14"/>
                <w:szCs w:val="14"/>
                <w:b w:val="1"/>
                <w:bCs w:val="1"/>
                <w:color w:val="auto"/>
                <w:w w:val="96"/>
              </w:rPr>
              <w:t>Revenues for the Three Months Ended September 30, 2022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4"/>
          </w:tcPr>
          <w:p>
            <w:pPr>
              <w:ind w:left="220"/>
              <w:spacing w:after="0"/>
              <w:rPr>
                <w:sz w:val="20"/>
                <w:szCs w:val="20"/>
                <w:color w:val="auto"/>
              </w:rPr>
            </w:pPr>
            <w:r>
              <w:rPr>
                <w:rFonts w:ascii="Arial" w:cs="Arial" w:eastAsia="Arial" w:hAnsi="Arial"/>
                <w:sz w:val="14"/>
                <w:szCs w:val="14"/>
                <w:b w:val="1"/>
                <w:bCs w:val="1"/>
                <w:color w:val="auto"/>
              </w:rPr>
              <w:t>Revenues for the Nine Months Ended September 30, 2022</w:t>
            </w:r>
          </w:p>
        </w:tc>
        <w:tc>
          <w:tcPr>
            <w:tcW w:w="0" w:type="dxa"/>
            <w:vAlign w:val="bottom"/>
          </w:tcPr>
          <w:p>
            <w:pPr>
              <w:spacing w:after="0"/>
              <w:rPr>
                <w:sz w:val="1"/>
                <w:szCs w:val="1"/>
                <w:color w:val="auto"/>
              </w:rPr>
            </w:pPr>
          </w:p>
        </w:tc>
      </w:tr>
      <w:tr>
        <w:trPr>
          <w:trHeight w:val="166"/>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EFT</w:t>
            </w: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Money</w:t>
            </w: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EFT</w:t>
            </w: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Money</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Processing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epay</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Transfer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Processing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epay</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Transfer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1,453.9</w:t>
            </w:r>
          </w:p>
        </w:tc>
        <w:tc>
          <w:tcPr>
            <w:tcW w:w="0" w:type="dxa"/>
            <w:vAlign w:val="bottom"/>
          </w:tcPr>
          <w:p>
            <w:pPr>
              <w:spacing w:after="0"/>
              <w:rPr>
                <w:sz w:val="1"/>
                <w:szCs w:val="1"/>
                <w:color w:val="auto"/>
              </w:rPr>
            </w:pPr>
          </w:p>
        </w:tc>
      </w:tr>
      <w:tr>
        <w:trPr>
          <w:trHeight w:val="216"/>
        </w:trPr>
        <w:tc>
          <w:tcPr>
            <w:tcW w:w="25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2560" w:type="dxa"/>
            <w:vAlign w:val="bottom"/>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56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1,072.4</w:t>
            </w:r>
          </w:p>
        </w:tc>
        <w:tc>
          <w:tcPr>
            <w:tcW w:w="8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2,493.1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-1700530</wp:posOffset>
            </wp:positionV>
            <wp:extent cx="85725"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336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-2247265</wp:posOffset>
            </wp:positionV>
            <wp:extent cx="34290"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1270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-2247265</wp:posOffset>
            </wp:positionV>
            <wp:extent cx="34290"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1270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-2247265</wp:posOffset>
            </wp:positionV>
            <wp:extent cx="34290"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1270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effective income tax rate was 29.2% and 30.6% for the three and nine months ended September 30, 2023 respectively, compared to 31.1% and 33.5% for the three and nine months ended September 30, 2022, respectively. The Company's effective income tax rate for the three and nine months ended September 30, 2023 was higher than the applicable statutory income tax rate of 21% mainly as a result of our U.S. deferred tax activity and certain foreign earnings being subject to higher local statutory tax rates and our U.S. deferred tax activity.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Company had $83.6 million of stand-by letters of credit/bank guarantees issued on the Company's behalf, of which $3.2 million are collateralized by cash deposits held by the respective issuing banks.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certain circumstances, the Company grants guarantees in support of obligations of subsidiaries. As of September 30, 2023, the Company had granted off balance sheet guarantees for cash in various ATM networks amounting to $10.9 million over the terms of the cash supply agreements and performance guarantees amounting to approximately $51.0 million over the terms of agreements with the Company's customers.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131" w:lineRule="exact"/>
        <w:rPr>
          <w:sz w:val="20"/>
          <w:szCs w:val="20"/>
          <w:color w:val="auto"/>
        </w:rPr>
      </w:pPr>
    </w:p>
    <w:p>
      <w:pPr>
        <w:jc w:val="both"/>
        <w:ind w:left="540" w:right="20"/>
        <w:spacing w:after="0" w:line="271" w:lineRule="auto"/>
        <w:rPr>
          <w:sz w:val="20"/>
          <w:szCs w:val="20"/>
          <w:color w:val="auto"/>
        </w:rPr>
      </w:pPr>
      <w:r>
        <w:rPr>
          <w:rFonts w:ascii="Arial" w:cs="Arial" w:eastAsia="Arial" w:hAnsi="Arial"/>
          <w:sz w:val="17"/>
          <w:szCs w:val="17"/>
          <w:color w:val="auto"/>
        </w:rPr>
        <w:t>In connection with contracts with financial institutions in the EFT Processing Segment, the Company is responsible for damage to ATMs and theft of ATM network cash. As of September 30, 2023, the balance of such cash used in the Company's ATM networks for which the Company was responsible was approximately $282.5 million.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-372110</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In connection with contracts with financial institutions in the EFT Processing Segment, the Company is responsible for losses suffered by the Company's customers and other parties as a result of the breach of the Company's computer systems, including in particular, losses arising from fraudulent transactions made using information stolen through the Company's processing systems.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-508000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81" w:lineRule="auto"/>
        <w:rPr>
          <w:sz w:val="20"/>
          <w:szCs w:val="20"/>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 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-781050</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5" w:lineRule="auto"/>
        <w:rPr>
          <w:sz w:val="20"/>
          <w:szCs w:val="20"/>
          <w:color w:val="auto"/>
        </w:rPr>
      </w:pPr>
      <w:r>
        <w:rPr>
          <w:rFonts w:ascii="Arial" w:cs="Arial" w:eastAsia="Arial" w:hAnsi="Arial"/>
          <w:sz w:val="18"/>
          <w:szCs w:val="18"/>
          <w:color w:val="auto"/>
        </w:rPr>
        <w:t>The Company has entered into agreements with certain third parties, including banks that provide fiduciary and other services to the Company or the Company's benefit plans. Under such agreements, the Company has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-379730</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September 30, 2023 or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a party to legal or regulatory proceedings arising in the ordinary course of the Company's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(16) LEASES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present value of lease payments is determined using the incremental borrowing rate based on information available at the lease commencement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lease expense for these leases on a straight-line basis over the lease term.</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non-cancelable operating leases (with initial lease terms in excess of one year) as of September 30, 2023 are: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As of September 30,</w:t>
            </w:r>
          </w:p>
        </w:tc>
      </w:tr>
      <w:tr>
        <w:trPr>
          <w:trHeight w:val="192"/>
        </w:trPr>
        <w:tc>
          <w:tcPr>
            <w:tcW w:w="9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2023</w:t>
            </w:r>
          </w:p>
        </w:tc>
      </w:tr>
      <w:tr>
        <w:trPr>
          <w:trHeight w:val="251"/>
        </w:trPr>
        <w:tc>
          <w:tcPr>
            <w:tcW w:w="9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millions)</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Operating Leases (1)</w:t>
            </w:r>
          </w:p>
        </w:tc>
      </w:tr>
      <w:tr>
        <w:trPr>
          <w:trHeight w:val="215"/>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2023</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r>
      <w:tr>
        <w:trPr>
          <w:trHeight w:val="216"/>
        </w:trPr>
        <w:tc>
          <w:tcPr>
            <w:tcW w:w="9880" w:type="dxa"/>
            <w:vAlign w:val="bottom"/>
          </w:tcPr>
          <w:p>
            <w:pPr>
              <w:ind w:left="4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42.5</w:t>
            </w:r>
          </w:p>
        </w:tc>
      </w:tr>
      <w:tr>
        <w:trPr>
          <w:trHeight w:val="216"/>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32.1</w:t>
            </w:r>
          </w:p>
        </w:tc>
      </w:tr>
      <w:tr>
        <w:trPr>
          <w:trHeight w:val="216"/>
        </w:trPr>
        <w:tc>
          <w:tcPr>
            <w:tcW w:w="9880" w:type="dxa"/>
            <w:vAlign w:val="bottom"/>
          </w:tcPr>
          <w:p>
            <w:pPr>
              <w:ind w:left="4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23.5</w:t>
            </w:r>
          </w:p>
        </w:tc>
      </w:tr>
      <w:tr>
        <w:trPr>
          <w:trHeight w:val="216"/>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r>
      <w:tr>
        <w:trPr>
          <w:trHeight w:val="216"/>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20.6</w:t>
            </w:r>
          </w:p>
        </w:tc>
      </w:tr>
      <w:tr>
        <w:trPr>
          <w:trHeight w:val="210"/>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147.4</w:t>
            </w:r>
          </w:p>
        </w:tc>
      </w:tr>
      <w:tr>
        <w:trPr>
          <w:trHeight w:val="216"/>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139.7</w:t>
            </w:r>
          </w:p>
        </w:tc>
      </w:tr>
    </w:tbl>
    <w:p>
      <w:pPr>
        <w:spacing w:after="0" w:line="296" w:lineRule="exact"/>
        <w:rPr>
          <w:sz w:val="20"/>
          <w:szCs w:val="20"/>
          <w:color w:val="auto"/>
        </w:rPr>
      </w:pPr>
    </w:p>
    <w:p>
      <w:pPr>
        <w:ind w:left="5540" w:right="2580" w:hanging="5208"/>
        <w:spacing w:after="0" w:line="543" w:lineRule="auto"/>
        <w:tabs>
          <w:tab w:leader="none" w:pos="611"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lease payments reflect the Company's current fixed obligations under the operating lease agreements.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Lease expense recognized in the Consolidated Statements of Income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Lease Expense</w:t>
            </w: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04"/>
        </w:trPr>
        <w:tc>
          <w:tcPr>
            <w:tcW w:w="206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33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Income Statement Classification</w:t>
            </w:r>
          </w:p>
        </w:tc>
        <w:tc>
          <w:tcPr>
            <w:tcW w:w="120" w:type="dxa"/>
            <w:vAlign w:val="bottom"/>
            <w:vMerge w:val="restart"/>
          </w:tcPr>
          <w:p>
            <w:pPr>
              <w:spacing w:after="0"/>
              <w:rPr>
                <w:sz w:val="7"/>
                <w:szCs w:val="7"/>
                <w:color w:val="auto"/>
              </w:rPr>
            </w:pPr>
          </w:p>
        </w:tc>
        <w:tc>
          <w:tcPr>
            <w:tcW w:w="148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Ended</w:t>
            </w:r>
          </w:p>
        </w:tc>
        <w:tc>
          <w:tcPr>
            <w:tcW w:w="144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Ended</w:t>
            </w:r>
          </w:p>
        </w:tc>
        <w:tc>
          <w:tcPr>
            <w:tcW w:w="0" w:type="dxa"/>
            <w:vAlign w:val="bottom"/>
          </w:tcPr>
          <w:p>
            <w:pPr>
              <w:spacing w:after="0"/>
              <w:rPr>
                <w:sz w:val="1"/>
                <w:szCs w:val="1"/>
                <w:color w:val="auto"/>
              </w:rPr>
            </w:pPr>
          </w:p>
        </w:tc>
      </w:tr>
      <w:tr>
        <w:trPr>
          <w:trHeight w:val="175"/>
        </w:trPr>
        <w:tc>
          <w:tcPr>
            <w:tcW w:w="2060" w:type="dxa"/>
            <w:vAlign w:val="bottom"/>
            <w:tcBorders>
              <w:bottom w:val="single" w:sz="8" w:color="auto"/>
            </w:tcBorders>
            <w:vMerge w:val="continue"/>
          </w:tcPr>
          <w:p>
            <w:pPr>
              <w:spacing w:after="0"/>
              <w:rPr>
                <w:sz w:val="15"/>
                <w:szCs w:val="15"/>
                <w:color w:val="auto"/>
              </w:rPr>
            </w:pPr>
          </w:p>
        </w:tc>
        <w:tc>
          <w:tcPr>
            <w:tcW w:w="33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September 30, 2023</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September 30, 2022</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2023</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16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3080" w:type="dxa"/>
            <w:vAlign w:val="bottom"/>
          </w:tcPr>
          <w:p>
            <w:pPr>
              <w:jc w:val="center"/>
              <w:ind w:left="70"/>
              <w:spacing w:after="0"/>
              <w:rPr>
                <w:sz w:val="20"/>
                <w:szCs w:val="20"/>
                <w:color w:val="auto"/>
              </w:rPr>
            </w:pPr>
            <w:r>
              <w:rPr>
                <w:rFonts w:ascii="Arial" w:cs="Arial" w:eastAsia="Arial" w:hAnsi="Arial"/>
                <w:sz w:val="18"/>
                <w:szCs w:val="18"/>
                <w:color w:val="auto"/>
                <w:w w:val="90"/>
              </w:rPr>
              <w:t>Selling, general and administrative and</w:t>
            </w: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3080" w:type="dxa"/>
            <w:vAlign w:val="bottom"/>
          </w:tcPr>
          <w:p>
            <w:pPr>
              <w:jc w:val="center"/>
              <w:ind w:left="50"/>
              <w:spacing w:after="0"/>
              <w:rPr>
                <w:sz w:val="20"/>
                <w:szCs w:val="20"/>
                <w:color w:val="auto"/>
              </w:rPr>
            </w:pPr>
            <w:r>
              <w:rPr>
                <w:rFonts w:ascii="Arial" w:cs="Arial" w:eastAsia="Arial" w:hAnsi="Arial"/>
                <w:sz w:val="18"/>
                <w:szCs w:val="18"/>
                <w:color w:val="auto"/>
                <w:w w:val="90"/>
              </w:rPr>
              <w:t>Direct operating costs</w:t>
            </w:r>
          </w:p>
        </w:tc>
      </w:tr>
      <w:tr>
        <w:trPr>
          <w:trHeight w:val="256"/>
        </w:trPr>
        <w:tc>
          <w:tcPr>
            <w:tcW w:w="2340" w:type="dxa"/>
            <w:vAlign w:val="bottom"/>
          </w:tcPr>
          <w:p>
            <w:pPr>
              <w:ind w:left="40"/>
              <w:spacing w:after="0"/>
              <w:rPr>
                <w:sz w:val="20"/>
                <w:szCs w:val="20"/>
                <w:color w:val="auto"/>
              </w:rPr>
            </w:pPr>
            <w:r>
              <w:rPr>
                <w:rFonts w:ascii="Arial" w:cs="Arial" w:eastAsia="Arial" w:hAnsi="Arial"/>
                <w:sz w:val="18"/>
                <w:szCs w:val="18"/>
                <w:color w:val="auto"/>
                <w:w w:val="96"/>
              </w:rPr>
              <w:t>Short-term and variable lease</w:t>
            </w:r>
          </w:p>
        </w:tc>
        <w:tc>
          <w:tcPr>
            <w:tcW w:w="3080" w:type="dxa"/>
            <w:vAlign w:val="bottom"/>
          </w:tcPr>
          <w:p>
            <w:pPr>
              <w:jc w:val="center"/>
              <w:ind w:left="70"/>
              <w:spacing w:after="0"/>
              <w:rPr>
                <w:sz w:val="20"/>
                <w:szCs w:val="20"/>
                <w:color w:val="auto"/>
              </w:rPr>
            </w:pPr>
            <w:r>
              <w:rPr>
                <w:rFonts w:ascii="Arial" w:cs="Arial" w:eastAsia="Arial" w:hAnsi="Arial"/>
                <w:sz w:val="18"/>
                <w:szCs w:val="18"/>
                <w:color w:val="auto"/>
                <w:w w:val="90"/>
              </w:rPr>
              <w:t>Selling, general and administrative and</w:t>
            </w: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expense</w:t>
            </w:r>
          </w:p>
        </w:tc>
        <w:tc>
          <w:tcPr>
            <w:tcW w:w="3080" w:type="dxa"/>
            <w:vAlign w:val="bottom"/>
          </w:tcPr>
          <w:p>
            <w:pPr>
              <w:jc w:val="center"/>
              <w:ind w:left="50"/>
              <w:spacing w:after="0"/>
              <w:rPr>
                <w:sz w:val="20"/>
                <w:szCs w:val="20"/>
                <w:color w:val="auto"/>
              </w:rPr>
            </w:pPr>
            <w:r>
              <w:rPr>
                <w:rFonts w:ascii="Arial" w:cs="Arial" w:eastAsia="Arial" w:hAnsi="Arial"/>
                <w:sz w:val="18"/>
                <w:szCs w:val="18"/>
                <w:color w:val="auto"/>
                <w:w w:val="90"/>
              </w:rPr>
              <w:t>Direct operating costs</w:t>
            </w:r>
          </w:p>
        </w:tc>
      </w:tr>
      <w:tr>
        <w:trPr>
          <w:trHeight w:val="27"/>
        </w:trPr>
        <w:tc>
          <w:tcPr>
            <w:tcW w:w="2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8"/>
                <w:szCs w:val="18"/>
                <w:color w:val="auto"/>
              </w:rPr>
              <w:t>Total lease expense</w:t>
            </w:r>
          </w:p>
        </w:tc>
        <w:tc>
          <w:tcPr>
            <w:tcW w:w="3080" w:type="dxa"/>
            <w:vAlign w:val="bottom"/>
          </w:tcPr>
          <w:p>
            <w:pPr>
              <w:spacing w:after="0"/>
              <w:rPr>
                <w:sz w:val="20"/>
                <w:szCs w:val="20"/>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486"/>
        </w:trPr>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4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124.7</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107.3</w:t>
            </w:r>
          </w:p>
        </w:tc>
      </w:tr>
      <w:tr>
        <w:trPr>
          <w:trHeight w:val="20"/>
        </w:trPr>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5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59.6</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162.3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146.1</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-196215</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120"/>
            <w:col w:w="5700"/>
          </w:cols>
          <w:pgMar w:left="320" w:top="557"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 about lease amounts recognized in the consolidated financial statements is summarized as follows: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 (years)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As of September 30,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2023</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4.4</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2.5%</w:t>
      </w:r>
    </w:p>
    <w:p>
      <w:pPr>
        <w:spacing w:after="0" w:line="857" w:lineRule="exact"/>
        <w:rPr>
          <w:sz w:val="20"/>
          <w:szCs w:val="20"/>
          <w:color w:val="auto"/>
        </w:rPr>
      </w:pPr>
    </w:p>
    <w:p>
      <w:pPr>
        <w:sectPr>
          <w:pgSz w:w="11900" w:h="16838" w:orient="portrait"/>
          <w:cols w:equalWidth="0" w:num="2">
            <w:col w:w="9260" w:space="720"/>
            <w:col w:w="1260"/>
          </w:cols>
          <w:pgMar w:left="320" w:top="557" w:right="3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non-cash information on lease liabilities arising from obtaining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ROU assets obtained in exchange for new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2806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2"/>
                <w:szCs w:val="12"/>
                <w:color w:val="auto"/>
              </w:rPr>
            </w:pPr>
          </w:p>
        </w:tc>
        <w:tc>
          <w:tcPr>
            <w:tcW w:w="12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69"/>
        </w:trPr>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540"/>
        </w:trPr>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2">
            <w:col w:w="7720" w:space="720"/>
            <w:col w:w="2800"/>
          </w:cols>
          <w:pgMar w:left="320" w:top="557" w:right="339" w:bottom="1440" w:gutter="0" w:footer="0" w:header="0"/>
          <w:type w:val="continuous"/>
        </w:sectPr>
      </w:pPr>
    </w:p>
    <w:p>
      <w:pPr>
        <w:ind w:left="5540" w:right="2460" w:hanging="5127"/>
        <w:spacing w:after="0" w:line="496" w:lineRule="auto"/>
        <w:tabs>
          <w:tab w:leader="none" w:pos="674"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Included in Net cash provided by operating activities on the Company's Consolidated Statements of Cash Flows. </w:t>
      </w: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or other pandemics; inflation; the war in the Ukraine and the Middle East, and related economic sanctions; our ability to successfully integrate any acquired operations;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European Union's General Data Protection Regulation, and Second Revised Payment Service Directive requirements; changes in laws and regulations affecting our business, including tax and immigration laws and any laws regulating payments, including DCC transactions</w:t>
      </w:r>
      <w:r>
        <w:rPr>
          <w:rFonts w:ascii="Arial" w:cs="Arial" w:eastAsia="Arial" w:hAnsi="Arial"/>
          <w:sz w:val="17"/>
          <w:szCs w:val="17"/>
          <w:u w:val="single" w:color="auto"/>
          <w:color w:val="008080"/>
        </w:rPr>
        <w:t>;</w:t>
      </w:r>
      <w:r>
        <w:rPr>
          <w:rFonts w:ascii="Arial" w:cs="Arial" w:eastAsia="Arial" w:hAnsi="Arial"/>
          <w:sz w:val="17"/>
          <w:szCs w:val="17"/>
          <w:color w:val="auto"/>
        </w:rPr>
        <w:t xml:space="preserve">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2022.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Euronet is a leading global financial technology solutions and payments provider. We offer payment and transaction processing and distribution solutions to financial institutions, retailers, service providers and individual consumers. Our primary product offerings include comprehensive ATM, point-of-sale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spacing w:after="0" w:line="188" w:lineRule="exact"/>
        <w:rPr>
          <w:sz w:val="20"/>
          <w:szCs w:val="20"/>
          <w:color w:val="auto"/>
        </w:rPr>
      </w:pPr>
    </w:p>
    <w:p>
      <w:pPr>
        <w:jc w:val="both"/>
        <w:ind w:firstLine="8"/>
        <w:spacing w:after="0" w:line="257"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EFT Processing Segment processes transactions for a network of 51,496 ATMs and approximately 637,000 POS terminals across Europe, the Middle East, Africa, Asia Pacific, and the United States. We provide comprehensive electronic payment solutions consisting of ATM cash withdrawal and deposit services, ATM network participation, outsourced ATM and POS management solutions, credit, debit and prepaid card outsourcing, DCC, domestic and international surcharges and other value added services. Through this segment, we also offer a suite of integrated electronic financial transaction software solutions for electronic payment and transaction delivery systems.</w:t>
      </w:r>
    </w:p>
    <w:p>
      <w:pPr>
        <w:spacing w:after="0" w:line="187" w:lineRule="exact"/>
        <w:rPr>
          <w:rFonts w:ascii="Arial" w:cs="Arial" w:eastAsia="Arial" w:hAnsi="Arial"/>
          <w:sz w:val="18"/>
          <w:szCs w:val="18"/>
          <w:color w:val="auto"/>
        </w:rPr>
      </w:pPr>
    </w:p>
    <w:p>
      <w:pPr>
        <w:jc w:val="both"/>
        <w:ind w:firstLine="8"/>
        <w:spacing w:after="0" w:line="263" w:lineRule="auto"/>
        <w:tabs>
          <w:tab w:leader="none" w:pos="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electronic payment products and prepaid mobile airtime through a network of approximately 810,000 POS terminals in Europe, the Middle East, Asia Pacific, North America and South America. We also provide vouchers and physical gift fulfillment services in Europe.</w:t>
      </w:r>
    </w:p>
    <w:p>
      <w:pPr>
        <w:spacing w:after="0" w:line="183" w:lineRule="exact"/>
        <w:rPr>
          <w:rFonts w:ascii="Arial" w:cs="Arial" w:eastAsia="Arial" w:hAnsi="Arial"/>
          <w:sz w:val="18"/>
          <w:szCs w:val="18"/>
          <w:color w:val="auto"/>
        </w:rPr>
      </w:pPr>
    </w:p>
    <w:p>
      <w:pPr>
        <w:jc w:val="both"/>
        <w:ind w:firstLine="8"/>
        <w:spacing w:after="0" w:line="271" w:lineRule="auto"/>
        <w:tabs>
          <w:tab w:leader="none" w:pos="22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names Ria, IME, AFEX, and xe and global account-to-account money transfer services under the brand name xe. We offer services under the brand names Ria and IME through a network of sending agents, Company-owned stores, our websites and mobile applications, disbursing money transfers through a worldwide correspondent network that includes approximately 540,000 locations. xe is a provider of foreign currency exchange information and offers money transfer services on its currency data websites.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small-to-medium-sized businesses.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75%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35% and 30% of total consolidated revenues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and nine months ended September 30, 2023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Revenues in the epay Segment, which represented approximately 26% and 28% of total consolidated revenues for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2023 are primarily derived from commissions earned from the distribution of electronic content, vouchers, and physical gifts and commissions or processing fees received from mobile phone operators for the processing and distribution of prepaid mobile airtime. Branded payments, which includes the distribution of digital media content, were 66% of epay Segment revenues for both the three and nine months ended September 30, 2023. Branded payments include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39% and 42% of total consolidated revenues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and nine months ended September 30, 2023, respectively, are primarily derived from transaction fees, as well as the margin earned from purchasing foreign currency at wholesale exchange rates and selling the foreign currency to customers at retail exchange rates. We have a sending network in place comprised of agents, customer service representatives, Company-owned stores, our websites and mobile applications,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92" w:lineRule="exact"/>
        <w:rPr>
          <w:sz w:val="20"/>
          <w:szCs w:val="20"/>
          <w:color w:val="auto"/>
        </w:rPr>
      </w:pPr>
    </w:p>
    <w:p>
      <w:pPr>
        <w:jc w:val="both"/>
        <w:ind w:firstLine="8"/>
        <w:spacing w:after="0" w:line="282" w:lineRule="auto"/>
        <w:tabs>
          <w:tab w:leader="none" w:pos="1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EFT Processing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ATM, POS and merchant acquiring services, cash supply and other commercial agreements with customers and financial institutions. Operational challenges in the EFT Processing Segment include obtaining and maintaining the required licenses and sponsorship agreements in</w:t>
      </w:r>
    </w:p>
    <w:p>
      <w:pPr>
        <w:jc w:val="both"/>
        <w:spacing w:after="0" w:line="255" w:lineRule="auto"/>
        <w:rPr>
          <w:sz w:val="20"/>
          <w:szCs w:val="20"/>
          <w:color w:val="auto"/>
        </w:rPr>
      </w:pPr>
      <w:r>
        <w:rPr>
          <w:rFonts w:ascii="Arial" w:cs="Arial" w:eastAsia="Arial" w:hAnsi="Arial"/>
          <w:sz w:val="17"/>
          <w:szCs w:val="17"/>
          <w:color w:val="auto"/>
        </w:rPr>
        <w:t>markets in which we operate and navigating frequently changing rules imposed by international card organizations, such as Visa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Mastercard</w:t>
      </w:r>
      <w:r>
        <w:rPr>
          <w:rFonts w:ascii="Arial" w:cs="Arial" w:eastAsia="Arial" w:hAnsi="Arial"/>
          <w:sz w:val="28"/>
          <w:szCs w:val="28"/>
          <w:color w:val="auto"/>
          <w:vertAlign w:val="superscript"/>
        </w:rPr>
        <w:t>®</w:t>
      </w:r>
      <w:r>
        <w:rPr>
          <w:rFonts w:ascii="Arial" w:cs="Arial" w:eastAsia="Arial" w:hAnsi="Arial"/>
          <w:sz w:val="17"/>
          <w:szCs w:val="17"/>
          <w:color w:val="auto"/>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 or manage them internally. The EFT Segment is also dependent to a large degree on consumer travel patterns over which we have no control. Although international travel is returning to pre-pandemic levels in many parts of the globe, the war in Ukraine and the Middle East, and related sanctions are negatively affecting the number of individuals in many locations where we have ATMs. Our EFT revenues are dependent on tourism within, and into Europe. Inflation is impacting our business as travelers have less cash available to spend on vacations.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ind w:firstLine="8"/>
        <w:spacing w:after="0" w:line="270" w:lineRule="auto"/>
        <w:tabs>
          <w:tab w:leader="none" w:pos="1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epay Segment opportunities include renewing existing and negotiating new agreements in target markets in which we operate, primarily with digital content providers, 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180" w:lineRule="exact"/>
        <w:rPr>
          <w:rFonts w:ascii="Arial" w:cs="Arial" w:eastAsia="Arial" w:hAnsi="Arial"/>
          <w:sz w:val="17"/>
          <w:szCs w:val="17"/>
          <w:color w:val="auto"/>
        </w:rPr>
      </w:pPr>
    </w:p>
    <w:p>
      <w:pPr>
        <w:jc w:val="both"/>
        <w:ind w:firstLine="8"/>
        <w:spacing w:after="0" w:line="290" w:lineRule="auto"/>
        <w:tabs>
          <w:tab w:leader="none" w:pos="20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inherent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Recently, inflation has been increasing our cost structure in many parts of the world in which we operate.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Revenues and operating income by segment for the three and nine months ended September 30, 2023 and 2022 are summarized in the tables below:</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 amounts 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EFT Processing</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epay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Money Transfer</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36"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Corporate services, eliminations and other</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 amounts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EFT Processing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epay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Money Transfer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63"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Corporate services, eliminations and other</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2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Revenues for the Three Months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Revenues for the Nine Months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140" w:type="dxa"/>
            <w:vAlign w:val="bottom"/>
            <w:gridSpan w:val="4"/>
          </w:tcPr>
          <w:p>
            <w:pPr>
              <w:jc w:val="center"/>
              <w:ind w:left="455"/>
              <w:spacing w:after="0"/>
              <w:rPr>
                <w:sz w:val="20"/>
                <w:szCs w:val="20"/>
                <w:color w:val="auto"/>
              </w:rPr>
            </w:pPr>
            <w:r>
              <w:rPr>
                <w:rFonts w:ascii="Arial" w:cs="Arial" w:eastAsia="Arial" w:hAnsi="Arial"/>
                <w:sz w:val="14"/>
                <w:szCs w:val="14"/>
                <w:b w:val="1"/>
                <w:bCs w:val="1"/>
                <w:color w:val="auto"/>
                <w:w w:val="93"/>
              </w:rPr>
              <w:t>Ended</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3"/>
              </w:rPr>
              <w:t>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right="113"/>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940" w:type="dxa"/>
            <w:vAlign w:val="bottom"/>
          </w:tcPr>
          <w:p>
            <w:pPr>
              <w:jc w:val="center"/>
              <w:ind w:right="105"/>
              <w:spacing w:after="0" w:line="147"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40" w:type="dxa"/>
            <w:vAlign w:val="bottom"/>
          </w:tcPr>
          <w:p>
            <w:pPr>
              <w:jc w:val="center"/>
              <w:ind w:right="85"/>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30"/>
        </w:trPr>
        <w:tc>
          <w:tcPr>
            <w:tcW w:w="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319.5</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765.7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53.3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1,150.1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1,072.4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1,006.2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933.3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72.9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2,736.2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2,498.9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237.3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65"/>
        </w:trPr>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931.3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2,730.3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2,493.1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22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Operating Income (Loss) for the</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Operating Income (Loss) for</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220" w:type="dxa"/>
            <w:vAlign w:val="bottom"/>
            <w:gridSpan w:val="7"/>
            <w:vMerge w:val="restart"/>
          </w:tcPr>
          <w:p>
            <w:pPr>
              <w:jc w:val="center"/>
              <w:ind w:right="80"/>
              <w:spacing w:after="0"/>
              <w:rPr>
                <w:sz w:val="20"/>
                <w:szCs w:val="20"/>
                <w:color w:val="auto"/>
              </w:rPr>
            </w:pPr>
            <w:r>
              <w:rPr>
                <w:rFonts w:ascii="Arial" w:cs="Arial" w:eastAsia="Arial" w:hAnsi="Arial"/>
                <w:sz w:val="14"/>
                <w:szCs w:val="14"/>
                <w:b w:val="1"/>
                <w:bCs w:val="1"/>
                <w:color w:val="auto"/>
                <w:w w:val="94"/>
              </w:rPr>
              <w:t>Three Months Ended September</w:t>
            </w: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gridSpan w:val="5"/>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22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3"/>
            <w:vMerge w:val="restart"/>
          </w:tcPr>
          <w:p>
            <w:pPr>
              <w:jc w:val="right"/>
              <w:ind w:right="205"/>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the Nine Months</w:t>
            </w:r>
          </w:p>
        </w:tc>
        <w:tc>
          <w:tcPr>
            <w:tcW w:w="140" w:type="dxa"/>
            <w:vAlign w:val="bottom"/>
          </w:tcPr>
          <w:p>
            <w:pPr>
              <w:spacing w:after="0"/>
              <w:rPr>
                <w:sz w:val="12"/>
                <w:szCs w:val="12"/>
                <w:color w:val="auto"/>
              </w:rPr>
            </w:pPr>
          </w:p>
        </w:tc>
        <w:tc>
          <w:tcPr>
            <w:tcW w:w="1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7"/>
        </w:trPr>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92"/>
              </w:rPr>
              <w:t>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Ended September 30,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94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9"/>
        </w:trPr>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104.8</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37.8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86"/>
        </w:trPr>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167.0</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-2896870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-2579370</wp:posOffset>
            </wp:positionV>
            <wp:extent cx="713232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-3213735</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-839470</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-496570</wp:posOffset>
            </wp:positionV>
            <wp:extent cx="7132320"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-1190625</wp:posOffset>
            </wp:positionV>
            <wp:extent cx="713232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40"/>
            <w:col w:w="8640"/>
          </w:cols>
          <w:pgMar w:left="320" w:top="553" w:right="339" w:bottom="1440" w:gutter="0" w:footer="0" w:header="0"/>
          <w:type w:val="continuous"/>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Average Translation Rate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Average Translation Rate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Three Months Ended September</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Nine Months Ended September</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center"/>
              <w:ind w:right="87"/>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80" w:type="dxa"/>
            <w:vAlign w:val="bottom"/>
          </w:tcPr>
          <w:p>
            <w:pPr>
              <w:spacing w:after="0"/>
              <w:rPr>
                <w:sz w:val="12"/>
                <w:szCs w:val="12"/>
                <w:color w:val="auto"/>
              </w:rPr>
            </w:pPr>
          </w:p>
        </w:tc>
        <w:tc>
          <w:tcPr>
            <w:tcW w:w="8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660" w:type="dxa"/>
            <w:vAlign w:val="bottom"/>
            <w:gridSpan w:val="2"/>
          </w:tcPr>
          <w:p>
            <w:pPr>
              <w:ind w:left="40"/>
              <w:spacing w:after="0"/>
              <w:rPr>
                <w:sz w:val="20"/>
                <w:szCs w:val="20"/>
                <w:color w:val="auto"/>
              </w:rPr>
            </w:pPr>
            <w:r>
              <w:rPr>
                <w:rFonts w:ascii="Arial" w:cs="Arial" w:eastAsia="Arial" w:hAnsi="Arial"/>
                <w:sz w:val="14"/>
                <w:szCs w:val="14"/>
                <w:color w:val="auto"/>
              </w:rPr>
              <w:t>Currency (dollars per foreign currency)</w:t>
            </w:r>
          </w:p>
        </w:tc>
        <w:tc>
          <w:tcPr>
            <w:tcW w:w="18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4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0.6543</w:t>
            </w:r>
          </w:p>
        </w:tc>
        <w:tc>
          <w:tcPr>
            <w:tcW w:w="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0.6834</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0.6687</w:t>
            </w:r>
          </w:p>
        </w:tc>
        <w:tc>
          <w:tcPr>
            <w:tcW w:w="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0.7074</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British pounds sterling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1.2655</w:t>
            </w:r>
          </w:p>
        </w:tc>
        <w:tc>
          <w:tcPr>
            <w:tcW w:w="4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1.1766</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1.2440</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1.2585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0.7454</w:t>
            </w:r>
          </w:p>
        </w:tc>
        <w:tc>
          <w:tcPr>
            <w:tcW w:w="40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0.7662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0.7433</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0.7798</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1.0877</w:t>
            </w:r>
          </w:p>
        </w:tc>
        <w:tc>
          <w:tcPr>
            <w:tcW w:w="4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1.0072</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1.0829</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1.0650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0.0028</w:t>
            </w:r>
          </w:p>
        </w:tc>
        <w:tc>
          <w:tcPr>
            <w:tcW w:w="40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0.0025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0.0028</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0.0028</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0.0121</w:t>
            </w:r>
          </w:p>
        </w:tc>
        <w:tc>
          <w:tcPr>
            <w:tcW w:w="4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0.0125</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0.0121</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0.0129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Malaysian ringgit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0.2162</w:t>
            </w:r>
          </w:p>
        </w:tc>
        <w:tc>
          <w:tcPr>
            <w:tcW w:w="40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0.2233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0.2219</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0.2307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New Zealand dollar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0.6045</w:t>
            </w:r>
          </w:p>
        </w:tc>
        <w:tc>
          <w:tcPr>
            <w:tcW w:w="4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0.6134</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0.6174</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0.6469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0.2421</w:t>
            </w:r>
          </w:p>
        </w:tc>
        <w:tc>
          <w:tcPr>
            <w:tcW w:w="40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0.2128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0.2366</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0.2286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OPERATING RESULTS FOR THE THREE ANDSIX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results of operations for our EFT Processing Segment for the three and nine months ended September 30,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7"/>
          </w:tcPr>
          <w:p>
            <w:pPr>
              <w:ind w:left="60"/>
              <w:spacing w:after="0"/>
              <w:rPr>
                <w:sz w:val="20"/>
                <w:szCs w:val="20"/>
                <w:color w:val="auto"/>
              </w:rPr>
            </w:pPr>
            <w:r>
              <w:rPr>
                <w:rFonts w:ascii="Arial" w:cs="Arial" w:eastAsia="Arial" w:hAnsi="Arial"/>
                <w:sz w:val="14"/>
                <w:szCs w:val="14"/>
                <w:b w:val="1"/>
                <w:bCs w:val="1"/>
                <w:color w:val="auto"/>
                <w:w w:val="98"/>
              </w:rPr>
              <w:t>Three Months Ended September</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w:t>
            </w:r>
          </w:p>
        </w:tc>
        <w:tc>
          <w:tcPr>
            <w:tcW w:w="140" w:type="dxa"/>
            <w:vAlign w:val="bottom"/>
          </w:tcPr>
          <w:p>
            <w:pPr>
              <w:spacing w:after="0"/>
              <w:rPr>
                <w:sz w:val="14"/>
                <w:szCs w:val="14"/>
                <w:color w:val="auto"/>
              </w:rPr>
            </w:pPr>
          </w:p>
        </w:tc>
        <w:tc>
          <w:tcPr>
            <w:tcW w:w="2020" w:type="dxa"/>
            <w:vAlign w:val="bottom"/>
            <w:gridSpan w:val="3"/>
            <w:vMerge w:val="restart"/>
          </w:tcPr>
          <w:p>
            <w:pPr>
              <w:jc w:val="right"/>
              <w:ind w:right="34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60" w:type="dxa"/>
            <w:vAlign w:val="bottom"/>
          </w:tcPr>
          <w:p>
            <w:pPr>
              <w:jc w:val="center"/>
              <w:ind w:right="184"/>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00" w:type="dxa"/>
            <w:vAlign w:val="bottom"/>
            <w:gridSpan w:val="2"/>
          </w:tcPr>
          <w:p>
            <w:pPr>
              <w:ind w:left="40"/>
              <w:spacing w:after="0"/>
              <w:rPr>
                <w:sz w:val="20"/>
                <w:szCs w:val="20"/>
                <w:color w:val="auto"/>
              </w:rPr>
            </w:pPr>
            <w:r>
              <w:rPr>
                <w:rFonts w:ascii="Arial" w:cs="Arial" w:eastAsia="Arial" w:hAnsi="Arial"/>
                <w:sz w:val="14"/>
                <w:szCs w:val="14"/>
                <w:color w:val="auto"/>
              </w:rPr>
              <w:t>(dollar amounts in millions)</w:t>
            </w: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060" w:type="dxa"/>
            <w:vAlign w:val="bottom"/>
          </w:tcPr>
          <w:p>
            <w:pPr>
              <w:jc w:val="center"/>
              <w:ind w:right="184"/>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2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26.3</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400" w:type="dxa"/>
            <w:vAlign w:val="bottom"/>
            <w:tcBorders>
              <w:top w:val="single" w:sz="8" w:color="auto"/>
            </w:tcBorders>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714.1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106.3</w:t>
            </w: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71.9</w:t>
            </w: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10.6</w:t>
            </w:r>
          </w:p>
        </w:tc>
        <w:tc>
          <w:tcPr>
            <w:tcW w:w="1160" w:type="dxa"/>
            <w:vAlign w:val="bottom"/>
            <w:gridSpan w:val="2"/>
          </w:tcPr>
          <w:p>
            <w:pPr>
              <w:jc w:val="right"/>
              <w:ind w:right="4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w:t>
            </w: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6"/>
              </w:rPr>
              <w:t>Depreciation and amortization</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0.8</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160" w:type="dxa"/>
            <w:vAlign w:val="bottom"/>
            <w:tcBorders>
              <w:bottom w:val="single" w:sz="8" w:color="CCEEFF"/>
            </w:tcBorders>
            <w:gridSpan w:val="2"/>
          </w:tcPr>
          <w:p>
            <w:pPr>
              <w:jc w:val="right"/>
              <w:ind w:right="4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549.2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90.4</w:t>
            </w: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6"/>
        </w:trPr>
        <w:tc>
          <w:tcPr>
            <w:tcW w:w="25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15.9</w:t>
            </w:r>
          </w:p>
        </w:tc>
        <w:tc>
          <w:tcPr>
            <w:tcW w:w="1160" w:type="dxa"/>
            <w:vAlign w:val="bottom"/>
            <w:tcBorders>
              <w:bottom w:val="single" w:sz="8" w:color="CCEEFF"/>
            </w:tcBorders>
            <w:gridSpan w:val="2"/>
          </w:tcPr>
          <w:p>
            <w:pPr>
              <w:jc w:val="right"/>
              <w:ind w:right="4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69"/>
        </w:trPr>
        <w:tc>
          <w:tcPr>
            <w:tcW w:w="250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8"/>
                <w:szCs w:val="18"/>
                <w:color w:val="auto"/>
              </w:rPr>
              <w:t>Transactions processed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1,469</w:t>
            </w: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5"/>
        </w:trPr>
        <w:tc>
          <w:tcPr>
            <w:tcW w:w="2500" w:type="dxa"/>
            <w:vAlign w:val="bottom"/>
            <w:gridSpan w:val="2"/>
          </w:tcPr>
          <w:p>
            <w:pPr>
              <w:ind w:left="180"/>
              <w:spacing w:after="0"/>
              <w:rPr>
                <w:sz w:val="20"/>
                <w:szCs w:val="20"/>
                <w:color w:val="auto"/>
              </w:rPr>
            </w:pPr>
            <w:r>
              <w:rPr>
                <w:rFonts w:ascii="Arial" w:cs="Arial" w:eastAsia="Arial" w:hAnsi="Arial"/>
                <w:sz w:val="18"/>
                <w:szCs w:val="18"/>
                <w:color w:val="auto"/>
                <w:w w:val="96"/>
              </w:rPr>
              <w:t>Active ATMs as of September</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80" w:type="dxa"/>
            <w:vAlign w:val="bottom"/>
          </w:tcPr>
          <w:p>
            <w:pPr>
              <w:ind w:left="1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51,496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49,617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1,879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51,496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49,617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1,879</w:t>
            </w:r>
          </w:p>
        </w:tc>
        <w:tc>
          <w:tcPr>
            <w:tcW w:w="1160" w:type="dxa"/>
            <w:vAlign w:val="bottom"/>
            <w:gridSpan w:val="2"/>
          </w:tcPr>
          <w:p>
            <w:pPr>
              <w:jc w:val="right"/>
              <w:ind w:right="4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Active ATMs</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47,581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1,898</w:t>
            </w: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EFT Processing Segment total revenues were $345.8 million for the three months ended September 30, 2023, an increase of $26.3 million or 8% compared to the same period in 2022. EFT Processing Segment total revenues were $820.4 million for the nine months ended September 30, 2023, an increase of $106.3 million or 15%. The increase in revenues was primarily due to the increase in domestic and international cash withdrawal transactions resulting from the increase in travel bringing more tourists, the increase in low-value point-of-sale transactions in Europe and low-value payment processing transactions in Asia Pacific. Fluctuations in foreign currency exchange rates increased revenues by approximately $19.3 million and $1.2 million for the three and nine months ended September 30, 2023 compared to the same period in 2022.</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Average monthly revenues per ATM increased to $2,222 for the three months ended September 30, 2023 compared to $2,113 for the same period in 2022. Average monthly revenues per ATM increased to $1,842 for the nine months ended September 30, 2023 compared to $1,668 for the same period in 2022. Revenues per transaction decreased to $0.15 for the three months ended September 30, 2023 compared to $0.18 for the same period in 2022. Revenues per transaction decreased to $0.13 for the nine months ended September 30, 2023 compared to $0.15 for the same period in 2022. The increase in average monthly revenues per ATM was primarily due to an increase in POS acquiring transactions in Europe and increases in low value payment processing transactions in India, partially offset by a decrease in our most profitable ATM transactions as European travelers traveling within Europe were negatively impacted by inflation. The decreases in revenues per transaction were primarily due to the decreases of our most profitable international transactions driven by a decline in Croatia due to the switch from kuna to the euro at the beginning of the year and inflationary pressures on travel budgets in Europe.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EFT Processing Segment direct operating costs were $165.7 million for the three months ended September 30, 2023, an increase of $27.9 million or 20% compared to the same period in 2022. EFT Processing Segment direct operating costs were $426.8 million for the nine months ended September 30, 2023, an increase of $71.9 million or 20% compared to the same period in 2022.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The increase in direct costs was primarily due to the increase in number of ATMs, and an increase in high volume low value cash transactions in Asia Pacific. Fluctuations in foreign currency exchange rates increased direct operating costs by approximately $9.7 million and $0.3 million for the three and nine months ended September 30, 2023 compared to the same period in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which is calculated as revenues less direct operating costs, was $180.1 million for the three months ended September 30, 2023, a decrease of $1.6 million or 1% compared to $181.7 million for the same period in 2022. Gross profit was $393.6 million for the nine months ended September 30, 2023, an increase of $34.4 million or 10% compared to $359.2 million for the same period in 2022. Gross profit as a percentage of revenues (“gross margin”) decreased to 52.1% and 48.0% for the three and nine months ended September 30, 2023, compared to 56.9% and 50.3% for the same periods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Salaries and benefits expenses were $35.2 million for the three months ended September 30, 2023, an increase of $5.2 million or 17% compared to the same period in 2022. Salaries and benefits expenses were $93.5 million for the nine months ended September 30, 2023, an increase of $10.6 million or 13% compared to the same period in 2022. The increase is primarily due to an increase in headcount to support the growth of the business and salary increases due to inflationary pressures. Fluctuations in foreign currency exchange rates in the countries in which we employ our workforce increased salaries by approximately $2.1 million for the three months ended September 30, 2023, with no impact for the nine months ended September 30, 2023. As a percentage of revenues, salary expense increased and decreased, respectively to 10.2% and 11.4% for the three and nine months ended September 30, 2023, compared to 9.4% and 11.6% for the same periods in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were $16.2 million for the three months ended September 30, 2023, an increase of $4.0 million or 33% compared to the same period in 2022. Selling, general and administrative expenses were $48.9 million for the nine months ended September 30, 2023, an increase of $8.6 million or 21% compared to the same period in 2022. The increase was primarily due to an increase in professional fees. As a percentage of revenues, these expenses increased to 4.7% and 6.0% for the three and nine months ended September 30, 2023, compared to 3.8% and 5.6% for the same periods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were $23.9 million for the three months ended September 30, 2023, an increase of $0.8 million or 3% compared to the same period in 2022. Depreciation and amortization expenses were $70.4 million for the nine months ended September 30, 2023, a decrease of $0.7 million or 1% compared to the same period in 2022. As a percentage of revenues, these expenses decreased to 6.9% and 8.6% for the three and nine months ended September 30, 2023, compared to 7.2% and 10.0% for the same periods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EFT Processing Segment had operating income of $104.8 million for the three months ended September 30, 2023, a decrease of $11.6 million or 10% compared to the same period in 2022. EFT Processing Segment had operating income of $180.8 million for the nine months ended September 30, 2023, an increase of $15.9 million or 10% compared to the same period in 2022.Operating income as a percentage of revenues (“operating margin”) decreased to 30.3% and 22.0% for the three and nine months ended September 30, 2023, compared to 36.4% and 23.1%for the same periods in 2022. The decrease in operating income and operating margin were the result of decreases in our most profitable international transactions driven by a decline in Croatia due to the switch from kuna to the euro at the beginning of the year and inflationary pressures on travel budgets in Europe, compared to the same periods in 2022.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nine months ended September 30, 2023 and 2022 for our epay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7"/>
          </w:tcPr>
          <w:p>
            <w:pPr>
              <w:ind w:left="40"/>
              <w:spacing w:after="0"/>
              <w:rPr>
                <w:sz w:val="20"/>
                <w:szCs w:val="20"/>
                <w:color w:val="auto"/>
              </w:rPr>
            </w:pPr>
            <w:r>
              <w:rPr>
                <w:rFonts w:ascii="Arial" w:cs="Arial" w:eastAsia="Arial" w:hAnsi="Arial"/>
                <w:sz w:val="14"/>
                <w:szCs w:val="14"/>
                <w:b w:val="1"/>
                <w:bCs w:val="1"/>
                <w:color w:val="auto"/>
                <w:w w:val="97"/>
              </w:rPr>
              <w:t>Three Months Ended September</w:t>
            </w:r>
          </w:p>
        </w:tc>
        <w:tc>
          <w:tcPr>
            <w:tcW w:w="140" w:type="dxa"/>
            <w:vAlign w:val="bottom"/>
          </w:tcPr>
          <w:p>
            <w:pPr>
              <w:spacing w:after="0"/>
              <w:rPr>
                <w:sz w:val="14"/>
                <w:szCs w:val="14"/>
                <w:color w:val="auto"/>
              </w:rPr>
            </w:pPr>
          </w:p>
        </w:tc>
        <w:tc>
          <w:tcPr>
            <w:tcW w:w="2000" w:type="dxa"/>
            <w:vAlign w:val="bottom"/>
            <w:gridSpan w:val="3"/>
            <w:vMerge w:val="restart"/>
          </w:tcPr>
          <w:p>
            <w:pPr>
              <w:jc w:val="right"/>
              <w:ind w:right="264"/>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vMerge w:val="restart"/>
          </w:tcPr>
          <w:p>
            <w:pPr>
              <w:spacing w:after="0"/>
              <w:rPr>
                <w:sz w:val="14"/>
                <w:szCs w:val="14"/>
                <w:color w:val="auto"/>
              </w:rPr>
            </w:pPr>
          </w:p>
        </w:tc>
        <w:tc>
          <w:tcPr>
            <w:tcW w:w="2160" w:type="dxa"/>
            <w:vAlign w:val="bottom"/>
            <w:gridSpan w:val="7"/>
          </w:tcPr>
          <w:p>
            <w:pPr>
              <w:ind w:left="60"/>
              <w:spacing w:after="0"/>
              <w:rPr>
                <w:sz w:val="20"/>
                <w:szCs w:val="20"/>
                <w:color w:val="auto"/>
              </w:rPr>
            </w:pPr>
            <w:r>
              <w:rPr>
                <w:rFonts w:ascii="Arial" w:cs="Arial" w:eastAsia="Arial" w:hAnsi="Arial"/>
                <w:sz w:val="14"/>
                <w:szCs w:val="14"/>
                <w:b w:val="1"/>
                <w:bCs w:val="1"/>
                <w:color w:val="auto"/>
              </w:rPr>
              <w:t>Nine Months Ended September</w:t>
            </w:r>
          </w:p>
        </w:tc>
        <w:tc>
          <w:tcPr>
            <w:tcW w:w="140" w:type="dxa"/>
            <w:vAlign w:val="bottom"/>
          </w:tcPr>
          <w:p>
            <w:pPr>
              <w:spacing w:after="0"/>
              <w:rPr>
                <w:sz w:val="14"/>
                <w:szCs w:val="14"/>
                <w:color w:val="auto"/>
              </w:rPr>
            </w:pPr>
          </w:p>
        </w:tc>
        <w:tc>
          <w:tcPr>
            <w:tcW w:w="2040" w:type="dxa"/>
            <w:vAlign w:val="bottom"/>
            <w:gridSpan w:val="3"/>
            <w:vMerge w:val="restart"/>
          </w:tcPr>
          <w:p>
            <w:pPr>
              <w:jc w:val="right"/>
              <w:ind w:right="284"/>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3"/>
                <w:szCs w:val="13"/>
                <w:color w:val="auto"/>
              </w:rPr>
            </w:pPr>
          </w:p>
        </w:tc>
        <w:tc>
          <w:tcPr>
            <w:tcW w:w="11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1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380" w:type="dxa"/>
            <w:vAlign w:val="bottom"/>
            <w:gridSpan w:val="2"/>
          </w:tcPr>
          <w:p>
            <w:pPr>
              <w:ind w:left="40"/>
              <w:spacing w:after="0"/>
              <w:rPr>
                <w:sz w:val="20"/>
                <w:szCs w:val="20"/>
                <w:color w:val="auto"/>
              </w:rPr>
            </w:pPr>
            <w:r>
              <w:rPr>
                <w:rFonts w:ascii="Arial" w:cs="Arial" w:eastAsia="Arial" w:hAnsi="Arial"/>
                <w:sz w:val="14"/>
                <w:szCs w:val="14"/>
                <w:color w:val="auto"/>
              </w:rPr>
              <w:t>(dollar amounts in millions)</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2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248.9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380" w:type="dxa"/>
            <w:vAlign w:val="bottom"/>
            <w:tcBorders>
              <w:top w:val="single" w:sz="8" w:color="auto"/>
            </w:tcBorders>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712.4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53.3</w:t>
            </w: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11.2</w:t>
            </w: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41.5</w:t>
            </w:r>
          </w:p>
        </w:tc>
        <w:tc>
          <w:tcPr>
            <w:tcW w:w="114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right"/>
              <w:ind w:right="2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7.0</w:t>
            </w:r>
          </w:p>
        </w:tc>
        <w:tc>
          <w:tcPr>
            <w:tcW w:w="1140" w:type="dxa"/>
            <w:vAlign w:val="bottom"/>
            <w:gridSpan w:val="2"/>
          </w:tcPr>
          <w:p>
            <w:pPr>
              <w:jc w:val="right"/>
              <w:ind w:right="2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0.4</w:t>
            </w:r>
          </w:p>
        </w:tc>
        <w:tc>
          <w:tcPr>
            <w:tcW w:w="1120" w:type="dxa"/>
            <w:vAlign w:val="bottom"/>
            <w:tcBorders>
              <w:bottom w:val="single" w:sz="8" w:color="CCEEFF"/>
            </w:tcBorders>
            <w:gridSpan w:val="2"/>
          </w:tcPr>
          <w:p>
            <w:pPr>
              <w:jc w:val="right"/>
              <w:ind w:right="2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0.4</w:t>
            </w:r>
          </w:p>
        </w:tc>
        <w:tc>
          <w:tcPr>
            <w:tcW w:w="1140" w:type="dxa"/>
            <w:vAlign w:val="bottom"/>
            <w:tcBorders>
              <w:bottom w:val="single" w:sz="8" w:color="CCEEFF"/>
            </w:tcBorders>
            <w:gridSpan w:val="2"/>
          </w:tcPr>
          <w:p>
            <w:pPr>
              <w:jc w:val="right"/>
              <w:ind w:right="2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Total 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219.8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16.4</w:t>
            </w: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632.8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50.3</w:t>
            </w:r>
          </w:p>
        </w:tc>
        <w:tc>
          <w:tcPr>
            <w:tcW w:w="114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3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120" w:type="dxa"/>
            <w:vAlign w:val="bottom"/>
            <w:tcBorders>
              <w:bottom w:val="single" w:sz="8" w:color="CCEEFF"/>
            </w:tcBorders>
            <w:gridSpan w:val="2"/>
          </w:tcPr>
          <w:p>
            <w:pPr>
              <w:jc w:val="right"/>
              <w:ind w:right="2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CCEEFF"/>
            </w:tcBorders>
            <w:gridSpan w:val="2"/>
          </w:tcPr>
          <w:p>
            <w:pPr>
              <w:jc w:val="right"/>
              <w:ind w:right="2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8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8"/>
                <w:szCs w:val="18"/>
                <w:color w:val="auto"/>
              </w:rPr>
              <w:t>Transactions processed</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4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epay Segment total revenues were $264.5 million for the three months ended September 30, 2023, an increase of $15.6 million or 6% compared to the same period in 2022. epay Segment total revenues were $765.7 million for the nine months ended September 30, 2023, an increase of $53.3 million or 7% compared to the same period in 2022. The increase in revenue for the three months ended September 30, 2023 was driven by continued expansion in mobile and digital branded payments. Fluctuations in foreign currency exchange rates increased revenue by approximately $11.9 million for the three months ended September 30, 2023, compared to the same period in 2022. Fluctuations in foreign currency exchange rates did not impact the nine months ended September 30, 2023.</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per transaction increased to $0.29 and $0.27 for the three and nine months ended September 30, 2023, respectively, compared to $0.27 and $0.25 for the same periods in 2022. The increase in revenue per transaction was primarily due to the rise in account activations, coupled with improved margins, reduced costs, and a boost in sales volume, offset by declines in promotional campaigns delivered on behalf of our retail partners that were recognized in the prior year that did not repeat in the third quarter this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epay Segment direct operating costs were $201.3 million for the three months ended September 30, 2023, an increase of $11.2 million or 6% compared to the same period in 2022. epay Segment direct operating costs were $583.6 million for the nine months ended September 30, 2023, an increase of $41.5 million or 8% compared to the same period in 2022. Direct operating costs primarily consist of the commissions paid to retail merchants for the distribution and sale of prepaid mobile airtime and other prepaid products, expenses incurred to operate POS terminals and the cost of vouchers sold and physical gifts fulfilled. Foreign currency exchange rates increased direct operating costs by $9.4 million and $0.2 million for the three and nine months ended September 30, 2023compared to the same periods in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$63.2 million for the three months ended September 30, 2023, an increase of $4.4 million or 7% compared to $58.8 million for the same period in 2022. Gross profit was $182.1 million for the nine months ended September 30, 2023, an increase of $11.8 million or 7% compared to $170.3 million for the same period in 2022. Gross margin increased and decreased, respectively to 23.9% and 23.8% for the three and nine months ended September 30, 2023, compared to 23.6% and 23.9% for the same periods in 2022. The change in gross profit and gross margin was primarily due to the shift in the mix of transactions processed.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Salaries and benefits expenses were $23.4 million for the three months ended September 30, 2023, an increase of $3.6 million or 18% compared to the same period in 2022. Salaries and benefits expenses were $66.8 million for the nine months ended September 30, 2023, an increase of $7.0 million or 12% compared to the same period in 2022. The fluctuations in salaries and benefits were driven by an increase in headcount to support the growth of the business and salary increases due to inflationary pressures. As a percentage of revenues, these expenses increased to 8.8% and 8.7%, respectively, for the three and nine months ended September 30, 2023, compared to 8.0% and 8.4% for the same periods in 2022. Fluctuations in foreign currency exchange rates in the countries in which we employ our workforce increased salaries by approximately $1.1 million for the three months ended September 30, 2023 as compared to the same period in 2022. Fluctuations in foreign currency exchange rates did not impact the nine months ended September 30, 2023, as compared to the same period in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general and administrative expenses were $9.7 million for the three months ended September 30, 2023, an increase of $1.2 million or 14% compared to the same period in 2022. Selling, general and administrative expenses were $27.6 million for the nine months ended September 30, 2023, an increase of $1.4 million or 5% compared to the same periods in 2022. As a percentage of revenues, these expenses increased and decreased, respectively to 3.7% and 3.6% for the three and nine months ended September 30, 2023, compared to 3.4% and 3.7% for the same periods in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Depreciation and amortization expenses were $1.8 million for the three months ended September 30, 2023, an increase of $0.4 million or 29% compared to the same period in 2022. Depreciation and amortization expenses were $5.1 million for the nine months ended September 30, 2023, an increase of $0.4 million compared to the same period in 2022. Depreciation and amortization expense primarily represents depreciation of POS terminals we install in retail stores and amortization of acquired intangible assets. As a percentage of revenues, these expenses were 0.7% and 0.7% for the three and nine months ended September 30, 2023, respectively, compared to 0.6% and 0.7% for the same periods in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epay Segment operating income was $28.3 million for the three months ended September 30, 2023, a decrease of $0.8 million or 3% compared to the same period in 2022. epay Segment operating income was $82.6 million for the nine months ended September 30, 2023, an increase of $3.0 million or 4% compared to the same period in 2022. Operating margin decreased to 10.7% and 10.8% for the three and nine months ended September 30, 2023, compared to 11.7% and 11.2% for the same periods in 2022. Operating income per transaction was $0.03 for both the three and nine months ended September 30, 2023 compared to $0.03 for both the same periods in 2022.Changes in operating income and operating margin for the three and nine months ended September 30, 2023 compared to the same periods in 2022 were primarily due to the shift in the mix of transactions processed and a decline in the promotional campaign activity this quarter compared to the same period last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 months ended September 30, 2023 and 2022 for the Money Transfer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20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Three Months Ended September</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140" w:type="dxa"/>
            <w:vAlign w:val="bottom"/>
          </w:tcPr>
          <w:p>
            <w:pPr>
              <w:spacing w:after="0"/>
              <w:rPr>
                <w:sz w:val="14"/>
                <w:szCs w:val="14"/>
                <w:color w:val="auto"/>
              </w:rPr>
            </w:pPr>
          </w:p>
        </w:tc>
        <w:tc>
          <w:tcPr>
            <w:tcW w:w="2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Nine Months Ended September</w:t>
            </w:r>
          </w:p>
        </w:tc>
        <w:tc>
          <w:tcPr>
            <w:tcW w:w="100" w:type="dxa"/>
            <w:vAlign w:val="bottom"/>
          </w:tcPr>
          <w:p>
            <w:pPr>
              <w:spacing w:after="0"/>
              <w:rPr>
                <w:sz w:val="14"/>
                <w:szCs w:val="14"/>
                <w:color w:val="auto"/>
              </w:rPr>
            </w:pPr>
          </w:p>
        </w:tc>
        <w:tc>
          <w:tcPr>
            <w:tcW w:w="2160" w:type="dxa"/>
            <w:vAlign w:val="bottom"/>
            <w:gridSpan w:val="2"/>
            <w:vMerge w:val="restart"/>
          </w:tcPr>
          <w:p>
            <w:pPr>
              <w:jc w:val="right"/>
              <w:ind w:right="33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30,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94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Increase</w:t>
            </w:r>
          </w:p>
        </w:tc>
        <w:tc>
          <w:tcPr>
            <w:tcW w:w="126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9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2"/>
                <w:szCs w:val="12"/>
                <w:color w:val="auto"/>
              </w:rPr>
            </w:pPr>
          </w:p>
        </w:tc>
        <w:tc>
          <w:tcPr>
            <w:tcW w:w="8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12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millions)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Percent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1,150.1</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1,072.4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77.7</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593.6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28.3</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25.5</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1"/>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7.1</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6"/>
              </w:rPr>
              <w:t>Depreciation and amortization</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6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58.8</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5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13.0</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18.9</w:t>
            </w:r>
          </w:p>
        </w:tc>
        <w:tc>
          <w:tcPr>
            <w:tcW w:w="126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69"/>
        </w:trPr>
        <w:tc>
          <w:tcPr>
            <w:tcW w:w="2500" w:type="dxa"/>
            <w:vAlign w:val="bottom"/>
            <w:shd w:val="clear" w:color="auto" w:fill="CCEEFF"/>
          </w:tcPr>
          <w:p>
            <w:pPr>
              <w:ind w:left="180"/>
              <w:spacing w:after="0" w:line="169" w:lineRule="exact"/>
              <w:rPr>
                <w:sz w:val="20"/>
                <w:szCs w:val="20"/>
                <w:color w:val="auto"/>
              </w:rPr>
            </w:pPr>
            <w:r>
              <w:rPr>
                <w:rFonts w:ascii="Arial" w:cs="Arial" w:eastAsia="Arial" w:hAnsi="Arial"/>
                <w:sz w:val="18"/>
                <w:szCs w:val="18"/>
                <w:color w:val="auto"/>
              </w:rPr>
              <w:t>Transactions processed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10.7</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Money Transfer Segment total revenues were $395.9 million for the three months ended September 30, 2023, an increase of $31.0 million or 8% compared to the same period in 2022. Money Transfer Segment total revenues were $1,150.1 million for the nine months ended September 30, 2023, an increase of $77.7 million or 7% compared to the same period in 2022. The increase in revenues was primarily due to an increase in international-originated money transfers, U.S. outbound transactions, and direct-to-consumer digital transactions, partially offset by a decrease in U.S. domestic transactions. Revenues per transaction decreased to $9.75 and $9.65 for the three and nine months ended September 30, 2023, compared to $9.68 and $9.88 for the same period in 2022 due to a shift in the mix of transactions processed. Fluctuations in foreign currency exchange rates increased revenues by approximately $10.8 million for the three months ended September 30, 2023, compared to the same period in 2022. Fluctuations in foreign currency exchange rates did not impact the nine months ended September 30, 2023, compared to the same period in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Money Transfer Segment direct operating costs were $211.9 million for the three months ended September 30, 2023, an increase of 11.8 million or 6% compared to the same period in 2022. Money Transfer Segment direct operating costs were $621.9 million for the nine months ended September 30, 2023, an increase of $28.3 million or 5% compared to the same period in 2022.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international-originated and U.S. outbound money transfer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Gross profit was $184.0 million for the three months ended September 30, 2023, an increase of $19.2 million or 12% compared to $164.8 million for the same period in 2022. Gross profit was $528.2 million for the nine months ended September 30, 2023, an increase of $49.4 million or 10% compared to $478.8 million for the same period in 2022. Gross margin increased to 46.5% and 45.9% for the three and nine months ended September 30, 2023, compared to 45.2% and 44.6% for the same periods in 2022. The increase in gross profit and gross margin was primarily due t.o increases in international-originated money transfers, U.S. outbound transactions and direct-to-consumer digital transactions.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Salaries and benefits expenses were $77.6 million for the three months ended September 30, 2023, an increase of $8.0 million or 11% compared to the same period in 2022. Salaries and benefits expenses were $230.4 million for the nine months ended September 30, 2023, an increase of $25.5 million or 12% compared to the same period in 2022. The increase in salaries and benefits was primarily driven by an increase in headcount to support the growth of the business and salary increases due to inflationary pressures. As a percentage of revenues, these expenses increased to 19.6% and 20.0% for the three and nine months ended September 30, 2023, compared to 19.1% and 19.1%, for the same periods in 2022. Fluctuations in foreign currency exchange rates in the countries in which we employ our workforce increased salaries by approximately $2.0 million for the three months ended September 30, 2023, as compared to the same period in 2022. Fluctuations in foreign currency exchange rates did not impact the nine months ended September 30, 2023, compared to the same period in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were $45.7 million for the three months ended September 30, 2023, a decrease of $0.6 million or 1% compared to the same period in 2022. Selling, general and administrative expenses were $140.7 million for the nine months ended September 30, 2023, an increase of $7.1 million or 5% compared to the same period in 2022. As a percentage of revenues, these expenses decreased to 11.5% and 12.2% for the three and nine months ended September 30, 2023, compared to 12.7% and 12.5% for the same periods in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expenses were $7.0 million for the three months ended September 30, 2023, a decrease of $1.2 million or 15% compared to the same period in 2022. Depreciation and amortization expenses were $23.6 million for the nine months ended September 30, 2023, a decrease of $2.1 million or 8% compared to the same period in 2022. Depreciation and amortization expense primarily represents amortization of acquired intangible assets and depreciation of money transfer terminals, computers and software, leasehold improvements and office equipment. As a percentage of revenues, these expenses decreased to 1.8% and 2.1% for the three and nine months ended September 30, 2023, compared to 2.2% and 2.4% for the same periods in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Money Transfer Segment operating income was $53.7 million for the three months ended September 30, 2023, an increase of $13.0 million or 32% compared to the same period in 2022. Money Transfer Segment operating income was $133.5 million for the nine months ended September 30, 2023, an increase of $18.9 million or 16% compared to the same period in 2022. Operating margin increased to 13.6% and 11.6% for the three and nine months ended September 30, 2023, compared to 11.2% and 10.7% for the same periods in 2022. Operating income per transaction increased to $1.32 and $1.12, respectively, for the three and nine months ended September 30, 2023, compared to $1.08 and $1.06 for the same period in 2022 due to a shift in the mix of transactions processed.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nine months ended September 30, 2023 and 2022 for Corporate Services: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spacing w:after="0"/>
              <w:rPr>
                <w:sz w:val="20"/>
                <w:szCs w:val="20"/>
                <w:color w:val="auto"/>
              </w:rPr>
            </w:pPr>
            <w:r>
              <w:rPr>
                <w:rFonts w:ascii="Arial" w:cs="Arial" w:eastAsia="Arial" w:hAnsi="Arial"/>
                <w:sz w:val="14"/>
                <w:szCs w:val="14"/>
                <w:b w:val="1"/>
                <w:bCs w:val="1"/>
                <w:color w:val="auto"/>
                <w:w w:val="97"/>
              </w:rPr>
              <w:t>Three Months Ended September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vMerge w:val="restart"/>
          </w:tcPr>
          <w:p>
            <w:pPr>
              <w:jc w:val="right"/>
              <w:ind w:right="298"/>
              <w:spacing w:after="0"/>
              <w:rPr>
                <w:sz w:val="20"/>
                <w:szCs w:val="20"/>
                <w:color w:val="auto"/>
              </w:rPr>
            </w:pPr>
            <w:r>
              <w:rPr>
                <w:rFonts w:ascii="Arial" w:cs="Arial" w:eastAsia="Arial" w:hAnsi="Arial"/>
                <w:sz w:val="14"/>
                <w:szCs w:val="14"/>
                <w:b w:val="1"/>
                <w:bCs w:val="1"/>
                <w:color w:val="auto"/>
                <w:w w:val="99"/>
              </w:rPr>
              <w:t>Year-over-Year Change</w:t>
            </w:r>
          </w:p>
        </w:tc>
        <w:tc>
          <w:tcPr>
            <w:tcW w:w="120" w:type="dxa"/>
            <w:vAlign w:val="bottom"/>
          </w:tcPr>
          <w:p>
            <w:pPr>
              <w:spacing w:after="0"/>
              <w:rPr>
                <w:sz w:val="14"/>
                <w:szCs w:val="14"/>
                <w:color w:val="auto"/>
              </w:rPr>
            </w:pPr>
          </w:p>
        </w:tc>
        <w:tc>
          <w:tcPr>
            <w:tcW w:w="2100" w:type="dxa"/>
            <w:vAlign w:val="bottom"/>
            <w:gridSpan w:val="6"/>
          </w:tcPr>
          <w:p>
            <w:pPr>
              <w:jc w:val="center"/>
              <w:ind w:right="34"/>
              <w:spacing w:after="0"/>
              <w:rPr>
                <w:sz w:val="20"/>
                <w:szCs w:val="20"/>
                <w:color w:val="auto"/>
              </w:rPr>
            </w:pPr>
            <w:r>
              <w:rPr>
                <w:rFonts w:ascii="Arial" w:cs="Arial" w:eastAsia="Arial" w:hAnsi="Arial"/>
                <w:sz w:val="14"/>
                <w:szCs w:val="14"/>
                <w:b w:val="1"/>
                <w:bCs w:val="1"/>
                <w:color w:val="auto"/>
                <w:w w:val="93"/>
              </w:rPr>
              <w:t>Nine Months Ended September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3"/>
            <w:vMerge w:val="restart"/>
          </w:tcPr>
          <w:p>
            <w:pPr>
              <w:jc w:val="right"/>
              <w:ind w:right="46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1"/>
              </w:rPr>
              <w:t>30,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1"/>
              </w:rPr>
              <w:t>30,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Increase</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3"/>
                <w:szCs w:val="13"/>
                <w:color w:val="auto"/>
              </w:rPr>
            </w:pPr>
          </w:p>
        </w:tc>
        <w:tc>
          <w:tcPr>
            <w:tcW w:w="1140" w:type="dxa"/>
            <w:vAlign w:val="bottom"/>
          </w:tcPr>
          <w:p>
            <w:pPr>
              <w:jc w:val="center"/>
              <w:ind w:right="181"/>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(Decrease)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114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380" w:type="dxa"/>
            <w:vAlign w:val="bottom"/>
            <w:gridSpan w:val="2"/>
          </w:tcPr>
          <w:p>
            <w:pPr>
              <w:ind w:left="40"/>
              <w:spacing w:after="0"/>
              <w:rPr>
                <w:sz w:val="20"/>
                <w:szCs w:val="20"/>
                <w:color w:val="auto"/>
              </w:rPr>
            </w:pPr>
            <w:r>
              <w:rPr>
                <w:rFonts w:ascii="Arial" w:cs="Arial" w:eastAsia="Arial" w:hAnsi="Arial"/>
                <w:sz w:val="14"/>
                <w:szCs w:val="14"/>
                <w:color w:val="auto"/>
              </w:rPr>
              <w:t>(dollar amounts in millions)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4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238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Depreciation and amortization</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38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8.9</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Corporate operating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Corporate operating expenses were $19.8 million and $61.7 million for the three and nine months ended September 30, 2023, an increase of $2.1 million or 12% and $8.9 million or 17% compared to the same periods in 2022. The increase is primarily due to an increase in long-term and short-term incentive compensation expense for the three and nine months ended September 30, 2023, compared to the same periods in 2022, due to improved company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3"/>
            <w:vMerge w:val="restart"/>
          </w:tcPr>
          <w:p>
            <w:pPr>
              <w:jc w:val="right"/>
              <w:ind w:right="304"/>
              <w:spacing w:after="0"/>
              <w:rPr>
                <w:sz w:val="20"/>
                <w:szCs w:val="20"/>
                <w:color w:val="auto"/>
              </w:rPr>
            </w:pPr>
            <w:r>
              <w:rPr>
                <w:rFonts w:ascii="Arial" w:cs="Arial" w:eastAsia="Arial" w:hAnsi="Arial"/>
                <w:sz w:val="14"/>
                <w:szCs w:val="14"/>
                <w:b w:val="1"/>
                <w:bCs w:val="1"/>
                <w:color w:val="auto"/>
                <w:w w:val="99"/>
              </w:rPr>
              <w:t>Year-over-Year Change</w:t>
            </w:r>
          </w:p>
        </w:tc>
        <w:tc>
          <w:tcPr>
            <w:tcW w:w="100" w:type="dxa"/>
            <w:vAlign w:val="bottom"/>
          </w:tcPr>
          <w:p>
            <w:pPr>
              <w:spacing w:after="0"/>
              <w:rPr>
                <w:sz w:val="14"/>
                <w:szCs w:val="14"/>
                <w:color w:val="auto"/>
              </w:rPr>
            </w:pPr>
          </w:p>
        </w:tc>
        <w:tc>
          <w:tcPr>
            <w:tcW w:w="2120" w:type="dxa"/>
            <w:vAlign w:val="bottom"/>
            <w:gridSpan w:val="6"/>
          </w:tcPr>
          <w:p>
            <w:pPr>
              <w:jc w:val="center"/>
              <w:ind w:right="33"/>
              <w:spacing w:after="0"/>
              <w:rPr>
                <w:sz w:val="20"/>
                <w:szCs w:val="20"/>
                <w:color w:val="auto"/>
              </w:rPr>
            </w:pPr>
            <w:r>
              <w:rPr>
                <w:rFonts w:ascii="Arial" w:cs="Arial" w:eastAsia="Arial" w:hAnsi="Arial"/>
                <w:sz w:val="14"/>
                <w:szCs w:val="14"/>
                <w:b w:val="1"/>
                <w:bCs w:val="1"/>
                <w:color w:val="auto"/>
                <w:w w:val="92"/>
              </w:rPr>
              <w:t>Nine Months Ended September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w w:val="99"/>
              </w:rPr>
              <w:t>Ended 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3"/>
                <w:szCs w:val="13"/>
                <w:color w:val="auto"/>
              </w:rPr>
            </w:pPr>
          </w:p>
        </w:tc>
        <w:tc>
          <w:tcPr>
            <w:tcW w:w="94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110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9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millions)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w:t>
            </w:r>
          </w:p>
        </w:tc>
        <w:tc>
          <w:tcPr>
            <w:tcW w:w="12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1200" w:type="dxa"/>
            <w:vAlign w:val="bottom"/>
            <w:gridSpan w:val="2"/>
          </w:tcPr>
          <w:p>
            <w:pPr>
              <w:jc w:val="right"/>
              <w:ind w:right="68"/>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w w:val="91"/>
              </w:rPr>
              <w:t>Foreign currency exchange gain</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net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32.4</w:t>
            </w:r>
          </w:p>
        </w:tc>
        <w:tc>
          <w:tcPr>
            <w:tcW w:w="12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Other gains (losses)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ind w:right="84"/>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200" w:type="dxa"/>
            <w:vAlign w:val="bottom"/>
            <w:gridSpan w:val="2"/>
          </w:tcPr>
          <w:p>
            <w:pPr>
              <w:jc w:val="right"/>
              <w:ind w:right="6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28.8</w:t>
            </w:r>
          </w:p>
        </w:tc>
        <w:tc>
          <w:tcPr>
            <w:tcW w:w="12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was $4.0 million for the three months ended September 30, 2023, an increase of $3.4 million or 567% compared to the same period in 2022. Interest income was $10.1 million for the nine months ended September 30, 2023, an increase of $9.2 million or 1,022% compared to the same period in 2022. This increase was driven by an increase in interest rates on our interest bearing bank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was $15.0 million for the three months ended September 30, 2023, an increase of $3.3 million or 28% compared to the same period in 2022. Interest expense was $39.1 million for the nine months ended September 30, 2023, an increase of $12.5 million or 47% compared to the same period in 2022. This increase was driven by an increase in interest rates on our Credit Facility and uncommitted credit facilities.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net foreign currency exchange losses of $8.8 million and $3.6 million for the three and nine months ended September 30, 2023, compared to net foreign currency exchange losses of $15.8 million and $36.0 million for the same periods in 2022. These realized and unrealized foreign currency exchange losses reflect the fluctuation in the value of the U.S. dollar against the currencies of the countries in which we operated during the respective periods.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income tax rate was 29.2% and 30.6% for the three and nine months ended September 30, 2023, compared to 31.1% and 33.5% for the same periods ended September 30, 2022. The Company's effective income tax rate for the three and nine months ended September 30, 2023 was higher than the applicable statutory income tax rate of 21% as a result of certain foreign earnings being subject to higher local statutory tax rates and the Company’s U.S. deferred tax activity.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Noncontrolling interests represent the elimination of net income or loss attributable to the minority shareholders’ portion of the following consolidated subsidiaries that are not wholly owned: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Percent Owned</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Segment - Country</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EFT - China</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EFT - Pakistan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EFT - India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income attributable to Euronet was $104.2 million for the three months ended September 30, 2023, an increase of $6.4 million or 7% compared to the same period in 2022. The increase in net income was primarily attributable to the $72.7 million increase in revenues, across all of our three segments, largely driven by successful business operations. The increased revenues led to a $22.0 million increase in gross profit. The increase in gross profit was partially offset by a $19.2 million increase in salaries and benefits expense in the Money Transfer segment.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attributable to Euronet was $210.4 million for the nine months ended September 30, 2023, an increase of $47.1 million or 29% compared to the same period in 2022. The increase in net income was primarily attributable to the $237.2 million increase in revenues, across all of our three segments, largely driven by successful business operations. The increased revenues led to a $95.7 million increase in gross profit. The increase in gross profit was partially offset by a $52.4 million increase in salaries and benefits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of September 30, 2023, we had working capital of $967.6 million, which is calculated as the difference between total current assets and total current liabilities, compared to working capital of $1,372.6 million as of December 31, 2022. The decrease in working capital was primarily due to the repurchase of shares. Our ratio of current assets to current liabilities was 1.38 and 1.58 at September 30, 2023 and December 31, 2022, respectively.</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As of September 30, 2023, we had $603.5 million of our own cash in use or designated for use in our ATM network, which is recorded in ATM cash on Euronet's Consolidated Balance Sheet. ATM cash increased $87.9 million from $515.6 million as of December 31, 2022 to $603.5 million as of September 30, 2023 as a result of the increase in number of active ATMs as of September 30, 2023 compared to December 31, 2022. The Company has $1,074.4 million of unrestricted cash as of September 30, 2023 compared to $1,131.2 million as of December 31, 2022. Including the $603.5 million of cash in ATMs at September 30, 2023, we have access to $2,043.3 million in available cash, and $1,080.2 million available under the Credit Facility with no significant long-term debt principal payments until March 2025.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The following table identifies cash and cash equivalents provided by/(used in) our operating, investing and financing activities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(in millions):</w:t>
      </w:r>
    </w:p>
    <w:p>
      <w:pPr>
        <w:spacing w:after="0" w:line="200" w:lineRule="exact"/>
        <w:rPr>
          <w:sz w:val="20"/>
          <w:szCs w:val="20"/>
          <w:color w:val="auto"/>
        </w:rPr>
      </w:pPr>
    </w:p>
    <w:p>
      <w:pPr>
        <w:spacing w:after="0" w:line="232"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Liquidity</w:t>
            </w:r>
          </w:p>
        </w:tc>
        <w:tc>
          <w:tcPr>
            <w:tcW w:w="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448.7</w:t>
            </w:r>
          </w:p>
        </w:tc>
      </w:tr>
      <w:tr>
        <w:trPr>
          <w:trHeight w:val="27"/>
        </w:trPr>
        <w:tc>
          <w:tcPr>
            <w:tcW w:w="7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173.5</w:t>
            </w:r>
          </w:p>
        </w:tc>
      </w:tr>
      <w:tr>
        <w:trPr>
          <w:trHeight w:val="27"/>
        </w:trPr>
        <w:tc>
          <w:tcPr>
            <w:tcW w:w="7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Effect of foreign currency exchange rate changes on cash and cash equivalents and restricted cash</w:t>
            </w:r>
          </w:p>
        </w:tc>
        <w:tc>
          <w:tcPr>
            <w:tcW w:w="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color w:val="auto"/>
              </w:rPr>
              <w:t>Increase/(decrease) in cash and cash equivalents and restricted cash</w:t>
            </w:r>
          </w:p>
        </w:tc>
        <w:tc>
          <w:tcPr>
            <w:tcW w:w="6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w:t>
            </w: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provided by operating activities were $507.4 million for the nine months ended September 30, 2023 compared to cash flows provided by operating activities of $448.7 million for the same period in 2022. The increase in operating cash flows was primarily due to an increase in net income and a decrease in foreign exchange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used in investing activities were $74.6 million for the nine months ended September 30, 2023 compared to $416.1 million for the same period in 2022. The decrease in cash used in investing activities is primarily due to the $331.0 million of cash paid at the closing of PBMA in March 2022. Additionally, we used $69.1 million for purchases of property and equipment for the nine months ended September 30, 2023 compared to $79.4 million for the same period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used by financing activities were $208.3 million for the nine months ended September 30, 2023 compared to cash flows provided by financing activities of $173.5 million for the same period in 2022. Our borrowing activities on the Credit Facility for the nine months ended September 30, 2023 consisted of net borrowings of $116.2 million compared to net borrowings of $342.9 million for the same period in 2022. The decrease in net borrowings on the Credit Facility, during the nine months ended September 30, 2023, is primarily the result of decreased funding requirements for acquisitions. We repurchased $325.4 million of common stock during the nine months ended September 30, 2023 compared to $175.3 million of repurchases during the same period of 2022. We received proceeds of $3.1 million and $4.4 million during the nine months ended September 30, 2023 and 2022, respectively, for the issuance of stock in connection with our Stock Incentive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exchange rates on cash, cash equivalents and restricted cash</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42424"/>
        </w:rPr>
        <w:t>Fluctuations in f</w:t>
      </w:r>
      <w:r>
        <w:rPr>
          <w:rFonts w:ascii="Arial" w:cs="Arial" w:eastAsia="Arial" w:hAnsi="Arial"/>
          <w:sz w:val="17"/>
          <w:szCs w:val="17"/>
          <w:color w:val="000000"/>
        </w:rPr>
        <w:t>oreign currency exchange rates for the nine months ended September 30, 2023 and 2022 had a negative impact of $172.0 million and</w:t>
      </w:r>
      <w:r>
        <w:rPr>
          <w:rFonts w:ascii="Arial" w:cs="Arial" w:eastAsia="Arial" w:hAnsi="Arial"/>
          <w:sz w:val="17"/>
          <w:szCs w:val="17"/>
          <w:color w:val="242424"/>
        </w:rPr>
        <w:t xml:space="preserve"> </w:t>
      </w:r>
      <w:r>
        <w:rPr>
          <w:rFonts w:ascii="Arial" w:cs="Arial" w:eastAsia="Arial" w:hAnsi="Arial"/>
          <w:sz w:val="17"/>
          <w:szCs w:val="17"/>
          <w:color w:val="000000"/>
        </w:rPr>
        <w:t>$413.7 million, respectively, on cash, cash equivalents, and restricted cash. The negative impact on cash, cash equivalents, and restricted cash for the nine months ended September 30, 2023 and 2022 was due primarily to the negative impact in the exchange rate of the U.S. dollar to the euro.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On October 24, 2022, the Company amended its revolving credit agreement (the “Credit Facility”) to increase the facility from $1.03 billion to $1.25 billion and to extend the expiration to October 24, 2027. The revolving credit facility contains a sublimit of up to $250 million, with $150 million committed, for the issuance of letters of credit, a $75 million sublimit both for U.S. dollar swingline loans and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we had $113.5 million of borrowings and $56.3 million of stand-by letters of credit outstanding under the Credit Facility. The remaining $1,080.2 million under the Credit Facility was available for borrowing.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jc w:val="both"/>
        <w:spacing w:after="0" w:line="253"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2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Senior Notes</w:t>
      </w:r>
      <w:r>
        <w:rPr>
          <w:rFonts w:ascii="Arial" w:cs="Arial" w:eastAsia="Arial" w:hAnsi="Arial"/>
          <w:sz w:val="16"/>
          <w:szCs w:val="16"/>
          <w:color w:val="auto"/>
        </w:rPr>
        <w:t xml:space="preserve">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September 30, 2023, we have outstanding €600 million ($634.2 million) principal amount of the Senior Notes. In addition, we may redeem some or all of these notes on or after February 22, 2026 at their principal amount plus any accrued and unpaid interest.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Uncommitted Credit Agreements</w:t>
      </w:r>
      <w:r>
        <w:rPr>
          <w:rFonts w:ascii="Arial" w:cs="Arial" w:eastAsia="Arial" w:hAnsi="Arial"/>
          <w:sz w:val="17"/>
          <w:szCs w:val="17"/>
          <w:color w:val="auto"/>
        </w:rPr>
        <w:t xml:space="preserve"> - On June 27, 2023, the Company entered into an Uncommitted Credit Agreement for $300 million, fully drawn and outstanding at September 30, 2023, for the sole purpose of providing vault cash for ATMs, which expires no later than November 30, 2023. The loan bears interest at the rate per annum equal to the secured overnight financing rate (“SOFR”) plus 1.125%. On June 26, 2023, the Company entered into an Uncommitted Loan Agreement for $150 million, fully drawn and outstanding at September 30, 2023, for the sole purpose of providing vault cash for ATMs, that expires no later than June 21, 2024. The loan is a Prime rate loan, a Bloomberg Short-term Bank Yield ("BSBY") rate loan plus 0.95% or bears interest at the rate agreed to by the Bank and the Company at the time such loan is made.</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was $0.2 million outstanding under these other obligation arrangements as of both September 30, 2023 and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nine months ended September 30, 2023 were $69.1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2023 are currently estimated to range from approximately 100 million to $110 million. At current and projected cash flow levels, we anticipate that cash generated from operations, together with cash on hand and amounts available under our Credit Facility and other existing and potential future financing will be sufficient to meet our debt (including our uncommitted credit facilities),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Historically, the countries in which we operate have experienced low and stable inflation. Therefore, the local currency in each of these markets is the functional currency. We have seen indications that the current inflationary period will put pressure on our results of operations and our financial position. We have seen some signs of inflation impacting discretionary spend items, such as gaming products, in our epay business, discretionary travel expenditures in EFT, as well as some pressure on send amounts in money transfer. As a consequence of this inflationary period, we expect to see increasing expenses forthcoming. We continually review inflation and the functional currency in each of the countries where we operate.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2023, there were no material changes from the disclosure in our Annual Report on Form 10-K for the year ended December 31, 2022. To date, we are not aware of any significant claims made by the indemnified parties or parties to whom we have provided guarantees on behalf of our subsidiaries and, accordingly, no liabilities have been recorded as of September 30, 2023. See also Note 14, Commitments, to the unaudited consolidated financial statements included elsewhere in this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there have been no material changes outside the ordinary course of business in our future contractual obligations from the amounts reported within our Annual Report on Form 10-K for the year ended December 31, 2022.</w:t>
      </w:r>
    </w:p>
    <w:p>
      <w:pPr>
        <w:sectPr>
          <w:pgSz w:w="11900" w:h="16838" w:orient="portrait"/>
          <w:cols w:equalWidth="0" w:num="1">
            <w:col w:w="11240"/>
          </w:cols>
          <w:pgMar w:left="320" w:top="598" w:right="33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September 30, 2023, our total debt outstanding, excluding unamortized debt issuance costs, was $1,722.9 million. Of this amount, $525.0 million, net of debt discounts, or 30%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September 30, 2023, the fair value of our fixed rate Convertible Notes was $498.5 million, compared to a carrying value of $525.0 million. Further, as of September 30, 2023 we had $113.5 million of borrowings under our Credit Facility, or 7% of our total debt obligations. The carrying values of the Credit Facility approximates fair value because interest as of September 30, 2023, was based on SOFR that resets at various intervals of less than one year. Additionally, $634.2 million, or 37%of our total debt obligations, relates to Senior Notes having a fixed coupon rate. Our $634.2 million outstanding principal amount of Senior Notes accrue cash interest at a rate of 1.375% of the principal amount per annum. Based on quoted market prices, as of September 30, 2023, the fair value of our fixed rate Senior Notes was $571.8 million, compared to a carrying value of $634.2 million. An additional $450.0 million, or 26% of our total debt, is related to short-term uncommitted credit agreements. The credit agreements are due within one year and accrue interest at variable rates. The remaining $0.2 million is related to borrowings by certain subsidiaries to fund, from time to time, working capital requirements. These arrangements generally are due within one year and accrue interest at variable rates.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approximately 75% of our revenues were generated in non-U.S. dollar countries and we expect to continue generating a significant portion of our revenues in countries with currencies other than the U.S. dollar.</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September 30, 2023, we estimate that a 10% fluctuation in these foreign currency exchange rates would have the combined annualized effect on reported net income and working capital of approximately $180 million to $190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$100 million to $110 million as a result of the change in value of these items during translation to the U.S. dollar. For the fluctuations described above, a strengthening U.S. dollar produces a financial loss, while a weakening U.S. dollar produces a financial gain.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 We manage counterparty credit risk (the risk that counterparties will default and not make payments according to the terms of the agreements) on an individual counterparty basis. We mitigate this risk by entering into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jc w:val="both"/>
        <w:spacing w:after="0" w:line="293"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September 30, 2023, we had foreign currency derivative contracts outstanding with a notional value of $426.0 million, primarily in Australian dollars, British pounds, Canadian dollars, euros and Mexican pesos, that were not designated as hedges and mature within a few days.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September 30, 2023, we held foreign currency derivative contracts outstanding with a notional value of $1.0 billion, primarily in U.S. dollars, euros, British pounds, Australian dollars and New Zealand dollars, that were not designated as hedges and for which the majority mature within the next twelve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See Note 10,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2023.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period ended September 30,2023 that has materially affected, or is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15, Litigation and Contingencies, to the unaudited consolidated financial statements in this report is incorporated herein by reference.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otherwise described herein, there were no material changes to the risk factors previously disclosed in our Annual Report on Form 10-K for the year ended December 31, 2022, as filed with the SEC.</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September 30, 2023.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3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Price Paid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58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8"/>
        </w:trPr>
        <w:tc>
          <w:tcPr>
            <w:tcW w:w="5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Programs</w:t>
            </w:r>
          </w:p>
        </w:tc>
        <w:tc>
          <w:tcPr>
            <w:tcW w:w="0" w:type="dxa"/>
            <w:vAlign w:val="bottom"/>
          </w:tcPr>
          <w:p>
            <w:pPr>
              <w:spacing w:after="0"/>
              <w:rPr>
                <w:sz w:val="1"/>
                <w:szCs w:val="1"/>
                <w:color w:val="auto"/>
              </w:rPr>
            </w:pPr>
          </w:p>
        </w:tc>
      </w:tr>
      <w:tr>
        <w:trPr>
          <w:trHeight w:val="192"/>
        </w:trPr>
        <w:tc>
          <w:tcPr>
            <w:tcW w:w="5660" w:type="dxa"/>
            <w:vAlign w:val="bottom"/>
            <w:vMerge w:val="continue"/>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Shares Purchased</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 Share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 (1)</w:t>
            </w: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July 31, 2023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August 1 - August 31 , 2023</w:t>
            </w:r>
          </w:p>
        </w:tc>
        <w:tc>
          <w:tcPr>
            <w:tcW w:w="1160" w:type="dxa"/>
            <w:vAlign w:val="bottom"/>
          </w:tcPr>
          <w:p>
            <w:pPr>
              <w:jc w:val="right"/>
              <w:spacing w:after="0"/>
              <w:rPr>
                <w:sz w:val="20"/>
                <w:szCs w:val="20"/>
                <w:color w:val="auto"/>
              </w:rPr>
            </w:pPr>
            <w:r>
              <w:rPr>
                <w:rFonts w:ascii="Arial" w:cs="Arial" w:eastAsia="Arial" w:hAnsi="Arial"/>
                <w:sz w:val="18"/>
                <w:szCs w:val="18"/>
                <w:color w:val="auto"/>
              </w:rPr>
              <w:t>1,865,215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1,865,215</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 September 30, 2023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1,571,514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1,571,514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57"/>
        </w:trPr>
        <w:tc>
          <w:tcPr>
            <w:tcW w:w="566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3,507,049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3,507,049</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8"/>
        <w:spacing w:after="0" w:line="293"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December 8, 2021, the Company put a repurchase program in place to repurchase up to $300 million in value, but not more than 5.0 million shares of common stock through December 8, 2023. As of September 30, 2023, no additional shares were available to be repurchased under this repurchase program. On September 13, 2022, the Company put a repurchase program in place to repurchase up to $350 million in value, but not more than 7.0 million shares of common stock through September 13, 2024. On September 13, 2023, the Company put a repurchase program in place to repurchase up to $350 million in value, but not more than 7.0 million shares of common stock through September 13, 2025. Repurchases under the programs may take place in the open market or in privately negotiated transactions, including derivative transactions, and may be made under a Rule 10b5-1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fiscal quarter ended September 30, 2023, none of the Company’s directors or "officers," as defined in Rule 16a-1(f) of the Securities Exchange Act of 1934, as amended (the "Exchange Act"), adopted or terminated a "Rule 10b5-1 trading arrangement" or a "non-Rule 10b5-1 trading arrangement," as each term is defined in Item 408 of Regulation S-K.</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80" w:type="dxa"/>
            <w:vAlign w:val="bottom"/>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0" w:type="dxa"/>
            <w:vAlign w:val="bottom"/>
            <w:tcBorders>
              <w:top w:val="single" w:sz="8" w:color="auto"/>
              <w:bottom w:val="single" w:sz="8" w:color="0000EE"/>
            </w:tcBorders>
            <w:gridSpan w:val="3"/>
          </w:tcPr>
          <w:p>
            <w:pPr>
              <w:spacing w:after="0"/>
              <w:rPr>
                <w:sz w:val="20"/>
                <w:szCs w:val="20"/>
                <w:color w:val="auto"/>
              </w:rPr>
            </w:pPr>
            <w:r>
              <w:rPr>
                <w:rFonts w:ascii="Arial" w:cs="Arial" w:eastAsia="Arial" w:hAnsi="Arial"/>
                <w:sz w:val="18"/>
                <w:szCs w:val="18"/>
                <w:color w:val="0000EE"/>
                <w:w w:val="93"/>
              </w:rPr>
              <w:t>Section 302 — Certification of Chief Executive Officer</w:t>
            </w:r>
          </w:p>
        </w:tc>
        <w:tc>
          <w:tcPr>
            <w:tcW w:w="6080" w:type="dxa"/>
            <w:vAlign w:val="bottom"/>
            <w:tcBorders>
              <w:top w:val="single" w:sz="8" w:color="auto"/>
            </w:tcBorders>
          </w:tcPr>
          <w:p>
            <w:pPr>
              <w:spacing w:after="0"/>
              <w:rPr>
                <w:sz w:val="24"/>
                <w:szCs w:val="24"/>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EE"/>
                <w:w w:val="90"/>
              </w:rPr>
              <w:t>Section 302</w:t>
            </w:r>
          </w:p>
        </w:tc>
        <w:tc>
          <w:tcPr>
            <w:tcW w:w="9200" w:type="dxa"/>
            <w:vAlign w:val="bottom"/>
            <w:gridSpan w:val="3"/>
          </w:tcPr>
          <w:p>
            <w:pPr>
              <w:ind w:left="20"/>
              <w:spacing w:after="0"/>
              <w:rPr>
                <w:sz w:val="20"/>
                <w:szCs w:val="20"/>
                <w:color w:val="auto"/>
              </w:rPr>
            </w:pPr>
            <w:r>
              <w:rPr>
                <w:rFonts w:ascii="Arial" w:cs="Arial" w:eastAsia="Arial" w:hAnsi="Arial"/>
                <w:sz w:val="18"/>
                <w:szCs w:val="18"/>
                <w:color w:val="0000EE"/>
              </w:rPr>
              <w:t>—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Section 906</w:t>
            </w:r>
          </w:p>
        </w:tc>
        <w:tc>
          <w:tcPr>
            <w:tcW w:w="3120" w:type="dxa"/>
            <w:vAlign w:val="bottom"/>
            <w:tcBorders>
              <w:bottom w:val="single" w:sz="8" w:color="0000EE"/>
            </w:tcBorders>
            <w:gridSpan w:val="2"/>
          </w:tcPr>
          <w:p>
            <w:pPr>
              <w:ind w:left="20"/>
              <w:spacing w:after="0"/>
              <w:rPr>
                <w:sz w:val="20"/>
                <w:szCs w:val="20"/>
                <w:color w:val="auto"/>
              </w:rPr>
            </w:pPr>
            <w:r>
              <w:rPr>
                <w:rFonts w:ascii="Arial" w:cs="Arial" w:eastAsia="Arial" w:hAnsi="Arial"/>
                <w:sz w:val="18"/>
                <w:szCs w:val="18"/>
                <w:color w:val="0000EE"/>
                <w:w w:val="94"/>
              </w:rPr>
              <w:t>— Certification of Chief Executive Officer</w:t>
            </w:r>
          </w:p>
        </w:tc>
        <w:tc>
          <w:tcPr>
            <w:tcW w:w="6080" w:type="dxa"/>
            <w:vAlign w:val="bottom"/>
          </w:tcPr>
          <w:p>
            <w:pPr>
              <w:spacing w:after="0"/>
              <w:rPr>
                <w:sz w:val="21"/>
                <w:szCs w:val="21"/>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EE"/>
                <w:w w:val="90"/>
              </w:rPr>
              <w:t>Section 906</w:t>
            </w:r>
          </w:p>
        </w:tc>
        <w:tc>
          <w:tcPr>
            <w:tcW w:w="9200" w:type="dxa"/>
            <w:vAlign w:val="bottom"/>
            <w:gridSpan w:val="3"/>
          </w:tcPr>
          <w:p>
            <w:pPr>
              <w:ind w:left="20"/>
              <w:spacing w:after="0"/>
              <w:rPr>
                <w:sz w:val="20"/>
                <w:szCs w:val="20"/>
                <w:color w:val="auto"/>
              </w:rPr>
            </w:pPr>
            <w:r>
              <w:rPr>
                <w:rFonts w:ascii="Arial" w:cs="Arial" w:eastAsia="Arial" w:hAnsi="Arial"/>
                <w:sz w:val="18"/>
                <w:szCs w:val="18"/>
                <w:color w:val="0000EE"/>
              </w:rPr>
              <w:t>—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76"/>
        </w:trPr>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7"/>
              </w:rPr>
              <w:t>The following materials from Euronet Worldwide, Inc.’s Quarterly Report on Form 10-Q for the quarter ended September 30, 2023,</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3"/>
              </w:rPr>
              <w:t>formatted in XBRL (eXtensible Business Reporting Language): (i) Consolidated Balance Sheets at September 30, 2023 (unaudited) and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1"/>
              </w:rPr>
              <w:t>December 31, 2022, (ii) Consolidated Statements of Operations (unaudited) for the three and nine months ended September 30, 2023 and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4"/>
              </w:rPr>
              <w:t>2022, (iii) Consolidated Statements of Comprehensive Income (Loss) (unaudited) for the three and nine months ended September 30,</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6"/>
              </w:rPr>
              <w:t>2023 and 2022, (iv) Consolidated Statements of Changes in Equity (unaudited) for the three and nine months ended September 30,</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4"/>
              </w:rPr>
              <w:t>2023 and 2022 (v) Consolidated Statements of Cash Flows (unaudited) for the nine months ended September 30, 2023 and 2022, and</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(vi) Notes to the Unaudited Consolidated Financial Statements.</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ind w:left="50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52" w:lineRule="exact"/>
        <w:rPr>
          <w:sz w:val="20"/>
          <w:szCs w:val="20"/>
          <w:color w:val="auto"/>
        </w:rPr>
      </w:pPr>
    </w:p>
    <w:p>
      <w:pPr>
        <w:ind w:left="40"/>
        <w:spacing w:after="0"/>
        <w:tabs>
          <w:tab w:leader="none" w:pos="2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3437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Michael J. Brown</w:t>
      </w:r>
    </w:p>
    <w:p>
      <w:pPr>
        <w:spacing w:after="0" w:line="6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3437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Rick L. Weller</w:t>
      </w:r>
    </w:p>
    <w:p>
      <w:pPr>
        <w:spacing w:after="0" w:line="6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80"/>
          </w:cols>
          <w:pgMar w:left="320" w:top="553" w:right="12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420" w:hanging="7"/>
        <w:spacing w:after="0" w:line="263" w:lineRule="auto"/>
        <w:tabs>
          <w:tab w:leader="none" w:pos="6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420" w:hanging="7"/>
        <w:spacing w:after="0" w:line="263" w:lineRule="auto"/>
        <w:tabs>
          <w:tab w:leader="none" w:pos="6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420" w:hanging="7"/>
        <w:spacing w:after="0" w:line="308" w:lineRule="auto"/>
        <w:tabs>
          <w:tab w:leader="none" w:pos="605"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420" w:hanging="7"/>
        <w:spacing w:after="0" w:line="263" w:lineRule="auto"/>
        <w:tabs>
          <w:tab w:leader="none" w:pos="61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firstLine="8"/>
        <w:spacing w:after="0" w:line="308" w:lineRule="auto"/>
        <w:tabs>
          <w:tab w:leader="none" w:pos="2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420" w:hanging="7"/>
        <w:spacing w:after="0" w:line="277" w:lineRule="auto"/>
        <w:tabs>
          <w:tab w:leader="none" w:pos="62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420" w:hanging="7"/>
        <w:spacing w:after="0" w:line="277" w:lineRule="auto"/>
        <w:tabs>
          <w:tab w:leader="none" w:pos="6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2023</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211"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hanging="7"/>
        <w:spacing w:after="0" w:line="308" w:lineRule="auto"/>
        <w:tabs>
          <w:tab w:leader="none" w:pos="605"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hanging="7"/>
        <w:spacing w:after="0" w:line="263" w:lineRule="auto"/>
        <w:tabs>
          <w:tab w:leader="none" w:pos="61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ind w:left="420" w:hanging="7"/>
        <w:spacing w:after="0" w:line="277" w:lineRule="auto"/>
        <w:tabs>
          <w:tab w:leader="none" w:pos="62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hanging="7"/>
        <w:spacing w:after="0" w:line="277" w:lineRule="auto"/>
        <w:tabs>
          <w:tab w:leader="none" w:pos="6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2023</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2023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November 3, 2023</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2023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November 3,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2"/>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2023-11-03T15:38:31Z</dcterms:created>
  <dcterms:modified xsi:type="dcterms:W3CDTF">2023-11-03T15:38:31Z</dcterms:modified>
</cp:coreProperties>
</file>