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166370</wp:posOffset>
            </wp:positionH>
            <wp:positionV relativeFrom="page">
              <wp:posOffset>215900</wp:posOffset>
            </wp:positionV>
            <wp:extent cx="72288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8840" cy="209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-147320</wp:posOffset>
            </wp:positionV>
            <wp:extent cx="72288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8840" cy="6985"/>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07"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60" w:hanging="502"/>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For the quarterly period ended September 30, 2018</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OR</w:t>
      </w:r>
    </w:p>
    <w:p>
      <w:pPr>
        <w:spacing w:after="0" w:line="124" w:lineRule="exact"/>
        <w:rPr>
          <w:sz w:val="24"/>
          <w:szCs w:val="24"/>
          <w:color w:val="auto"/>
        </w:rPr>
      </w:pPr>
    </w:p>
    <w:p>
      <w:pPr>
        <w:ind w:left="860" w:hanging="472"/>
        <w:spacing w:after="0"/>
        <w:tabs>
          <w:tab w:leader="none" w:pos="86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60"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5"/>
          <w:szCs w:val="15"/>
          <w:b w:val="1"/>
          <w:bCs w:val="1"/>
          <w:color w:val="auto"/>
        </w:rPr>
        <w:t>For the transition period</w:t>
      </w:r>
      <w:r>
        <w:rPr>
          <w:sz w:val="20"/>
          <w:szCs w:val="20"/>
          <w:color w:val="auto"/>
        </w:rPr>
        <w:tab/>
      </w:r>
      <w:r>
        <w:rPr>
          <w:rFonts w:ascii="Arial" w:cs="Arial" w:eastAsia="Arial" w:hAnsi="Arial"/>
          <w:sz w:val="12"/>
          <w:szCs w:val="12"/>
          <w:b w:val="1"/>
          <w:bCs w:val="1"/>
          <w:color w:val="auto"/>
        </w:rPr>
        <w:t>to</w:t>
      </w:r>
    </w:p>
    <w:p>
      <w:pPr>
        <w:spacing w:after="0" w:line="160"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Commission File Number: 001-31648</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EURONET WORLDWIDE,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55" w:lineRule="exact"/>
        <w:rPr>
          <w:sz w:val="24"/>
          <w:szCs w:val="24"/>
          <w:color w:val="auto"/>
        </w:rPr>
      </w:pPr>
    </w:p>
    <w:tbl>
      <w:tblPr>
        <w:tblLayout w:type="fixed"/>
        <w:tblInd w:w="1640" w:type="dxa"/>
        <w:tblCellMar>
          <w:top w:w="0" w:type="dxa"/>
          <w:left w:w="0" w:type="dxa"/>
          <w:bottom w:w="0" w:type="dxa"/>
          <w:right w:w="0" w:type="dxa"/>
        </w:tblCellMar>
      </w:tblPr>
      <w:tr>
        <w:trPr>
          <w:trHeight w:val="192"/>
        </w:trPr>
        <w:tc>
          <w:tcPr>
            <w:tcW w:w="4400" w:type="dxa"/>
            <w:vAlign w:val="bottom"/>
          </w:tcPr>
          <w:p>
            <w:pPr>
              <w:jc w:val="center"/>
              <w:ind w:right="1886"/>
              <w:spacing w:after="0"/>
              <w:rPr>
                <w:sz w:val="20"/>
                <w:szCs w:val="20"/>
                <w:color w:val="auto"/>
              </w:rPr>
            </w:pPr>
            <w:r>
              <w:rPr>
                <w:rFonts w:ascii="Arial" w:cs="Arial" w:eastAsia="Arial" w:hAnsi="Arial"/>
                <w:sz w:val="15"/>
                <w:szCs w:val="15"/>
                <w:b w:val="1"/>
                <w:bCs w:val="1"/>
                <w:color w:val="auto"/>
                <w:w w:val="91"/>
              </w:rPr>
              <w:t>Delaware</w:t>
            </w:r>
          </w:p>
        </w:tc>
        <w:tc>
          <w:tcPr>
            <w:tcW w:w="3120" w:type="dxa"/>
            <w:vAlign w:val="bottom"/>
          </w:tcPr>
          <w:p>
            <w:pPr>
              <w:jc w:val="right"/>
              <w:ind w:right="146"/>
              <w:spacing w:after="0"/>
              <w:rPr>
                <w:sz w:val="20"/>
                <w:szCs w:val="20"/>
                <w:color w:val="auto"/>
              </w:rPr>
            </w:pPr>
            <w:r>
              <w:rPr>
                <w:rFonts w:ascii="Arial" w:cs="Arial" w:eastAsia="Arial" w:hAnsi="Arial"/>
                <w:sz w:val="15"/>
                <w:szCs w:val="15"/>
                <w:b w:val="1"/>
                <w:bCs w:val="1"/>
                <w:color w:val="auto"/>
              </w:rPr>
              <w:t>74-2806888</w:t>
            </w:r>
          </w:p>
        </w:tc>
      </w:tr>
      <w:tr>
        <w:trPr>
          <w:trHeight w:val="222"/>
        </w:trPr>
        <w:tc>
          <w:tcPr>
            <w:tcW w:w="4400" w:type="dxa"/>
            <w:vAlign w:val="bottom"/>
          </w:tcPr>
          <w:p>
            <w:pPr>
              <w:jc w:val="center"/>
              <w:ind w:right="1886"/>
              <w:spacing w:after="0"/>
              <w:rPr>
                <w:sz w:val="20"/>
                <w:szCs w:val="20"/>
                <w:color w:val="auto"/>
              </w:rPr>
            </w:pPr>
            <w:r>
              <w:rPr>
                <w:rFonts w:ascii="Arial" w:cs="Arial" w:eastAsia="Arial" w:hAnsi="Arial"/>
                <w:sz w:val="15"/>
                <w:szCs w:val="15"/>
                <w:b w:val="1"/>
                <w:bCs w:val="1"/>
                <w:color w:val="auto"/>
                <w:w w:val="89"/>
              </w:rPr>
              <w:t>(State or other jurisdiction</w:t>
            </w:r>
          </w:p>
        </w:tc>
        <w:tc>
          <w:tcPr>
            <w:tcW w:w="3120" w:type="dxa"/>
            <w:vAlign w:val="bottom"/>
          </w:tcPr>
          <w:p>
            <w:pPr>
              <w:jc w:val="center"/>
              <w:ind w:left="1886"/>
              <w:spacing w:after="0"/>
              <w:rPr>
                <w:sz w:val="20"/>
                <w:szCs w:val="20"/>
                <w:color w:val="auto"/>
              </w:rPr>
            </w:pPr>
            <w:r>
              <w:rPr>
                <w:rFonts w:ascii="Arial" w:cs="Arial" w:eastAsia="Arial" w:hAnsi="Arial"/>
                <w:sz w:val="15"/>
                <w:szCs w:val="15"/>
                <w:b w:val="1"/>
                <w:bCs w:val="1"/>
                <w:color w:val="auto"/>
                <w:w w:val="93"/>
              </w:rPr>
              <w:t>(I.R.S. Employer</w:t>
            </w:r>
          </w:p>
        </w:tc>
      </w:tr>
      <w:tr>
        <w:trPr>
          <w:trHeight w:val="222"/>
        </w:trPr>
        <w:tc>
          <w:tcPr>
            <w:tcW w:w="4400" w:type="dxa"/>
            <w:vAlign w:val="bottom"/>
          </w:tcPr>
          <w:p>
            <w:pPr>
              <w:jc w:val="center"/>
              <w:ind w:right="1866"/>
              <w:spacing w:after="0"/>
              <w:rPr>
                <w:sz w:val="20"/>
                <w:szCs w:val="20"/>
                <w:color w:val="auto"/>
              </w:rPr>
            </w:pPr>
            <w:r>
              <w:rPr>
                <w:rFonts w:ascii="Arial" w:cs="Arial" w:eastAsia="Arial" w:hAnsi="Arial"/>
                <w:sz w:val="15"/>
                <w:szCs w:val="15"/>
                <w:b w:val="1"/>
                <w:bCs w:val="1"/>
                <w:color w:val="auto"/>
                <w:w w:val="90"/>
              </w:rPr>
              <w:t>of incorporation or organization)</w:t>
            </w:r>
          </w:p>
        </w:tc>
        <w:tc>
          <w:tcPr>
            <w:tcW w:w="3120" w:type="dxa"/>
            <w:vAlign w:val="bottom"/>
          </w:tcPr>
          <w:p>
            <w:pPr>
              <w:jc w:val="center"/>
              <w:ind w:left="1886"/>
              <w:spacing w:after="0"/>
              <w:rPr>
                <w:sz w:val="20"/>
                <w:szCs w:val="20"/>
                <w:color w:val="auto"/>
              </w:rPr>
            </w:pPr>
            <w:r>
              <w:rPr>
                <w:rFonts w:ascii="Arial" w:cs="Arial" w:eastAsia="Arial" w:hAnsi="Arial"/>
                <w:sz w:val="15"/>
                <w:szCs w:val="15"/>
                <w:b w:val="1"/>
                <w:bCs w:val="1"/>
                <w:color w:val="auto"/>
                <w:w w:val="91"/>
              </w:rPr>
              <w:t>Identification No.)</w:t>
            </w:r>
          </w:p>
        </w:tc>
      </w:tr>
      <w:tr>
        <w:trPr>
          <w:trHeight w:val="333"/>
        </w:trPr>
        <w:tc>
          <w:tcPr>
            <w:tcW w:w="4400" w:type="dxa"/>
            <w:vAlign w:val="bottom"/>
          </w:tcPr>
          <w:p>
            <w:pPr>
              <w:jc w:val="center"/>
              <w:ind w:right="1866"/>
              <w:spacing w:after="0"/>
              <w:rPr>
                <w:sz w:val="20"/>
                <w:szCs w:val="20"/>
                <w:color w:val="auto"/>
              </w:rPr>
            </w:pPr>
            <w:r>
              <w:rPr>
                <w:rFonts w:ascii="Arial" w:cs="Arial" w:eastAsia="Arial" w:hAnsi="Arial"/>
                <w:sz w:val="15"/>
                <w:szCs w:val="15"/>
                <w:b w:val="1"/>
                <w:bCs w:val="1"/>
                <w:color w:val="auto"/>
                <w:w w:val="88"/>
              </w:rPr>
              <w:t>3500 College Boulevard</w:t>
            </w:r>
          </w:p>
        </w:tc>
        <w:tc>
          <w:tcPr>
            <w:tcW w:w="3120" w:type="dxa"/>
            <w:vAlign w:val="bottom"/>
          </w:tcPr>
          <w:p>
            <w:pPr>
              <w:spacing w:after="0"/>
              <w:rPr>
                <w:sz w:val="24"/>
                <w:szCs w:val="24"/>
                <w:color w:val="auto"/>
              </w:rPr>
            </w:pPr>
          </w:p>
        </w:tc>
      </w:tr>
      <w:tr>
        <w:trPr>
          <w:trHeight w:val="222"/>
        </w:trPr>
        <w:tc>
          <w:tcPr>
            <w:tcW w:w="4400" w:type="dxa"/>
            <w:vAlign w:val="bottom"/>
          </w:tcPr>
          <w:p>
            <w:pPr>
              <w:jc w:val="center"/>
              <w:ind w:right="1866"/>
              <w:spacing w:after="0"/>
              <w:rPr>
                <w:sz w:val="20"/>
                <w:szCs w:val="20"/>
                <w:color w:val="auto"/>
              </w:rPr>
            </w:pPr>
            <w:r>
              <w:rPr>
                <w:rFonts w:ascii="Arial" w:cs="Arial" w:eastAsia="Arial" w:hAnsi="Arial"/>
                <w:sz w:val="15"/>
                <w:szCs w:val="15"/>
                <w:b w:val="1"/>
                <w:bCs w:val="1"/>
                <w:color w:val="auto"/>
                <w:w w:val="86"/>
              </w:rPr>
              <w:t>Leawood, Kansas</w:t>
            </w:r>
          </w:p>
        </w:tc>
        <w:tc>
          <w:tcPr>
            <w:tcW w:w="3120" w:type="dxa"/>
            <w:vAlign w:val="bottom"/>
          </w:tcPr>
          <w:p>
            <w:pPr>
              <w:jc w:val="right"/>
              <w:ind w:right="326"/>
              <w:spacing w:after="0"/>
              <w:rPr>
                <w:sz w:val="20"/>
                <w:szCs w:val="20"/>
                <w:color w:val="auto"/>
              </w:rPr>
            </w:pPr>
            <w:r>
              <w:rPr>
                <w:rFonts w:ascii="Arial" w:cs="Arial" w:eastAsia="Arial" w:hAnsi="Arial"/>
                <w:sz w:val="15"/>
                <w:szCs w:val="15"/>
                <w:b w:val="1"/>
                <w:bCs w:val="1"/>
                <w:color w:val="auto"/>
              </w:rPr>
              <w:t>66211</w:t>
            </w:r>
          </w:p>
        </w:tc>
      </w:tr>
      <w:tr>
        <w:trPr>
          <w:trHeight w:val="222"/>
        </w:trPr>
        <w:tc>
          <w:tcPr>
            <w:tcW w:w="4400" w:type="dxa"/>
            <w:vAlign w:val="bottom"/>
          </w:tcPr>
          <w:p>
            <w:pPr>
              <w:jc w:val="center"/>
              <w:ind w:right="1886"/>
              <w:spacing w:after="0"/>
              <w:rPr>
                <w:sz w:val="20"/>
                <w:szCs w:val="20"/>
                <w:color w:val="auto"/>
              </w:rPr>
            </w:pPr>
            <w:r>
              <w:rPr>
                <w:rFonts w:ascii="Arial" w:cs="Arial" w:eastAsia="Arial" w:hAnsi="Arial"/>
                <w:sz w:val="15"/>
                <w:szCs w:val="15"/>
                <w:b w:val="1"/>
                <w:bCs w:val="1"/>
                <w:color w:val="auto"/>
                <w:w w:val="87"/>
              </w:rPr>
              <w:t>(Address of principal executive offices)</w:t>
            </w:r>
          </w:p>
        </w:tc>
        <w:tc>
          <w:tcPr>
            <w:tcW w:w="3120" w:type="dxa"/>
            <w:vAlign w:val="bottom"/>
          </w:tcPr>
          <w:p>
            <w:pPr>
              <w:jc w:val="center"/>
              <w:ind w:left="1886"/>
              <w:spacing w:after="0"/>
              <w:rPr>
                <w:sz w:val="20"/>
                <w:szCs w:val="20"/>
                <w:color w:val="auto"/>
              </w:rPr>
            </w:pPr>
            <w:r>
              <w:rPr>
                <w:rFonts w:ascii="Arial" w:cs="Arial" w:eastAsia="Arial" w:hAnsi="Arial"/>
                <w:sz w:val="15"/>
                <w:szCs w:val="15"/>
                <w:b w:val="1"/>
                <w:bCs w:val="1"/>
                <w:color w:val="auto"/>
                <w:w w:val="91"/>
              </w:rPr>
              <w:t>(Zip Code)</w:t>
            </w:r>
          </w:p>
        </w:tc>
      </w:tr>
    </w:tbl>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(913) 327-4200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8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3" w:lineRule="exact"/>
        <w:rPr>
          <w:sz w:val="24"/>
          <w:szCs w:val="24"/>
          <w:color w:val="auto"/>
        </w:rPr>
      </w:pPr>
    </w:p>
    <w:p>
      <w:pPr>
        <w:ind w:right="340"/>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63" w:lineRule="exact"/>
        <w:rPr>
          <w:sz w:val="24"/>
          <w:szCs w:val="24"/>
          <w:color w:val="auto"/>
        </w:rPr>
      </w:pPr>
    </w:p>
    <w:p>
      <w:pPr>
        <w:ind w:right="240"/>
        <w:spacing w:after="0" w:line="30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p>
      <w:pPr>
        <w:ind w:left="40" w:right="1800" w:firstLine="488"/>
        <w:spacing w:after="0" w:line="219"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Arial" w:cs="Arial" w:eastAsia="Arial" w:hAnsi="Arial"/>
          <w:sz w:val="13"/>
          <w:szCs w:val="13"/>
          <w:color w:val="auto"/>
        </w:rPr>
        <w:t>o</w:t>
      </w:r>
      <w:r>
        <w:rPr>
          <w:rFonts w:ascii="Arial" w:cs="Arial" w:eastAsia="Arial" w:hAnsi="Arial"/>
          <w:sz w:val="15"/>
          <w:szCs w:val="15"/>
          <w:color w:val="auto"/>
        </w:rPr>
        <w:t xml:space="preserve"> Non-accelerated filer o Smaller reporting company </w:t>
      </w:r>
      <w:r>
        <w:rPr>
          <w:rFonts w:ascii="Arial" w:cs="Arial" w:eastAsia="Arial" w:hAnsi="Arial"/>
          <w:sz w:val="13"/>
          <w:szCs w:val="13"/>
          <w:color w:val="auto"/>
        </w:rPr>
        <w:t>o</w:t>
      </w:r>
      <w:r>
        <w:rPr>
          <w:rFonts w:ascii="Arial" w:cs="Arial" w:eastAsia="Arial" w:hAnsi="Arial"/>
          <w:sz w:val="15"/>
          <w:szCs w:val="15"/>
          <w:color w:val="auto"/>
        </w:rPr>
        <w:t xml:space="preserve"> Emerging growth company </w:t>
      </w:r>
      <w:r>
        <w:rPr>
          <w:rFonts w:ascii="Arial" w:cs="Arial" w:eastAsia="Arial" w:hAnsi="Arial"/>
          <w:sz w:val="13"/>
          <w:szCs w:val="13"/>
          <w:color w:val="auto"/>
        </w:rPr>
        <w:t>o</w:t>
      </w:r>
    </w:p>
    <w:p>
      <w:pPr>
        <w:spacing w:after="0" w:line="200" w:lineRule="exact"/>
        <w:rPr>
          <w:sz w:val="24"/>
          <w:szCs w:val="24"/>
          <w:color w:val="auto"/>
        </w:rPr>
      </w:pPr>
    </w:p>
    <w:p>
      <w:pPr>
        <w:spacing w:after="0" w:line="275" w:lineRule="exact"/>
        <w:rPr>
          <w:sz w:val="24"/>
          <w:szCs w:val="24"/>
          <w:color w:val="auto"/>
        </w:rPr>
      </w:pPr>
    </w:p>
    <w:p>
      <w:pPr>
        <w:ind w:left="40" w:right="340"/>
        <w:spacing w:after="0" w:line="254"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p>
    <w:p>
      <w:pPr>
        <w:spacing w:after="0" w:line="383" w:lineRule="exact"/>
        <w:rPr>
          <w:sz w:val="24"/>
          <w:szCs w:val="24"/>
          <w:color w:val="auto"/>
        </w:rPr>
      </w:pPr>
    </w:p>
    <w:p>
      <w:pPr>
        <w:spacing w:after="0"/>
        <w:rPr>
          <w:sz w:val="20"/>
          <w:szCs w:val="20"/>
          <w:color w:val="auto"/>
        </w:rPr>
      </w:pPr>
      <w:r>
        <w:rPr>
          <w:rFonts w:ascii="Arial" w:cs="Arial" w:eastAsia="Arial" w:hAnsi="Arial"/>
          <w:sz w:val="15"/>
          <w:szCs w:val="15"/>
          <w:color w:val="auto"/>
        </w:rPr>
        <w:t>On October 31, 2018, Euronet Worldwide, Inc. had 51,560,331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151130</wp:posOffset>
            </wp:positionV>
            <wp:extent cx="72288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8840" cy="209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80645</wp:posOffset>
            </wp:positionV>
            <wp:extent cx="72288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8840" cy="6985"/>
                    </a:xfrm>
                    <a:prstGeom prst="rect">
                      <a:avLst/>
                    </a:prstGeom>
                    <a:noFill/>
                  </pic:spPr>
                </pic:pic>
              </a:graphicData>
            </a:graphic>
          </wp:anchor>
        </w:drawing>
      </w:r>
    </w:p>
    <w:p>
      <w:pPr>
        <w:sectPr>
          <w:pgSz w:w="11900" w:h="16838" w:orient="portrait"/>
          <w:cols w:equalWidth="0" w:num="1">
            <w:col w:w="11340"/>
          </w:cols>
          <w:pgMar w:left="220" w:top="46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EURONET WORLDWIDE,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9060" w:type="dxa"/>
            <w:vAlign w:val="bottom"/>
            <w:gridSpan w:val="20"/>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I—FINANCIAL INFORMATION</w:t>
              </w:r>
            </w:hyperlink>
          </w:p>
        </w:tc>
        <w:tc>
          <w:tcPr>
            <w:tcW w:w="1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gridSpan w:val="3"/>
            <w:vMerge w:val="restart"/>
          </w:tcPr>
          <w:p>
            <w:pPr>
              <w:jc w:val="right"/>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0" w:type="dxa"/>
            <w:vAlign w:val="bottom"/>
          </w:tcPr>
          <w:p>
            <w:pPr>
              <w:spacing w:after="0" w:line="20" w:lineRule="exact"/>
              <w:rPr>
                <w:sz w:val="1"/>
                <w:szCs w:val="1"/>
                <w:color w:val="auto"/>
              </w:rPr>
            </w:pPr>
          </w:p>
        </w:tc>
      </w:tr>
      <w:tr>
        <w:trPr>
          <w:trHeight w:val="202"/>
        </w:trPr>
        <w:tc>
          <w:tcPr>
            <w:tcW w:w="1020" w:type="dxa"/>
            <w:vAlign w:val="bottom"/>
            <w:gridSpan w:val="4"/>
          </w:tcPr>
          <w:p>
            <w:pPr>
              <w:spacing w:after="0"/>
              <w:rPr>
                <w:sz w:val="20"/>
                <w:szCs w:val="20"/>
                <w:color w:val="auto"/>
              </w:rPr>
            </w:pPr>
            <w:r>
              <w:rPr>
                <w:rFonts w:ascii="Arial" w:cs="Arial" w:eastAsia="Arial" w:hAnsi="Arial"/>
                <w:sz w:val="13"/>
                <w:szCs w:val="13"/>
                <w:color w:val="auto"/>
              </w:rPr>
              <w:t>Item 1.</w:t>
            </w:r>
          </w:p>
        </w:tc>
        <w:tc>
          <w:tcPr>
            <w:tcW w:w="8040" w:type="dxa"/>
            <w:vAlign w:val="bottom"/>
            <w:gridSpan w:val="16"/>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Financial Statements (unaudited)</w:t>
              </w:r>
            </w:hyperlink>
          </w:p>
        </w:tc>
        <w:tc>
          <w:tcPr>
            <w:tcW w:w="2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40" w:type="dxa"/>
            <w:vAlign w:val="bottom"/>
            <w:gridSpan w:val="11"/>
          </w:tcPr>
          <w:p>
            <w:pPr>
              <w:spacing w:after="0"/>
              <w:rPr>
                <w:rFonts w:ascii="Arial" w:cs="Arial" w:eastAsia="Arial" w:hAnsi="Arial"/>
                <w:sz w:val="13"/>
                <w:szCs w:val="13"/>
                <w:color w:val="0000EE"/>
                <w:w w:val="90"/>
              </w:rPr>
            </w:pPr>
            <w:hyperlink w:anchor="page3">
              <w:r>
                <w:rPr>
                  <w:rFonts w:ascii="Arial" w:cs="Arial" w:eastAsia="Arial" w:hAnsi="Arial"/>
                  <w:sz w:val="13"/>
                  <w:szCs w:val="13"/>
                  <w:color w:val="0000EE"/>
                  <w:w w:val="90"/>
                </w:rPr>
                <w:t>Consolidated Balance Sheets as of September 30, 2018 and December 31, 2017</w:t>
              </w:r>
            </w:hyperlink>
          </w:p>
        </w:tc>
        <w:tc>
          <w:tcPr>
            <w:tcW w:w="3800" w:type="dxa"/>
            <w:vAlign w:val="bottom"/>
            <w:gridSpan w:val="5"/>
          </w:tcPr>
          <w:p>
            <w:pPr>
              <w:spacing w:after="0"/>
              <w:rPr>
                <w:sz w:val="16"/>
                <w:szCs w:val="16"/>
                <w:color w:val="auto"/>
              </w:rPr>
            </w:pPr>
          </w:p>
        </w:tc>
        <w:tc>
          <w:tcPr>
            <w:tcW w:w="2040" w:type="dxa"/>
            <w:vAlign w:val="bottom"/>
            <w:gridSpan w:val="3"/>
          </w:tcPr>
          <w:p>
            <w:pPr>
              <w:jc w:val="right"/>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80" w:type="dxa"/>
            <w:vAlign w:val="bottom"/>
            <w:gridSpan w:val="14"/>
          </w:tcPr>
          <w:p>
            <w:pPr>
              <w:spacing w:after="0"/>
              <w:rPr>
                <w:rFonts w:ascii="Arial" w:cs="Arial" w:eastAsia="Arial" w:hAnsi="Arial"/>
                <w:sz w:val="13"/>
                <w:szCs w:val="13"/>
                <w:color w:val="0000EE"/>
                <w:w w:val="91"/>
              </w:rPr>
            </w:pPr>
            <w:hyperlink w:anchor="page4">
              <w:r>
                <w:rPr>
                  <w:rFonts w:ascii="Arial" w:cs="Arial" w:eastAsia="Arial" w:hAnsi="Arial"/>
                  <w:sz w:val="13"/>
                  <w:szCs w:val="13"/>
                  <w:color w:val="0000EE"/>
                  <w:w w:val="91"/>
                </w:rPr>
                <w:t>Consolidated Statements of Income for the Three and Nine Months Ended September 30, 2018 and 2017</w:t>
              </w:r>
            </w:hyperlink>
          </w:p>
        </w:tc>
        <w:tc>
          <w:tcPr>
            <w:tcW w:w="2460" w:type="dxa"/>
            <w:vAlign w:val="bottom"/>
            <w:gridSpan w:val="2"/>
          </w:tcPr>
          <w:p>
            <w:pPr>
              <w:spacing w:after="0"/>
              <w:rPr>
                <w:sz w:val="17"/>
                <w:szCs w:val="17"/>
                <w:color w:val="auto"/>
              </w:rPr>
            </w:pPr>
          </w:p>
        </w:tc>
        <w:tc>
          <w:tcPr>
            <w:tcW w:w="2040" w:type="dxa"/>
            <w:vAlign w:val="bottom"/>
            <w:gridSpan w:val="3"/>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80" w:type="dxa"/>
            <w:vAlign w:val="bottom"/>
            <w:gridSpan w:val="15"/>
          </w:tcPr>
          <w:p>
            <w:pPr>
              <w:spacing w:after="0"/>
              <w:rPr>
                <w:rFonts w:ascii="Arial" w:cs="Arial" w:eastAsia="Arial" w:hAnsi="Arial"/>
                <w:sz w:val="13"/>
                <w:szCs w:val="13"/>
                <w:color w:val="0000EE"/>
                <w:w w:val="91"/>
              </w:rPr>
            </w:pPr>
            <w:hyperlink w:anchor="page5">
              <w:r>
                <w:rPr>
                  <w:rFonts w:ascii="Arial" w:cs="Arial" w:eastAsia="Arial" w:hAnsi="Arial"/>
                  <w:sz w:val="13"/>
                  <w:szCs w:val="13"/>
                  <w:color w:val="0000EE"/>
                  <w:w w:val="91"/>
                </w:rPr>
                <w:t>Consolidated Statements of Comprehensive Income for the Three and Nine Months Ended September, 2018 and 2017</w:t>
              </w:r>
            </w:hyperlink>
          </w:p>
        </w:tc>
        <w:tc>
          <w:tcPr>
            <w:tcW w:w="1760" w:type="dxa"/>
            <w:vAlign w:val="bottom"/>
          </w:tcPr>
          <w:p>
            <w:pPr>
              <w:spacing w:after="0"/>
              <w:rPr>
                <w:sz w:val="17"/>
                <w:szCs w:val="17"/>
                <w:color w:val="auto"/>
              </w:rPr>
            </w:pPr>
          </w:p>
        </w:tc>
        <w:tc>
          <w:tcPr>
            <w:tcW w:w="2040" w:type="dxa"/>
            <w:vAlign w:val="bottom"/>
            <w:gridSpan w:val="3"/>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40" w:type="dxa"/>
            <w:vAlign w:val="bottom"/>
            <w:gridSpan w:val="13"/>
          </w:tcPr>
          <w:p>
            <w:pPr>
              <w:spacing w:after="0"/>
              <w:rPr>
                <w:rFonts w:ascii="Arial" w:cs="Arial" w:eastAsia="Arial" w:hAnsi="Arial"/>
                <w:sz w:val="13"/>
                <w:szCs w:val="13"/>
                <w:color w:val="0000EE"/>
                <w:w w:val="91"/>
              </w:rPr>
            </w:pPr>
            <w:hyperlink w:anchor="page6">
              <w:r>
                <w:rPr>
                  <w:rFonts w:ascii="Arial" w:cs="Arial" w:eastAsia="Arial" w:hAnsi="Arial"/>
                  <w:sz w:val="13"/>
                  <w:szCs w:val="13"/>
                  <w:color w:val="0000EE"/>
                  <w:w w:val="91"/>
                </w:rPr>
                <w:t>Consolidated Statements of Cash Flows for the Nine Months Ended September 30, 2018 and 2017</w:t>
              </w:r>
            </w:hyperlink>
          </w:p>
        </w:tc>
        <w:tc>
          <w:tcPr>
            <w:tcW w:w="1040" w:type="dxa"/>
            <w:vAlign w:val="bottom"/>
            <w:gridSpan w:val="2"/>
          </w:tcPr>
          <w:p>
            <w:pPr>
              <w:spacing w:after="0"/>
              <w:rPr>
                <w:sz w:val="17"/>
                <w:szCs w:val="17"/>
                <w:color w:val="auto"/>
              </w:rPr>
            </w:pPr>
          </w:p>
        </w:tc>
        <w:tc>
          <w:tcPr>
            <w:tcW w:w="1760" w:type="dxa"/>
            <w:vAlign w:val="bottom"/>
          </w:tcPr>
          <w:p>
            <w:pPr>
              <w:spacing w:after="0"/>
              <w:rPr>
                <w:sz w:val="17"/>
                <w:szCs w:val="17"/>
                <w:color w:val="auto"/>
              </w:rPr>
            </w:pPr>
          </w:p>
        </w:tc>
        <w:tc>
          <w:tcPr>
            <w:tcW w:w="2040" w:type="dxa"/>
            <w:vAlign w:val="bottom"/>
            <w:gridSpan w:val="3"/>
          </w:tcPr>
          <w:p>
            <w:pPr>
              <w:jc w:val="right"/>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20" w:type="dxa"/>
            <w:vAlign w:val="bottom"/>
            <w:gridSpan w:val="9"/>
          </w:tcPr>
          <w:p>
            <w:pPr>
              <w:spacing w:after="0"/>
              <w:rPr>
                <w:rFonts w:ascii="Arial" w:cs="Arial" w:eastAsia="Arial" w:hAnsi="Arial"/>
                <w:sz w:val="13"/>
                <w:szCs w:val="13"/>
                <w:color w:val="0000EE"/>
                <w:w w:val="91"/>
              </w:rPr>
            </w:pPr>
            <w:hyperlink w:anchor="page7">
              <w:r>
                <w:rPr>
                  <w:rFonts w:ascii="Arial" w:cs="Arial" w:eastAsia="Arial" w:hAnsi="Arial"/>
                  <w:sz w:val="13"/>
                  <w:szCs w:val="13"/>
                  <w:color w:val="0000EE"/>
                  <w:w w:val="91"/>
                </w:rPr>
                <w:t>Notes to the Unaudited Consolidated Financial Statements</w:t>
              </w:r>
            </w:hyperlink>
          </w:p>
        </w:tc>
        <w:tc>
          <w:tcPr>
            <w:tcW w:w="2120" w:type="dxa"/>
            <w:vAlign w:val="bottom"/>
            <w:gridSpan w:val="4"/>
          </w:tcPr>
          <w:p>
            <w:pPr>
              <w:spacing w:after="0"/>
              <w:rPr>
                <w:sz w:val="17"/>
                <w:szCs w:val="17"/>
                <w:color w:val="auto"/>
              </w:rPr>
            </w:pPr>
          </w:p>
        </w:tc>
        <w:tc>
          <w:tcPr>
            <w:tcW w:w="2800" w:type="dxa"/>
            <w:vAlign w:val="bottom"/>
            <w:gridSpan w:val="3"/>
          </w:tcPr>
          <w:p>
            <w:pPr>
              <w:spacing w:after="0"/>
              <w:rPr>
                <w:sz w:val="17"/>
                <w:szCs w:val="17"/>
                <w:color w:val="auto"/>
              </w:rPr>
            </w:pPr>
          </w:p>
        </w:tc>
        <w:tc>
          <w:tcPr>
            <w:tcW w:w="2040" w:type="dxa"/>
            <w:vAlign w:val="bottom"/>
            <w:gridSpan w:val="3"/>
          </w:tcPr>
          <w:p>
            <w:pPr>
              <w:jc w:val="right"/>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0" w:type="dxa"/>
            <w:vAlign w:val="bottom"/>
            <w:gridSpan w:val="2"/>
          </w:tcPr>
          <w:p>
            <w:pPr>
              <w:spacing w:after="0"/>
              <w:rPr>
                <w:sz w:val="20"/>
                <w:szCs w:val="20"/>
                <w:color w:val="auto"/>
              </w:rPr>
            </w:pPr>
            <w:r>
              <w:rPr>
                <w:rFonts w:ascii="Arial" w:cs="Arial" w:eastAsia="Arial" w:hAnsi="Arial"/>
                <w:sz w:val="13"/>
                <w:szCs w:val="13"/>
                <w:color w:val="auto"/>
                <w:w w:val="95"/>
              </w:rPr>
              <w:t>Item 2.</w:t>
            </w:r>
          </w:p>
        </w:tc>
        <w:tc>
          <w:tcPr>
            <w:tcW w:w="620" w:type="dxa"/>
            <w:vAlign w:val="bottom"/>
            <w:gridSpan w:val="2"/>
          </w:tcPr>
          <w:p>
            <w:pPr>
              <w:spacing w:after="0"/>
              <w:rPr>
                <w:sz w:val="17"/>
                <w:szCs w:val="17"/>
                <w:color w:val="auto"/>
              </w:rPr>
            </w:pPr>
          </w:p>
        </w:tc>
        <w:tc>
          <w:tcPr>
            <w:tcW w:w="8040" w:type="dxa"/>
            <w:vAlign w:val="bottom"/>
            <w:gridSpan w:val="16"/>
          </w:tcPr>
          <w:p>
            <w:pPr>
              <w:spacing w:after="0"/>
              <w:rPr>
                <w:rFonts w:ascii="Arial" w:cs="Arial" w:eastAsia="Arial" w:hAnsi="Arial"/>
                <w:sz w:val="13"/>
                <w:szCs w:val="13"/>
                <w:color w:val="0000EE"/>
              </w:rPr>
            </w:pPr>
            <w:hyperlink w:anchor="page21">
              <w:r>
                <w:rPr>
                  <w:rFonts w:ascii="Arial" w:cs="Arial" w:eastAsia="Arial" w:hAnsi="Arial"/>
                  <w:sz w:val="13"/>
                  <w:szCs w:val="13"/>
                  <w:color w:val="0000EE"/>
                </w:rPr>
                <w:t>Management's Discussion and Analysis of Financial Condition and Results of Operations</w:t>
              </w:r>
            </w:hyperlink>
          </w:p>
        </w:tc>
        <w:tc>
          <w:tcPr>
            <w:tcW w:w="2040" w:type="dxa"/>
            <w:vAlign w:val="bottom"/>
            <w:gridSpan w:val="3"/>
          </w:tcPr>
          <w:p>
            <w:pPr>
              <w:jc w:val="right"/>
              <w:spacing w:after="0"/>
              <w:rPr>
                <w:rFonts w:ascii="Arial" w:cs="Arial" w:eastAsia="Arial" w:hAnsi="Arial"/>
                <w:sz w:val="14"/>
                <w:szCs w:val="14"/>
                <w:color w:val="0000EE"/>
              </w:rPr>
            </w:pPr>
            <w:hyperlink w:anchor="page21">
              <w:r>
                <w:rPr>
                  <w:rFonts w:ascii="Arial" w:cs="Arial" w:eastAsia="Arial" w:hAnsi="Arial"/>
                  <w:sz w:val="14"/>
                  <w:szCs w:val="14"/>
                  <w:color w:val="0000EE"/>
                </w:rPr>
                <w:t>21</w:t>
              </w:r>
            </w:hyperlink>
          </w:p>
        </w:tc>
        <w:tc>
          <w:tcPr>
            <w:tcW w:w="0" w:type="dxa"/>
            <w:vAlign w:val="bottom"/>
          </w:tcPr>
          <w:p>
            <w:pPr>
              <w:spacing w:after="0"/>
              <w:rPr>
                <w:sz w:val="1"/>
                <w:szCs w:val="1"/>
                <w:color w:val="auto"/>
              </w:rPr>
            </w:pPr>
          </w:p>
        </w:tc>
      </w:tr>
      <w:tr>
        <w:trPr>
          <w:trHeight w:val="191"/>
        </w:trPr>
        <w:tc>
          <w:tcPr>
            <w:tcW w:w="4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w w:val="95"/>
              </w:rPr>
              <w:t>Item 3.</w:t>
            </w:r>
          </w:p>
        </w:tc>
        <w:tc>
          <w:tcPr>
            <w:tcW w:w="620" w:type="dxa"/>
            <w:vAlign w:val="bottom"/>
            <w:gridSpan w:val="2"/>
          </w:tcPr>
          <w:p>
            <w:pPr>
              <w:spacing w:after="0"/>
              <w:rPr>
                <w:sz w:val="16"/>
                <w:szCs w:val="16"/>
                <w:color w:val="auto"/>
              </w:rPr>
            </w:pPr>
          </w:p>
        </w:tc>
        <w:tc>
          <w:tcPr>
            <w:tcW w:w="4760" w:type="dxa"/>
            <w:vAlign w:val="bottom"/>
            <w:tcBorders>
              <w:top w:val="single" w:sz="8" w:color="0000EE"/>
            </w:tcBorders>
            <w:gridSpan w:val="12"/>
          </w:tcPr>
          <w:p>
            <w:pPr>
              <w:spacing w:after="0"/>
              <w:rPr>
                <w:rFonts w:ascii="Arial" w:cs="Arial" w:eastAsia="Arial" w:hAnsi="Arial"/>
                <w:sz w:val="13"/>
                <w:szCs w:val="13"/>
                <w:color w:val="0000EE"/>
              </w:rPr>
            </w:pPr>
            <w:hyperlink w:anchor="page39">
              <w:r>
                <w:rPr>
                  <w:rFonts w:ascii="Arial" w:cs="Arial" w:eastAsia="Arial" w:hAnsi="Arial"/>
                  <w:sz w:val="13"/>
                  <w:szCs w:val="13"/>
                  <w:color w:val="0000EE"/>
                </w:rPr>
                <w:t>Quantitative and Qualitative Disclosures About Market Risk</w:t>
              </w:r>
            </w:hyperlink>
          </w:p>
        </w:tc>
        <w:tc>
          <w:tcPr>
            <w:tcW w:w="3280" w:type="dxa"/>
            <w:vAlign w:val="bottom"/>
            <w:gridSpan w:val="4"/>
          </w:tcPr>
          <w:p>
            <w:pPr>
              <w:spacing w:after="0"/>
              <w:rPr>
                <w:sz w:val="16"/>
                <w:szCs w:val="16"/>
                <w:color w:val="auto"/>
              </w:rPr>
            </w:pPr>
          </w:p>
        </w:tc>
        <w:tc>
          <w:tcPr>
            <w:tcW w:w="1900" w:type="dxa"/>
            <w:vAlign w:val="bottom"/>
            <w:gridSpan w:val="2"/>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39">
              <w:r>
                <w:rPr>
                  <w:rFonts w:ascii="Arial" w:cs="Arial" w:eastAsia="Arial" w:hAnsi="Arial"/>
                  <w:sz w:val="14"/>
                  <w:szCs w:val="14"/>
                  <w:color w:val="0000EE"/>
                  <w:w w:val="76"/>
                </w:rPr>
                <w:t>39</w:t>
              </w:r>
            </w:hyperlink>
          </w:p>
        </w:tc>
        <w:tc>
          <w:tcPr>
            <w:tcW w:w="0" w:type="dxa"/>
            <w:vAlign w:val="bottom"/>
          </w:tcPr>
          <w:p>
            <w:pPr>
              <w:spacing w:after="0"/>
              <w:rPr>
                <w:sz w:val="1"/>
                <w:szCs w:val="1"/>
                <w:color w:val="auto"/>
              </w:rPr>
            </w:pPr>
          </w:p>
        </w:tc>
      </w:tr>
      <w:tr>
        <w:trPr>
          <w:trHeight w:val="191"/>
        </w:trPr>
        <w:tc>
          <w:tcPr>
            <w:tcW w:w="4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w w:val="95"/>
              </w:rPr>
              <w:t>Item 4.</w:t>
            </w:r>
          </w:p>
        </w:tc>
        <w:tc>
          <w:tcPr>
            <w:tcW w:w="620" w:type="dxa"/>
            <w:vAlign w:val="bottom"/>
            <w:gridSpan w:val="2"/>
          </w:tcPr>
          <w:p>
            <w:pPr>
              <w:spacing w:after="0"/>
              <w:rPr>
                <w:sz w:val="16"/>
                <w:szCs w:val="16"/>
                <w:color w:val="auto"/>
              </w:rPr>
            </w:pPr>
          </w:p>
        </w:tc>
        <w:tc>
          <w:tcPr>
            <w:tcW w:w="3220" w:type="dxa"/>
            <w:vAlign w:val="bottom"/>
            <w:tcBorders>
              <w:top w:val="single" w:sz="8" w:color="0000EE"/>
            </w:tcBorders>
            <w:gridSpan w:val="10"/>
          </w:tcPr>
          <w:p>
            <w:pPr>
              <w:spacing w:after="0"/>
              <w:rPr>
                <w:rFonts w:ascii="Arial" w:cs="Arial" w:eastAsia="Arial" w:hAnsi="Arial"/>
                <w:sz w:val="13"/>
                <w:szCs w:val="13"/>
                <w:color w:val="0000EE"/>
              </w:rPr>
            </w:pPr>
            <w:hyperlink w:anchor="page40">
              <w:r>
                <w:rPr>
                  <w:rFonts w:ascii="Arial" w:cs="Arial" w:eastAsia="Arial" w:hAnsi="Arial"/>
                  <w:sz w:val="13"/>
                  <w:szCs w:val="13"/>
                  <w:color w:val="0000EE"/>
                </w:rPr>
                <w:t>Controls and Procedures</w:t>
              </w:r>
            </w:hyperlink>
          </w:p>
        </w:tc>
        <w:tc>
          <w:tcPr>
            <w:tcW w:w="4820" w:type="dxa"/>
            <w:vAlign w:val="bottom"/>
            <w:gridSpan w:val="6"/>
          </w:tcPr>
          <w:p>
            <w:pPr>
              <w:spacing w:after="0"/>
              <w:rPr>
                <w:sz w:val="16"/>
                <w:szCs w:val="16"/>
                <w:color w:val="auto"/>
              </w:rPr>
            </w:pPr>
          </w:p>
        </w:tc>
        <w:tc>
          <w:tcPr>
            <w:tcW w:w="1900" w:type="dxa"/>
            <w:vAlign w:val="bottom"/>
            <w:gridSpan w:val="2"/>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40">
              <w:r>
                <w:rPr>
                  <w:rFonts w:ascii="Arial" w:cs="Arial" w:eastAsia="Arial" w:hAnsi="Arial"/>
                  <w:sz w:val="14"/>
                  <w:szCs w:val="14"/>
                  <w:color w:val="0000EE"/>
                  <w:w w:val="76"/>
                </w:rPr>
                <w:t>40</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80" w:type="dxa"/>
            <w:vAlign w:val="bottom"/>
            <w:tcBorders>
              <w:bottom w:val="single" w:sz="8" w:color="0000EE"/>
            </w:tcBorders>
            <w:gridSpan w:val="9"/>
          </w:tcPr>
          <w:p>
            <w:pPr>
              <w:spacing w:after="0"/>
              <w:rPr>
                <w:rFonts w:ascii="Arial" w:cs="Arial" w:eastAsia="Arial" w:hAnsi="Arial"/>
                <w:sz w:val="14"/>
                <w:szCs w:val="14"/>
                <w:b w:val="1"/>
                <w:bCs w:val="1"/>
                <w:color w:val="0000EE"/>
              </w:rPr>
            </w:pPr>
            <w:hyperlink w:anchor="page40">
              <w:r>
                <w:rPr>
                  <w:rFonts w:ascii="Arial" w:cs="Arial" w:eastAsia="Arial" w:hAnsi="Arial"/>
                  <w:sz w:val="14"/>
                  <w:szCs w:val="14"/>
                  <w:b w:val="1"/>
                  <w:bCs w:val="1"/>
                  <w:color w:val="0000EE"/>
                </w:rPr>
                <w:t>PART II—OTHER INFORMATION</w:t>
              </w:r>
            </w:hyperlink>
          </w:p>
        </w:tc>
        <w:tc>
          <w:tcPr>
            <w:tcW w:w="6880" w:type="dxa"/>
            <w:vAlign w:val="bottom"/>
            <w:gridSpan w:val="11"/>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gridSpan w:val="2"/>
          </w:tcPr>
          <w:p>
            <w:pPr>
              <w:spacing w:after="0"/>
              <w:rPr>
                <w:sz w:val="20"/>
                <w:szCs w:val="20"/>
                <w:color w:val="auto"/>
              </w:rPr>
            </w:pPr>
            <w:r>
              <w:rPr>
                <w:rFonts w:ascii="Arial" w:cs="Arial" w:eastAsia="Arial" w:hAnsi="Arial"/>
                <w:sz w:val="13"/>
                <w:szCs w:val="13"/>
                <w:color w:val="auto"/>
                <w:w w:val="95"/>
              </w:rPr>
              <w:t>Item 1.</w:t>
            </w:r>
          </w:p>
        </w:tc>
        <w:tc>
          <w:tcPr>
            <w:tcW w:w="620" w:type="dxa"/>
            <w:vAlign w:val="bottom"/>
            <w:gridSpan w:val="2"/>
          </w:tcPr>
          <w:p>
            <w:pPr>
              <w:spacing w:after="0"/>
              <w:rPr>
                <w:sz w:val="17"/>
                <w:szCs w:val="17"/>
                <w:color w:val="auto"/>
              </w:rPr>
            </w:pPr>
          </w:p>
        </w:tc>
        <w:tc>
          <w:tcPr>
            <w:tcW w:w="8040" w:type="dxa"/>
            <w:vAlign w:val="bottom"/>
            <w:gridSpan w:val="16"/>
          </w:tcPr>
          <w:p>
            <w:pPr>
              <w:spacing w:after="0"/>
              <w:rPr>
                <w:rFonts w:ascii="Arial" w:cs="Arial" w:eastAsia="Arial" w:hAnsi="Arial"/>
                <w:sz w:val="13"/>
                <w:szCs w:val="13"/>
                <w:color w:val="0000EE"/>
              </w:rPr>
            </w:pPr>
            <w:hyperlink w:anchor="page40">
              <w:r>
                <w:rPr>
                  <w:rFonts w:ascii="Arial" w:cs="Arial" w:eastAsia="Arial" w:hAnsi="Arial"/>
                  <w:sz w:val="13"/>
                  <w:szCs w:val="13"/>
                  <w:color w:val="0000EE"/>
                </w:rPr>
                <w:t>Legal Proceedings</w:t>
              </w:r>
            </w:hyperlink>
          </w:p>
        </w:tc>
        <w:tc>
          <w:tcPr>
            <w:tcW w:w="2040" w:type="dxa"/>
            <w:vAlign w:val="bottom"/>
            <w:gridSpan w:val="3"/>
          </w:tcPr>
          <w:p>
            <w:pPr>
              <w:jc w:val="right"/>
              <w:spacing w:after="0"/>
              <w:rPr>
                <w:rFonts w:ascii="Arial" w:cs="Arial" w:eastAsia="Arial" w:hAnsi="Arial"/>
                <w:sz w:val="14"/>
                <w:szCs w:val="14"/>
                <w:color w:val="0000EE"/>
              </w:rPr>
            </w:pPr>
            <w:hyperlink w:anchor="page40">
              <w:r>
                <w:rPr>
                  <w:rFonts w:ascii="Arial" w:cs="Arial" w:eastAsia="Arial" w:hAnsi="Arial"/>
                  <w:sz w:val="14"/>
                  <w:szCs w:val="14"/>
                  <w:color w:val="0000EE"/>
                </w:rPr>
                <w:t>40</w:t>
              </w:r>
            </w:hyperlink>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60" w:type="dxa"/>
            <w:vAlign w:val="bottom"/>
            <w:gridSpan w:val="1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 w:type="dxa"/>
            <w:vAlign w:val="bottom"/>
            <w:gridSpan w:val="3"/>
          </w:tcPr>
          <w:p>
            <w:pPr>
              <w:spacing w:after="0"/>
              <w:rPr>
                <w:sz w:val="20"/>
                <w:szCs w:val="20"/>
                <w:color w:val="auto"/>
              </w:rPr>
            </w:pPr>
            <w:r>
              <w:rPr>
                <w:rFonts w:ascii="Arial" w:cs="Arial" w:eastAsia="Arial" w:hAnsi="Arial"/>
                <w:sz w:val="13"/>
                <w:szCs w:val="13"/>
                <w:color w:val="auto"/>
                <w:w w:val="94"/>
              </w:rPr>
              <w:t>Item 1A.</w:t>
            </w:r>
          </w:p>
        </w:tc>
        <w:tc>
          <w:tcPr>
            <w:tcW w:w="540" w:type="dxa"/>
            <w:vAlign w:val="bottom"/>
          </w:tcPr>
          <w:p>
            <w:pPr>
              <w:spacing w:after="0"/>
              <w:rPr>
                <w:sz w:val="16"/>
                <w:szCs w:val="16"/>
                <w:color w:val="auto"/>
              </w:rPr>
            </w:pPr>
          </w:p>
        </w:tc>
        <w:tc>
          <w:tcPr>
            <w:tcW w:w="8040" w:type="dxa"/>
            <w:vAlign w:val="bottom"/>
            <w:gridSpan w:val="16"/>
          </w:tcPr>
          <w:p>
            <w:pPr>
              <w:spacing w:after="0"/>
              <w:rPr>
                <w:rFonts w:ascii="Arial" w:cs="Arial" w:eastAsia="Arial" w:hAnsi="Arial"/>
                <w:sz w:val="13"/>
                <w:szCs w:val="13"/>
                <w:color w:val="0000EE"/>
              </w:rPr>
            </w:pPr>
            <w:hyperlink w:anchor="page41">
              <w:r>
                <w:rPr>
                  <w:rFonts w:ascii="Arial" w:cs="Arial" w:eastAsia="Arial" w:hAnsi="Arial"/>
                  <w:sz w:val="13"/>
                  <w:szCs w:val="13"/>
                  <w:color w:val="0000EE"/>
                </w:rPr>
                <w:t>Risk Factors</w:t>
              </w:r>
            </w:hyperlink>
          </w:p>
        </w:tc>
        <w:tc>
          <w:tcPr>
            <w:tcW w:w="2040" w:type="dxa"/>
            <w:vAlign w:val="bottom"/>
            <w:gridSpan w:val="3"/>
          </w:tcPr>
          <w:p>
            <w:pPr>
              <w:jc w:val="right"/>
              <w:spacing w:after="0"/>
              <w:rPr>
                <w:rFonts w:ascii="Arial" w:cs="Arial" w:eastAsia="Arial" w:hAnsi="Arial"/>
                <w:sz w:val="14"/>
                <w:szCs w:val="14"/>
                <w:color w:val="0000EE"/>
              </w:rPr>
            </w:pPr>
            <w:hyperlink w:anchor="page41">
              <w:r>
                <w:rPr>
                  <w:rFonts w:ascii="Arial" w:cs="Arial" w:eastAsia="Arial" w:hAnsi="Arial"/>
                  <w:sz w:val="14"/>
                  <w:szCs w:val="14"/>
                  <w:color w:val="0000EE"/>
                </w:rPr>
                <w:t>41</w:t>
              </w:r>
            </w:hyperlink>
          </w:p>
        </w:tc>
        <w:tc>
          <w:tcPr>
            <w:tcW w:w="0" w:type="dxa"/>
            <w:vAlign w:val="bottom"/>
          </w:tcPr>
          <w:p>
            <w:pPr>
              <w:spacing w:after="0"/>
              <w:rPr>
                <w:sz w:val="1"/>
                <w:szCs w:val="1"/>
                <w:color w:val="auto"/>
              </w:rPr>
            </w:pPr>
          </w:p>
        </w:tc>
      </w:tr>
      <w:tr>
        <w:trPr>
          <w:trHeight w:val="191"/>
        </w:trPr>
        <w:tc>
          <w:tcPr>
            <w:tcW w:w="48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Item 6.</w:t>
            </w:r>
          </w:p>
        </w:tc>
        <w:tc>
          <w:tcPr>
            <w:tcW w:w="540" w:type="dxa"/>
            <w:vAlign w:val="bottom"/>
          </w:tcPr>
          <w:p>
            <w:pPr>
              <w:spacing w:after="0"/>
              <w:rPr>
                <w:sz w:val="16"/>
                <w:szCs w:val="16"/>
                <w:color w:val="auto"/>
              </w:rPr>
            </w:pPr>
          </w:p>
        </w:tc>
        <w:tc>
          <w:tcPr>
            <w:tcW w:w="660" w:type="dxa"/>
            <w:vAlign w:val="bottom"/>
            <w:tcBorders>
              <w:top w:val="single" w:sz="8" w:color="0000EE"/>
            </w:tcBorders>
            <w:gridSpan w:val="3"/>
          </w:tcPr>
          <w:p>
            <w:pPr>
              <w:spacing w:after="0"/>
              <w:rPr>
                <w:rFonts w:ascii="Arial" w:cs="Arial" w:eastAsia="Arial" w:hAnsi="Arial"/>
                <w:sz w:val="13"/>
                <w:szCs w:val="13"/>
                <w:color w:val="0000EE"/>
              </w:rPr>
            </w:pPr>
            <w:hyperlink w:anchor="page42">
              <w:r>
                <w:rPr>
                  <w:rFonts w:ascii="Arial" w:cs="Arial" w:eastAsia="Arial" w:hAnsi="Arial"/>
                  <w:sz w:val="13"/>
                  <w:szCs w:val="13"/>
                  <w:color w:val="0000EE"/>
                </w:rPr>
                <w:t>Exhibits</w:t>
              </w:r>
            </w:hyperlink>
          </w:p>
        </w:tc>
        <w:tc>
          <w:tcPr>
            <w:tcW w:w="7380" w:type="dxa"/>
            <w:vAlign w:val="bottom"/>
            <w:gridSpan w:val="13"/>
          </w:tcPr>
          <w:p>
            <w:pPr>
              <w:spacing w:after="0"/>
              <w:rPr>
                <w:sz w:val="16"/>
                <w:szCs w:val="16"/>
                <w:color w:val="auto"/>
              </w:rPr>
            </w:pPr>
          </w:p>
        </w:tc>
        <w:tc>
          <w:tcPr>
            <w:tcW w:w="1900" w:type="dxa"/>
            <w:vAlign w:val="bottom"/>
            <w:gridSpan w:val="2"/>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42">
              <w:r>
                <w:rPr>
                  <w:rFonts w:ascii="Arial" w:cs="Arial" w:eastAsia="Arial" w:hAnsi="Arial"/>
                  <w:sz w:val="14"/>
                  <w:szCs w:val="14"/>
                  <w:color w:val="0000EE"/>
                  <w:w w:val="76"/>
                </w:rPr>
                <w:t>42</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3"/>
                <w:szCs w:val="13"/>
                <w:color w:val="0000EE"/>
                <w:w w:val="86"/>
              </w:rPr>
            </w:pPr>
            <w:hyperlink w:anchor="page43">
              <w:r>
                <w:rPr>
                  <w:rFonts w:ascii="Arial" w:cs="Arial" w:eastAsia="Arial" w:hAnsi="Arial"/>
                  <w:sz w:val="13"/>
                  <w:szCs w:val="13"/>
                  <w:color w:val="0000EE"/>
                  <w:w w:val="86"/>
                </w:rPr>
                <w:t>Signatures</w:t>
              </w:r>
            </w:hyperlink>
          </w:p>
        </w:tc>
        <w:tc>
          <w:tcPr>
            <w:tcW w:w="7480" w:type="dxa"/>
            <w:vAlign w:val="bottom"/>
            <w:gridSpan w:val="14"/>
          </w:tcPr>
          <w:p>
            <w:pPr>
              <w:spacing w:after="0"/>
              <w:rPr>
                <w:sz w:val="24"/>
                <w:szCs w:val="24"/>
                <w:color w:val="auto"/>
              </w:rPr>
            </w:pPr>
          </w:p>
        </w:tc>
        <w:tc>
          <w:tcPr>
            <w:tcW w:w="1900" w:type="dxa"/>
            <w:vAlign w:val="bottom"/>
            <w:gridSpan w:val="2"/>
          </w:tcPr>
          <w:p>
            <w:pPr>
              <w:spacing w:after="0"/>
              <w:rPr>
                <w:sz w:val="24"/>
                <w:szCs w:val="24"/>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43</w:t>
              </w:r>
            </w:hyperlink>
          </w:p>
        </w:tc>
        <w:tc>
          <w:tcPr>
            <w:tcW w:w="0" w:type="dxa"/>
            <w:vAlign w:val="bottom"/>
          </w:tcPr>
          <w:p>
            <w:pPr>
              <w:spacing w:after="0"/>
              <w:rPr>
                <w:sz w:val="1"/>
                <w:szCs w:val="1"/>
                <w:color w:val="auto"/>
              </w:rPr>
            </w:pPr>
          </w:p>
        </w:tc>
      </w:tr>
    </w:tbl>
    <w:p>
      <w:pPr>
        <w:sectPr>
          <w:pgSz w:w="11900" w:h="16838" w:orient="portrait"/>
          <w:cols w:equalWidth="0" w:num="1">
            <w:col w:w="11100"/>
          </w:cols>
          <w:pgMar w:left="400" w:top="325" w:right="39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I—FINANCIAL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 (UNAUDITED)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EURONET WORLDWIDE,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2"/>
                <w:szCs w:val="12"/>
                <w:b w:val="1"/>
                <w:bCs w:val="1"/>
                <w:color w:val="auto"/>
              </w:rPr>
              <w:t>As of</w:t>
            </w:r>
          </w:p>
        </w:tc>
        <w:tc>
          <w:tcPr>
            <w:tcW w:w="1060" w:type="dxa"/>
            <w:vAlign w:val="bottom"/>
            <w:tcBorders>
              <w:bottom w:val="single" w:sz="8" w:color="auto"/>
            </w:tcBorders>
          </w:tcPr>
          <w:p>
            <w:pPr>
              <w:spacing w:after="0"/>
              <w:rPr>
                <w:sz w:val="13"/>
                <w:szCs w:val="13"/>
                <w:color w:val="auto"/>
              </w:rPr>
            </w:pPr>
          </w:p>
        </w:tc>
      </w:tr>
      <w:tr>
        <w:trPr>
          <w:trHeight w:val="123"/>
        </w:trPr>
        <w:tc>
          <w:tcPr>
            <w:tcW w:w="8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23" w:lineRule="exact"/>
              <w:rPr>
                <w:sz w:val="20"/>
                <w:szCs w:val="20"/>
                <w:color w:val="auto"/>
              </w:rPr>
            </w:pPr>
            <w:r>
              <w:rPr>
                <w:rFonts w:ascii="Arial" w:cs="Arial" w:eastAsia="Arial" w:hAnsi="Arial"/>
                <w:sz w:val="12"/>
                <w:szCs w:val="12"/>
                <w:b w:val="1"/>
                <w:bCs w:val="1"/>
                <w:color w:val="auto"/>
                <w:w w:val="87"/>
              </w:rPr>
              <w:t>September 30,</w:t>
            </w:r>
          </w:p>
        </w:tc>
        <w:tc>
          <w:tcPr>
            <w:tcW w:w="180" w:type="dxa"/>
            <w:vAlign w:val="bottom"/>
          </w:tcPr>
          <w:p>
            <w:pPr>
              <w:spacing w:after="0"/>
              <w:rPr>
                <w:sz w:val="10"/>
                <w:szCs w:val="10"/>
                <w:color w:val="auto"/>
              </w:rPr>
            </w:pPr>
          </w:p>
        </w:tc>
        <w:tc>
          <w:tcPr>
            <w:tcW w:w="1060" w:type="dxa"/>
            <w:vAlign w:val="bottom"/>
          </w:tcPr>
          <w:p>
            <w:pPr>
              <w:jc w:val="right"/>
              <w:ind w:right="227"/>
              <w:spacing w:after="0" w:line="123" w:lineRule="exact"/>
              <w:rPr>
                <w:sz w:val="20"/>
                <w:szCs w:val="20"/>
                <w:color w:val="auto"/>
              </w:rPr>
            </w:pPr>
            <w:r>
              <w:rPr>
                <w:rFonts w:ascii="Arial" w:cs="Arial" w:eastAsia="Arial" w:hAnsi="Arial"/>
                <w:sz w:val="12"/>
                <w:szCs w:val="12"/>
                <w:b w:val="1"/>
                <w:bCs w:val="1"/>
                <w:color w:val="auto"/>
                <w:w w:val="94"/>
              </w:rPr>
              <w:t>December 31,</w:t>
            </w:r>
          </w:p>
        </w:tc>
      </w:tr>
      <w:tr>
        <w:trPr>
          <w:trHeight w:val="157"/>
        </w:trPr>
        <w:tc>
          <w:tcPr>
            <w:tcW w:w="8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2017</w:t>
            </w:r>
          </w:p>
        </w:tc>
      </w:tr>
      <w:tr>
        <w:trPr>
          <w:trHeight w:val="202"/>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(unaudited)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1,129,272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819,144</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73,453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81,374</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w w:val="92"/>
              </w:rPr>
              <w:t>Trade accounts receivable, net of allowances for doubtful accounts of $23,426 at September 30, 2018 and $20,958 at December 31, 2017</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813,759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744,879</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200,004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244,789</w:t>
            </w:r>
          </w:p>
        </w:tc>
      </w:tr>
      <w:tr>
        <w:trPr>
          <w:trHeight w:val="23"/>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2,216,488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1,890,186</w:t>
            </w: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Property and equipment, net of accumulated depreciation of $365,708 at September 30, 2018 and $340,128 at December 31, 2017</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283,167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268,303</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715,745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717,386</w:t>
            </w: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w w:val="99"/>
              </w:rPr>
              <w:t>Acquired intangible assets, net of accumulated amortization of $191,256 at September 30, 2018 and $179,142 at December 31, 2017</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128,586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150,543</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assets, net of accumulated amortization of $49,010 at September 30, 2018 and $44,469 at December 31, 2017</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116,800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113,611</w:t>
            </w:r>
          </w:p>
        </w:tc>
      </w:tr>
      <w:tr>
        <w:trPr>
          <w:trHeight w:val="247"/>
        </w:trPr>
        <w:tc>
          <w:tcPr>
            <w:tcW w:w="882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3,460,786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3,140,029</w:t>
            </w:r>
          </w:p>
        </w:tc>
      </w:tr>
      <w:tr>
        <w:trPr>
          <w:trHeight w:val="181"/>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LIABILITIES AND EQUITY</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Trade accounts payable</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405,683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494,841</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752,295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759,789</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Current portion of capital lease obligations</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5,396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5,369</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Short-term debt obligations and current maturities of long-term debt obligations</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233,074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41,288</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Income taxes payable</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64,200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54,437</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53,059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51,996</w:t>
            </w:r>
          </w:p>
        </w:tc>
      </w:tr>
      <w:tr>
        <w:trPr>
          <w:trHeight w:val="23"/>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1,513,707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1,407,720</w:t>
            </w: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Debt obligations, net of current portion</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641,388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404,012</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Capital lease obligations, net of current portion</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8,750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9,753</w:t>
            </w: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52,707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54,969</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long-term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65,113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64,097</w:t>
            </w:r>
          </w:p>
        </w:tc>
      </w:tr>
      <w:tr>
        <w:trPr>
          <w:trHeight w:val="190"/>
        </w:trPr>
        <w:tc>
          <w:tcPr>
            <w:tcW w:w="8820" w:type="dxa"/>
            <w:vAlign w:val="bottom"/>
          </w:tcPr>
          <w:p>
            <w:pPr>
              <w:ind w:left="680"/>
              <w:spacing w:after="0"/>
              <w:rPr>
                <w:sz w:val="20"/>
                <w:szCs w:val="20"/>
                <w:color w:val="auto"/>
              </w:rPr>
            </w:pPr>
            <w:r>
              <w:rPr>
                <w:rFonts w:ascii="Arial" w:cs="Arial" w:eastAsia="Arial" w:hAnsi="Arial"/>
                <w:sz w:val="15"/>
                <w:szCs w:val="15"/>
                <w:color w:val="auto"/>
              </w:rPr>
              <w:t>Total liabilities</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2,281,665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1,940,551</w:t>
            </w:r>
          </w:p>
        </w:tc>
      </w:tr>
      <w:tr>
        <w:trPr>
          <w:trHeight w:val="23"/>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Equity:</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9"/>
        </w:trPr>
        <w:tc>
          <w:tcPr>
            <w:tcW w:w="8820" w:type="dxa"/>
            <w:vAlign w:val="bottom"/>
          </w:tcPr>
          <w:p>
            <w:pPr>
              <w:ind w:left="140"/>
              <w:spacing w:after="0"/>
              <w:rPr>
                <w:sz w:val="20"/>
                <w:szCs w:val="20"/>
                <w:color w:val="auto"/>
              </w:rPr>
            </w:pPr>
            <w:r>
              <w:rPr>
                <w:rFonts w:ascii="Arial" w:cs="Arial" w:eastAsia="Arial" w:hAnsi="Arial"/>
                <w:sz w:val="15"/>
                <w:szCs w:val="15"/>
                <w:color w:val="auto"/>
              </w:rPr>
              <w:t>Euronet Worldwide, Inc. stockholders’ equity:</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Preferred Stock, $0.02 par value. 10,000,000 shares authorized; none issued</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r>
      <w:tr>
        <w:trPr>
          <w:trHeight w:val="189"/>
        </w:trPr>
        <w:tc>
          <w:tcPr>
            <w:tcW w:w="8820" w:type="dxa"/>
            <w:vAlign w:val="bottom"/>
          </w:tcPr>
          <w:p>
            <w:pPr>
              <w:ind w:left="320"/>
              <w:spacing w:after="0"/>
              <w:rPr>
                <w:sz w:val="20"/>
                <w:szCs w:val="20"/>
                <w:color w:val="auto"/>
              </w:rPr>
            </w:pPr>
            <w:r>
              <w:rPr>
                <w:rFonts w:ascii="Arial" w:cs="Arial" w:eastAsia="Arial" w:hAnsi="Arial"/>
                <w:sz w:val="15"/>
                <w:szCs w:val="15"/>
                <w:color w:val="auto"/>
                <w:w w:val="96"/>
              </w:rPr>
              <w:t>Common Stock, $0.02 par value. 90,000,000 shares authorized; 59,554,968 issued at September 30, 2018 and 58,892,744 issued at</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8820" w:type="dxa"/>
            <w:vAlign w:val="bottom"/>
          </w:tcPr>
          <w:p>
            <w:pPr>
              <w:ind w:left="460"/>
              <w:spacing w:after="0"/>
              <w:rPr>
                <w:sz w:val="20"/>
                <w:szCs w:val="20"/>
                <w:color w:val="auto"/>
              </w:rPr>
            </w:pPr>
            <w:r>
              <w:rPr>
                <w:rFonts w:ascii="Arial" w:cs="Arial" w:eastAsia="Arial" w:hAnsi="Arial"/>
                <w:sz w:val="15"/>
                <w:szCs w:val="15"/>
                <w:color w:val="auto"/>
              </w:rPr>
              <w:t>December 31, 2017</w:t>
            </w:r>
          </w:p>
        </w:tc>
        <w:tc>
          <w:tcPr>
            <w:tcW w:w="18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1,191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1,178</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Additional paid-in-capital</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1,094,531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1,072,005</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Treasury stock, at cost, 8,096,314 shares at September 30, 2018 and 6,084,586 shares at December 31, 2017</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(392,095)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(217,161)</w:t>
            </w:r>
          </w:p>
        </w:tc>
      </w:tr>
      <w:tr>
        <w:trPr>
          <w:trHeight w:val="23"/>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609,813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436,954</w:t>
            </w:r>
          </w:p>
        </w:tc>
      </w:tr>
      <w:tr>
        <w:trPr>
          <w:trHeight w:val="199"/>
        </w:trPr>
        <w:tc>
          <w:tcPr>
            <w:tcW w:w="8820" w:type="dxa"/>
            <w:vAlign w:val="bottom"/>
          </w:tcPr>
          <w:p>
            <w:pPr>
              <w:ind w:left="32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(134,605)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(94,458)</w:t>
            </w:r>
          </w:p>
        </w:tc>
      </w:tr>
      <w:tr>
        <w:trPr>
          <w:trHeight w:val="23"/>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Euronet Worldwide, Inc. stockholders’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1,178,835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1,198,518</w:t>
            </w:r>
          </w:p>
        </w:tc>
      </w:tr>
      <w:tr>
        <w:trPr>
          <w:trHeight w:val="199"/>
        </w:trPr>
        <w:tc>
          <w:tcPr>
            <w:tcW w:w="8820" w:type="dxa"/>
            <w:vAlign w:val="bottom"/>
          </w:tcPr>
          <w:p>
            <w:pPr>
              <w:ind w:left="140"/>
              <w:spacing w:after="0"/>
              <w:rPr>
                <w:sz w:val="20"/>
                <w:szCs w:val="20"/>
                <w:color w:val="auto"/>
              </w:rPr>
            </w:pPr>
            <w:r>
              <w:rPr>
                <w:rFonts w:ascii="Arial" w:cs="Arial" w:eastAsia="Arial" w:hAnsi="Arial"/>
                <w:sz w:val="15"/>
                <w:szCs w:val="15"/>
                <w:color w:val="auto"/>
              </w:rPr>
              <w:t>Noncontrolling interests</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960</w:t>
            </w:r>
          </w:p>
        </w:tc>
      </w:tr>
      <w:tr>
        <w:trPr>
          <w:trHeight w:val="23"/>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3"/>
        </w:trPr>
        <w:tc>
          <w:tcPr>
            <w:tcW w:w="8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Total equity</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1,179,121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1,199,478</w:t>
            </w:r>
          </w:p>
        </w:tc>
      </w:tr>
      <w:tr>
        <w:trPr>
          <w:trHeight w:val="207"/>
        </w:trPr>
        <w:tc>
          <w:tcPr>
            <w:tcW w:w="8820" w:type="dxa"/>
            <w:vAlign w:val="bottom"/>
          </w:tcPr>
          <w:p>
            <w:pPr>
              <w:ind w:left="680"/>
              <w:spacing w:after="0"/>
              <w:rPr>
                <w:sz w:val="20"/>
                <w:szCs w:val="20"/>
                <w:color w:val="auto"/>
              </w:rPr>
            </w:pPr>
            <w:r>
              <w:rPr>
                <w:rFonts w:ascii="Arial" w:cs="Arial" w:eastAsia="Arial" w:hAnsi="Arial"/>
                <w:sz w:val="15"/>
                <w:szCs w:val="15"/>
                <w:color w:val="auto"/>
              </w:rPr>
              <w:t>Total liabilities and equity</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3,460,786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3,140,029</w:t>
            </w: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unaudited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EURONET WORLDWIDE,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80" w:type="dxa"/>
            <w:vAlign w:val="bottom"/>
          </w:tcPr>
          <w:p>
            <w:pPr>
              <w:spacing w:after="0"/>
              <w:rPr>
                <w:sz w:val="12"/>
                <w:szCs w:val="12"/>
                <w:color w:val="auto"/>
              </w:rPr>
            </w:pPr>
          </w:p>
        </w:tc>
      </w:tr>
      <w:tr>
        <w:trPr>
          <w:trHeight w:val="157"/>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Borders>
              <w:bottom w:val="single" w:sz="8" w:color="auto"/>
            </w:tcBorders>
          </w:tcPr>
          <w:p>
            <w:pPr>
              <w:spacing w:after="0"/>
              <w:rPr>
                <w:sz w:val="13"/>
                <w:szCs w:val="13"/>
                <w:color w:val="auto"/>
              </w:rPr>
            </w:pPr>
          </w:p>
        </w:tc>
      </w:tr>
      <w:tr>
        <w:trPr>
          <w:trHeight w:val="213"/>
        </w:trPr>
        <w:tc>
          <w:tcPr>
            <w:tcW w:w="50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w w:val="89"/>
              </w:rPr>
              <w:t>2017</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w w:val="97"/>
              </w:rPr>
              <w:t>2017</w:t>
            </w:r>
          </w:p>
        </w:tc>
      </w:tr>
      <w:tr>
        <w:trPr>
          <w:trHeight w:val="198"/>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126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714,505</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637,834</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1,887,244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1,647,777</w:t>
            </w:r>
          </w:p>
        </w:tc>
      </w:tr>
      <w:tr>
        <w:trPr>
          <w:trHeight w:val="199"/>
        </w:trPr>
        <w:tc>
          <w:tcPr>
            <w:tcW w:w="5000" w:type="dxa"/>
            <w:vAlign w:val="bottom"/>
          </w:tcPr>
          <w:p>
            <w:pPr>
              <w:ind w:left="40"/>
              <w:spacing w:after="0"/>
              <w:rPr>
                <w:sz w:val="20"/>
                <w:szCs w:val="20"/>
                <w:color w:val="auto"/>
              </w:rPr>
            </w:pPr>
            <w:r>
              <w:rPr>
                <w:rFonts w:ascii="Arial" w:cs="Arial" w:eastAsia="Arial" w:hAnsi="Arial"/>
                <w:sz w:val="15"/>
                <w:szCs w:val="15"/>
                <w:color w:val="auto"/>
              </w:rPr>
              <w:t>Operating expenses: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388,236</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364,815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1,093,072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978,768</w:t>
            </w:r>
          </w:p>
        </w:tc>
      </w:tr>
      <w:tr>
        <w:trPr>
          <w:trHeight w:val="199"/>
        </w:trPr>
        <w:tc>
          <w:tcPr>
            <w:tcW w:w="5000" w:type="dxa"/>
            <w:vAlign w:val="bottom"/>
          </w:tcPr>
          <w:p>
            <w:pPr>
              <w:ind w:left="140"/>
              <w:spacing w:after="0"/>
              <w:rPr>
                <w:sz w:val="20"/>
                <w:szCs w:val="20"/>
                <w:color w:val="auto"/>
              </w:rPr>
            </w:pPr>
            <w:r>
              <w:rPr>
                <w:rFonts w:ascii="Arial" w:cs="Arial" w:eastAsia="Arial" w:hAnsi="Arial"/>
                <w:sz w:val="15"/>
                <w:szCs w:val="15"/>
                <w:color w:val="auto"/>
              </w:rPr>
              <w:t>Salaries and benefits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5"/>
                <w:szCs w:val="15"/>
                <w:color w:val="auto"/>
              </w:rPr>
              <w:t>93,108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82,134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5"/>
                <w:szCs w:val="15"/>
                <w:color w:val="auto"/>
              </w:rPr>
              <w:t>270,537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232,617</w:t>
            </w:r>
          </w:p>
        </w:tc>
      </w:tr>
      <w:tr>
        <w:trPr>
          <w:trHeight w:val="23"/>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55,787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49,279</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158,156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139,708</w:t>
            </w:r>
          </w:p>
        </w:tc>
      </w:tr>
      <w:tr>
        <w:trPr>
          <w:trHeight w:val="199"/>
        </w:trPr>
        <w:tc>
          <w:tcPr>
            <w:tcW w:w="5000" w:type="dxa"/>
            <w:vAlign w:val="bottom"/>
          </w:tcPr>
          <w:p>
            <w:pPr>
              <w:ind w:left="140"/>
              <w:spacing w:after="0"/>
              <w:rPr>
                <w:sz w:val="20"/>
                <w:szCs w:val="20"/>
                <w:color w:val="auto"/>
              </w:rPr>
            </w:pPr>
            <w:r>
              <w:rPr>
                <w:rFonts w:ascii="Arial" w:cs="Arial" w:eastAsia="Arial" w:hAnsi="Arial"/>
                <w:sz w:val="15"/>
                <w:szCs w:val="15"/>
                <w:color w:val="auto"/>
              </w:rPr>
              <w:t>Acquired intangible assets impairment</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2,286</w:t>
            </w:r>
          </w:p>
        </w:tc>
      </w:tr>
      <w:tr>
        <w:trPr>
          <w:trHeight w:val="23"/>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26,461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24,705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78,726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69,520</w:t>
            </w:r>
          </w:p>
        </w:tc>
      </w:tr>
      <w:tr>
        <w:trPr>
          <w:trHeight w:val="190"/>
        </w:trPr>
        <w:tc>
          <w:tcPr>
            <w:tcW w:w="5000" w:type="dxa"/>
            <w:vAlign w:val="bottom"/>
          </w:tcPr>
          <w:p>
            <w:pPr>
              <w:ind w:left="500"/>
              <w:spacing w:after="0"/>
              <w:rPr>
                <w:sz w:val="20"/>
                <w:szCs w:val="20"/>
                <w:color w:val="auto"/>
              </w:rPr>
            </w:pPr>
            <w:r>
              <w:rPr>
                <w:rFonts w:ascii="Arial" w:cs="Arial" w:eastAsia="Arial" w:hAnsi="Arial"/>
                <w:sz w:val="15"/>
                <w:szCs w:val="15"/>
                <w:color w:val="auto"/>
              </w:rPr>
              <w:t>Total operating expenses</w:t>
            </w:r>
          </w:p>
        </w:tc>
        <w:tc>
          <w:tcPr>
            <w:tcW w:w="9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563,592</w:t>
            </w: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520,933</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rPr>
              <w:t>1,600,491</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95"/>
              </w:rPr>
              <w:t>1,422,899</w:t>
            </w:r>
          </w:p>
        </w:tc>
      </w:tr>
      <w:tr>
        <w:trPr>
          <w:trHeight w:val="23"/>
        </w:trPr>
        <w:tc>
          <w:tcPr>
            <w:tcW w:w="5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3"/>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150,913</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116,901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286,753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224,878</w:t>
            </w:r>
          </w:p>
        </w:tc>
      </w:tr>
      <w:tr>
        <w:trPr>
          <w:trHeight w:val="190"/>
        </w:trPr>
        <w:tc>
          <w:tcPr>
            <w:tcW w:w="5000" w:type="dxa"/>
            <w:vAlign w:val="bottom"/>
          </w:tcPr>
          <w:p>
            <w:pPr>
              <w:ind w:left="40"/>
              <w:spacing w:after="0"/>
              <w:rPr>
                <w:sz w:val="20"/>
                <w:szCs w:val="20"/>
                <w:color w:val="auto"/>
              </w:rPr>
            </w:pPr>
            <w:r>
              <w:rPr>
                <w:rFonts w:ascii="Arial" w:cs="Arial" w:eastAsia="Arial" w:hAnsi="Arial"/>
                <w:sz w:val="15"/>
                <w:szCs w:val="15"/>
                <w:color w:val="auto"/>
              </w:rPr>
              <w:t>Other income (expense):</w:t>
            </w:r>
          </w:p>
        </w:tc>
        <w:tc>
          <w:tcPr>
            <w:tcW w:w="9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3"/>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288</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380</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2,009</w:t>
            </w:r>
          </w:p>
        </w:tc>
      </w:tr>
      <w:tr>
        <w:trPr>
          <w:trHeight w:val="199"/>
        </w:trPr>
        <w:tc>
          <w:tcPr>
            <w:tcW w:w="500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(11,269)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(9,534)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(28,936)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(25,058)</w:t>
            </w:r>
          </w:p>
        </w:tc>
      </w:tr>
      <w:tr>
        <w:trPr>
          <w:trHeight w:val="23"/>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Loss from unconsolidated affiliates</w:t>
            </w: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r>
      <w:tr>
        <w:trPr>
          <w:trHeight w:val="199"/>
        </w:trPr>
        <w:tc>
          <w:tcPr>
            <w:tcW w:w="5000" w:type="dxa"/>
            <w:vAlign w:val="bottom"/>
          </w:tcPr>
          <w:p>
            <w:pPr>
              <w:ind w:left="140"/>
              <w:spacing w:after="0"/>
              <w:rPr>
                <w:sz w:val="20"/>
                <w:szCs w:val="20"/>
                <w:color w:val="auto"/>
              </w:rPr>
            </w:pPr>
            <w:r>
              <w:rPr>
                <w:rFonts w:ascii="Arial" w:cs="Arial" w:eastAsia="Arial" w:hAnsi="Arial"/>
                <w:sz w:val="15"/>
                <w:szCs w:val="15"/>
                <w:color w:val="auto"/>
              </w:rPr>
              <w:t>Foreign currency exchange (loss) gain, net</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(2,704)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8,179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(21,459)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21,035</w:t>
            </w:r>
          </w:p>
        </w:tc>
      </w:tr>
      <w:tr>
        <w:trPr>
          <w:trHeight w:val="23"/>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(loss) gains</w:t>
            </w:r>
          </w:p>
        </w:tc>
        <w:tc>
          <w:tcPr>
            <w:tcW w:w="9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35</w:t>
            </w:r>
          </w:p>
        </w:tc>
      </w:tr>
      <w:tr>
        <w:trPr>
          <w:trHeight w:val="190"/>
        </w:trPr>
        <w:tc>
          <w:tcPr>
            <w:tcW w:w="5000" w:type="dxa"/>
            <w:vAlign w:val="bottom"/>
          </w:tcPr>
          <w:p>
            <w:pPr>
              <w:ind w:left="500"/>
              <w:spacing w:after="0"/>
              <w:rPr>
                <w:sz w:val="20"/>
                <w:szCs w:val="20"/>
                <w:color w:val="auto"/>
              </w:rPr>
            </w:pPr>
            <w:r>
              <w:rPr>
                <w:rFonts w:ascii="Arial" w:cs="Arial" w:eastAsia="Arial" w:hAnsi="Arial"/>
                <w:sz w:val="15"/>
                <w:szCs w:val="15"/>
                <w:color w:val="auto"/>
              </w:rPr>
              <w:t>Other expense, net</w:t>
            </w:r>
          </w:p>
        </w:tc>
        <w:tc>
          <w:tcPr>
            <w:tcW w:w="9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(13,719)</w:t>
            </w: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(975)</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(49,486)</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(1,979)</w:t>
            </w:r>
          </w:p>
        </w:tc>
      </w:tr>
      <w:tr>
        <w:trPr>
          <w:trHeight w:val="23"/>
        </w:trPr>
        <w:tc>
          <w:tcPr>
            <w:tcW w:w="5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3"/>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Income before income taxes</w:t>
            </w: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137,194</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115,926</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237,267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222,899</w:t>
            </w:r>
          </w:p>
        </w:tc>
      </w:tr>
      <w:tr>
        <w:trPr>
          <w:trHeight w:val="199"/>
        </w:trPr>
        <w:tc>
          <w:tcPr>
            <w:tcW w:w="5000" w:type="dxa"/>
            <w:vAlign w:val="bottom"/>
          </w:tcPr>
          <w:p>
            <w:pPr>
              <w:ind w:left="40"/>
              <w:spacing w:after="0"/>
              <w:rPr>
                <w:sz w:val="20"/>
                <w:szCs w:val="20"/>
                <w:color w:val="auto"/>
              </w:rPr>
            </w:pPr>
            <w:r>
              <w:rPr>
                <w:rFonts w:ascii="Arial" w:cs="Arial" w:eastAsia="Arial" w:hAnsi="Arial"/>
                <w:sz w:val="15"/>
                <w:szCs w:val="15"/>
                <w:color w:val="auto"/>
              </w:rPr>
              <w:t>Income tax expense</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(34,937)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(15,573)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(65,031)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(43,130)</w:t>
            </w:r>
          </w:p>
        </w:tc>
      </w:tr>
      <w:tr>
        <w:trPr>
          <w:trHeight w:val="23"/>
        </w:trPr>
        <w:tc>
          <w:tcPr>
            <w:tcW w:w="5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3"/>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102,257</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100,353</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172,236</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179,769</w:t>
            </w:r>
          </w:p>
        </w:tc>
      </w:tr>
      <w:tr>
        <w:trPr>
          <w:trHeight w:val="199"/>
        </w:trPr>
        <w:tc>
          <w:tcPr>
            <w:tcW w:w="5000" w:type="dxa"/>
            <w:vAlign w:val="bottom"/>
          </w:tcPr>
          <w:p>
            <w:pPr>
              <w:ind w:left="320"/>
              <w:spacing w:after="0"/>
              <w:rPr>
                <w:sz w:val="20"/>
                <w:szCs w:val="20"/>
                <w:color w:val="auto"/>
              </w:rPr>
            </w:pPr>
            <w:r>
              <w:rPr>
                <w:rFonts w:ascii="Arial" w:cs="Arial" w:eastAsia="Arial" w:hAnsi="Arial"/>
                <w:sz w:val="15"/>
                <w:szCs w:val="15"/>
                <w:color w:val="auto"/>
              </w:rPr>
              <w:t>Net loss (income) attributable to noncontrolling interests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5"/>
                <w:szCs w:val="15"/>
                <w:color w:val="auto"/>
              </w:rPr>
              <w:t>466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5"/>
                <w:szCs w:val="15"/>
                <w:color w:val="auto"/>
              </w:rPr>
              <w:t>623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9</w:t>
            </w:r>
          </w:p>
        </w:tc>
      </w:tr>
      <w:tr>
        <w:trPr>
          <w:trHeight w:val="23"/>
        </w:trPr>
        <w:tc>
          <w:tcPr>
            <w:tcW w:w="5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7"/>
        </w:trPr>
        <w:tc>
          <w:tcPr>
            <w:tcW w:w="5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attributable to Euronet Worldwide, Inc.</w:t>
            </w:r>
          </w:p>
        </w:tc>
        <w:tc>
          <w:tcPr>
            <w:tcW w:w="126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102,723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100,290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172,859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179,778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5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Earnings per share attributable to Euronet Worldwide, Inc. stockholders:</w:t>
            </w: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256"/>
        </w:trPr>
        <w:tc>
          <w:tcPr>
            <w:tcW w:w="50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Basic</w:t>
            </w:r>
          </w:p>
        </w:tc>
        <w:tc>
          <w:tcPr>
            <w:tcW w:w="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2.01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1.91</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3.36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3.43</w:t>
            </w:r>
          </w:p>
        </w:tc>
      </w:tr>
      <w:tr>
        <w:trPr>
          <w:trHeight w:val="195"/>
        </w:trPr>
        <w:tc>
          <w:tcPr>
            <w:tcW w:w="5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126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1.89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1.80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3.17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3.23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57"/>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2"/>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Weighted average shares outstanding:</w:t>
            </w: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256"/>
        </w:trPr>
        <w:tc>
          <w:tcPr>
            <w:tcW w:w="50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Basic</w:t>
            </w:r>
          </w:p>
        </w:tc>
        <w:tc>
          <w:tcPr>
            <w:tcW w:w="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51,182,502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85"/>
              </w:rPr>
              <w:t>52,590,837</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51,436,228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85"/>
              </w:rPr>
              <w:t>52,463,511</w:t>
            </w:r>
          </w:p>
        </w:tc>
      </w:tr>
      <w:tr>
        <w:trPr>
          <w:trHeight w:val="195"/>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54,263,892</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55,784,485</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54,521,262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55,582,583</w:t>
            </w:r>
          </w:p>
        </w:tc>
      </w:tr>
      <w:tr>
        <w:trPr>
          <w:trHeight w:val="20"/>
        </w:trPr>
        <w:tc>
          <w:tcPr>
            <w:tcW w:w="59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5"/>
        </w:trPr>
        <w:tc>
          <w:tcPr>
            <w:tcW w:w="8860" w:type="dxa"/>
            <w:vAlign w:val="bottom"/>
            <w:gridSpan w:val="8"/>
          </w:tcPr>
          <w:p>
            <w:pPr>
              <w:jc w:val="center"/>
              <w:ind w:left="2526"/>
              <w:spacing w:after="0"/>
              <w:rPr>
                <w:sz w:val="20"/>
                <w:szCs w:val="20"/>
                <w:color w:val="auto"/>
              </w:rPr>
            </w:pPr>
            <w:r>
              <w:rPr>
                <w:rFonts w:ascii="Arial" w:cs="Arial" w:eastAsia="Arial" w:hAnsi="Arial"/>
                <w:sz w:val="15"/>
                <w:szCs w:val="15"/>
                <w:color w:val="auto"/>
                <w:w w:val="88"/>
              </w:rPr>
              <w:t>See accompanying notes to the unaudited consolidated financial statements.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77"/>
        </w:trPr>
        <w:tc>
          <w:tcPr>
            <w:tcW w:w="5000" w:type="dxa"/>
            <w:vAlign w:val="bottom"/>
          </w:tcPr>
          <w:p>
            <w:pPr>
              <w:spacing w:after="0"/>
              <w:rPr>
                <w:sz w:val="24"/>
                <w:szCs w:val="24"/>
                <w:color w:val="auto"/>
              </w:rPr>
            </w:pPr>
          </w:p>
        </w:tc>
        <w:tc>
          <w:tcPr>
            <w:tcW w:w="960" w:type="dxa"/>
            <w:vAlign w:val="bottom"/>
          </w:tcPr>
          <w:p>
            <w:pPr>
              <w:jc w:val="right"/>
              <w:ind w:right="106"/>
              <w:spacing w:after="0"/>
              <w:rPr>
                <w:sz w:val="20"/>
                <w:szCs w:val="20"/>
                <w:color w:val="auto"/>
              </w:rPr>
            </w:pPr>
            <w:r>
              <w:rPr>
                <w:rFonts w:ascii="Arial" w:cs="Arial" w:eastAsia="Arial" w:hAnsi="Arial"/>
                <w:sz w:val="15"/>
                <w:szCs w:val="15"/>
                <w:color w:val="auto"/>
              </w:rPr>
              <w:t>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EURONET WORLDWIDE,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60" w:type="dxa"/>
            <w:vAlign w:val="bottom"/>
          </w:tcPr>
          <w:p>
            <w:pPr>
              <w:spacing w:after="0"/>
              <w:rPr>
                <w:sz w:val="12"/>
                <w:szCs w:val="12"/>
                <w:color w:val="auto"/>
              </w:rPr>
            </w:pPr>
          </w:p>
        </w:tc>
      </w:tr>
      <w:tr>
        <w:trPr>
          <w:trHeight w:val="157"/>
        </w:trPr>
        <w:tc>
          <w:tcPr>
            <w:tcW w:w="59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2"/>
                <w:szCs w:val="12"/>
                <w:b w:val="1"/>
                <w:bCs w:val="1"/>
                <w:color w:val="auto"/>
              </w:rPr>
              <w:t>September 30,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Borders>
              <w:bottom w:val="single" w:sz="8" w:color="auto"/>
            </w:tcBorders>
          </w:tcPr>
          <w:p>
            <w:pPr>
              <w:spacing w:after="0"/>
              <w:rPr>
                <w:sz w:val="13"/>
                <w:szCs w:val="13"/>
                <w:color w:val="auto"/>
              </w:rPr>
            </w:pPr>
          </w:p>
        </w:tc>
      </w:tr>
      <w:tr>
        <w:trPr>
          <w:trHeight w:val="213"/>
        </w:trPr>
        <w:tc>
          <w:tcPr>
            <w:tcW w:w="5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w w:val="89"/>
              </w:rPr>
              <w:t>2017</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w w:val="89"/>
              </w:rPr>
              <w:t>2017</w:t>
            </w:r>
          </w:p>
        </w:tc>
      </w:tr>
      <w:tr>
        <w:trPr>
          <w:trHeight w:val="19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102,257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100,353</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172,236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179,769</w:t>
            </w:r>
          </w:p>
        </w:tc>
      </w:tr>
      <w:tr>
        <w:trPr>
          <w:trHeight w:val="199"/>
        </w:trPr>
        <w:tc>
          <w:tcPr>
            <w:tcW w:w="5960" w:type="dxa"/>
            <w:vAlign w:val="bottom"/>
          </w:tcPr>
          <w:p>
            <w:pPr>
              <w:ind w:left="40"/>
              <w:spacing w:after="0"/>
              <w:rPr>
                <w:sz w:val="20"/>
                <w:szCs w:val="20"/>
                <w:color w:val="auto"/>
              </w:rPr>
            </w:pPr>
            <w:r>
              <w:rPr>
                <w:rFonts w:ascii="Arial" w:cs="Arial" w:eastAsia="Arial" w:hAnsi="Arial"/>
                <w:sz w:val="15"/>
                <w:szCs w:val="15"/>
                <w:color w:val="auto"/>
              </w:rPr>
              <w:t>Translation adjustment</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(4,613)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26,703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(40,198)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Arial" w:cs="Arial" w:eastAsia="Arial" w:hAnsi="Arial"/>
                <w:sz w:val="15"/>
                <w:szCs w:val="15"/>
                <w:color w:val="auto"/>
              </w:rPr>
              <w:t>97,311</w:t>
            </w:r>
          </w:p>
        </w:tc>
      </w:tr>
      <w:tr>
        <w:trPr>
          <w:trHeight w:val="23"/>
        </w:trPr>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3"/>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Comprehensive income</w:t>
            </w:r>
          </w:p>
        </w:tc>
        <w:tc>
          <w:tcPr>
            <w:tcW w:w="3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97,644</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127,056</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132,038</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277,080</w:t>
            </w:r>
          </w:p>
        </w:tc>
      </w:tr>
      <w:tr>
        <w:trPr>
          <w:trHeight w:val="199"/>
        </w:trPr>
        <w:tc>
          <w:tcPr>
            <w:tcW w:w="5960" w:type="dxa"/>
            <w:vAlign w:val="bottom"/>
          </w:tcPr>
          <w:p>
            <w:pPr>
              <w:ind w:left="320"/>
              <w:spacing w:after="0"/>
              <w:rPr>
                <w:sz w:val="20"/>
                <w:szCs w:val="20"/>
                <w:color w:val="auto"/>
              </w:rPr>
            </w:pPr>
            <w:r>
              <w:rPr>
                <w:rFonts w:ascii="Arial" w:cs="Arial" w:eastAsia="Arial" w:hAnsi="Arial"/>
                <w:sz w:val="15"/>
                <w:szCs w:val="15"/>
                <w:color w:val="auto"/>
              </w:rPr>
              <w:t>Comprehensive loss (income) attributable to noncontrolling interests</w:t>
            </w:r>
          </w:p>
        </w:tc>
        <w:tc>
          <w:tcPr>
            <w:tcW w:w="320" w:type="dxa"/>
            <w:vAlign w:val="bottom"/>
          </w:tcPr>
          <w:p>
            <w:pPr>
              <w:spacing w:after="0"/>
              <w:rPr>
                <w:sz w:val="17"/>
                <w:szCs w:val="17"/>
                <w:color w:val="auto"/>
              </w:rPr>
            </w:pPr>
          </w:p>
        </w:tc>
        <w:tc>
          <w:tcPr>
            <w:tcW w:w="960" w:type="dxa"/>
            <w:vAlign w:val="bottom"/>
          </w:tcPr>
          <w:p>
            <w:pPr>
              <w:jc w:val="right"/>
              <w:ind w:right="52"/>
              <w:spacing w:after="0"/>
              <w:rPr>
                <w:sz w:val="20"/>
                <w:szCs w:val="20"/>
                <w:color w:val="auto"/>
              </w:rPr>
            </w:pPr>
            <w:r>
              <w:rPr>
                <w:rFonts w:ascii="Arial" w:cs="Arial" w:eastAsia="Arial" w:hAnsi="Arial"/>
                <w:sz w:val="15"/>
                <w:szCs w:val="15"/>
                <w:color w:val="auto"/>
              </w:rPr>
              <w:t>480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(113)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2"/>
              <w:spacing w:after="0"/>
              <w:rPr>
                <w:sz w:val="20"/>
                <w:szCs w:val="20"/>
                <w:color w:val="auto"/>
              </w:rPr>
            </w:pPr>
            <w:r>
              <w:rPr>
                <w:rFonts w:ascii="Arial" w:cs="Arial" w:eastAsia="Arial" w:hAnsi="Arial"/>
                <w:sz w:val="15"/>
                <w:szCs w:val="15"/>
                <w:color w:val="auto"/>
              </w:rPr>
              <w:t>674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(163)</w:t>
            </w:r>
          </w:p>
        </w:tc>
      </w:tr>
      <w:tr>
        <w:trPr>
          <w:trHeight w:val="23"/>
        </w:trPr>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7"/>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Comprehensive income attributable to Euronet Worldwide, Inc.</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98,124</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126,943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rPr>
              <w:t>132,712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276,917</w:t>
            </w: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unaudited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EURONET WORLDWIDE,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 in thousands)</w:t>
      </w:r>
    </w:p>
    <w:p>
      <w:pPr>
        <w:spacing w:after="0" w:line="117" w:lineRule="exact"/>
        <w:rPr>
          <w:sz w:val="20"/>
          <w:szCs w:val="20"/>
          <w:color w:val="auto"/>
        </w:rPr>
      </w:pPr>
    </w:p>
    <w:p>
      <w:pPr>
        <w:jc w:val="center"/>
        <w:ind w:left="8820"/>
        <w:spacing w:after="0"/>
        <w:rPr>
          <w:sz w:val="20"/>
          <w:szCs w:val="20"/>
          <w:color w:val="auto"/>
        </w:rPr>
      </w:pPr>
      <w:r>
        <w:rPr>
          <w:rFonts w:ascii="Arial" w:cs="Arial" w:eastAsia="Arial" w:hAnsi="Arial"/>
          <w:sz w:val="12"/>
          <w:szCs w:val="12"/>
          <w:b w:val="1"/>
          <w:bCs w:val="1"/>
          <w:color w:val="auto"/>
        </w:rPr>
        <w:t>Nine Months Ended</w:t>
      </w:r>
    </w:p>
    <w:p>
      <w:pPr>
        <w:jc w:val="center"/>
        <w:ind w:left="882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7620</wp:posOffset>
            </wp:positionV>
            <wp:extent cx="16630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6985"/>
                    </a:xfrm>
                    <a:prstGeom prst="rect">
                      <a:avLst/>
                    </a:prstGeom>
                    <a:noFill/>
                  </pic:spPr>
                </pic:pic>
              </a:graphicData>
            </a:graphic>
          </wp:anchor>
        </w:drawing>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87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2017</w:t>
            </w:r>
          </w:p>
        </w:tc>
      </w:tr>
      <w:tr>
        <w:trPr>
          <w:trHeight w:val="198"/>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172,236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179,769</w:t>
            </w:r>
          </w:p>
        </w:tc>
      </w:tr>
      <w:tr>
        <w:trPr>
          <w:trHeight w:val="199"/>
        </w:trPr>
        <w:tc>
          <w:tcPr>
            <w:tcW w:w="8780" w:type="dxa"/>
            <w:vAlign w:val="bottom"/>
          </w:tcPr>
          <w:p>
            <w:pPr>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78,726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69,520</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Share-based compensation</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12,597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11,817</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Unrealized foreign exchange loss (gain), net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21,459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(21,035)</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Deferred income taxes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(1,208)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(14,856)</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Loss from unconsolidated affiliates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Accretion of convertible debt discount and amortization of debt issuance costs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10,582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10,068</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Non-cash impairment of acquired intangible assets</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2,286</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Changes in working capital, net of amounts acquired:</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Income taxes payable, net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10,022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10,924</w:t>
            </w:r>
          </w:p>
        </w:tc>
      </w:tr>
      <w:tr>
        <w:trPr>
          <w:trHeight w:val="199"/>
        </w:trPr>
        <w:tc>
          <w:tcPr>
            <w:tcW w:w="8780" w:type="dxa"/>
            <w:vAlign w:val="bottom"/>
          </w:tcPr>
          <w:p>
            <w:pPr>
              <w:ind w:left="300"/>
              <w:spacing w:after="0"/>
              <w:rPr>
                <w:sz w:val="20"/>
                <w:szCs w:val="20"/>
                <w:color w:val="auto"/>
              </w:rPr>
            </w:pPr>
            <w:r>
              <w:rPr>
                <w:rFonts w:ascii="Arial" w:cs="Arial" w:eastAsia="Arial" w:hAnsi="Arial"/>
                <w:sz w:val="15"/>
                <w:szCs w:val="15"/>
                <w:color w:val="auto"/>
              </w:rPr>
              <w:t>Trade accounts receivable</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(87,237)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(7,861)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42,552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77,538</w:t>
            </w:r>
          </w:p>
        </w:tc>
      </w:tr>
      <w:tr>
        <w:trPr>
          <w:trHeight w:val="199"/>
        </w:trPr>
        <w:tc>
          <w:tcPr>
            <w:tcW w:w="8780" w:type="dxa"/>
            <w:vAlign w:val="bottom"/>
          </w:tcPr>
          <w:p>
            <w:pPr>
              <w:ind w:left="300"/>
              <w:spacing w:after="0"/>
              <w:rPr>
                <w:sz w:val="20"/>
                <w:szCs w:val="20"/>
                <w:color w:val="auto"/>
              </w:rPr>
            </w:pPr>
            <w:r>
              <w:rPr>
                <w:rFonts w:ascii="Arial" w:cs="Arial" w:eastAsia="Arial" w:hAnsi="Arial"/>
                <w:sz w:val="15"/>
                <w:szCs w:val="15"/>
                <w:color w:val="auto"/>
              </w:rPr>
              <w:t>Trade accounts payable</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(81,149)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(118,677)</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Deferred revenue</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2,525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(2,497)</w:t>
            </w:r>
          </w:p>
        </w:tc>
      </w:tr>
      <w:tr>
        <w:trPr>
          <w:trHeight w:val="199"/>
        </w:trPr>
        <w:tc>
          <w:tcPr>
            <w:tcW w:w="8780" w:type="dxa"/>
            <w:vAlign w:val="bottom"/>
          </w:tcPr>
          <w:p>
            <w:pPr>
              <w:ind w:left="300"/>
              <w:spacing w:after="0"/>
              <w:rPr>
                <w:sz w:val="20"/>
                <w:szCs w:val="20"/>
                <w:color w:val="auto"/>
              </w:rPr>
            </w:pPr>
            <w:r>
              <w:rPr>
                <w:rFonts w:ascii="Arial" w:cs="Arial" w:eastAsia="Arial" w:hAnsi="Arial"/>
                <w:sz w:val="15"/>
                <w:szCs w:val="15"/>
                <w:color w:val="auto"/>
              </w:rPr>
              <w:t>Accrued expenses and other current liabilities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9,877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54,233</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Changes in noncurrent assets and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1,474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6,455</w:t>
            </w:r>
          </w:p>
        </w:tc>
      </w:tr>
      <w:tr>
        <w:trPr>
          <w:trHeight w:val="190"/>
        </w:trPr>
        <w:tc>
          <w:tcPr>
            <w:tcW w:w="8780" w:type="dxa"/>
            <w:vAlign w:val="bottom"/>
          </w:tcPr>
          <w:p>
            <w:pPr>
              <w:ind w:left="48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192,573</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257,684</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Acquisitions, net of cash acquired</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(12,854)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(82,129)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(70,871)</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Purchases of other long-term assets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(5,787)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(4,651)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1,401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1,499</w:t>
            </w:r>
          </w:p>
        </w:tc>
      </w:tr>
      <w:tr>
        <w:trPr>
          <w:trHeight w:val="190"/>
        </w:trPr>
        <w:tc>
          <w:tcPr>
            <w:tcW w:w="8780" w:type="dxa"/>
            <w:vAlign w:val="bottom"/>
          </w:tcPr>
          <w:p>
            <w:pPr>
              <w:ind w:left="48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(99,369)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(74,023)</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Proceeds from issuance of shares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11,757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8,328</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Repurchase of shares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(177,163)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(2,310)</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Borrowings from revolving credit agreements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4,267,881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1,839,963</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Repayments of revolving credit agreements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(4,003,662)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(1,808,695)</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Repayments of long-term debt obligations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(51,199)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(6,563)</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Repayments of capital lease obligations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(4,739)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(3,473)</w:t>
            </w: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Borrowings from short-term debt obligations, net</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204,211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99,081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284</w:t>
            </w:r>
          </w:p>
        </w:tc>
      </w:tr>
      <w:tr>
        <w:trPr>
          <w:trHeight w:val="190"/>
        </w:trPr>
        <w:tc>
          <w:tcPr>
            <w:tcW w:w="8780" w:type="dxa"/>
            <w:vAlign w:val="bottom"/>
          </w:tcPr>
          <w:p>
            <w:pPr>
              <w:ind w:left="480"/>
              <w:spacing w:after="0"/>
              <w:rPr>
                <w:sz w:val="20"/>
                <w:szCs w:val="20"/>
                <w:color w:val="auto"/>
              </w:rPr>
            </w:pPr>
            <w:r>
              <w:rPr>
                <w:rFonts w:ascii="Arial" w:cs="Arial" w:eastAsia="Arial" w:hAnsi="Arial"/>
                <w:sz w:val="15"/>
                <w:szCs w:val="15"/>
                <w:color w:val="auto"/>
              </w:rPr>
              <w:t>Net cash provided by financing activities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247,087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126,615</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Effect of exchange rate changes on cash and cash equivalents and restricted cash</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(38,084)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53,494</w:t>
            </w:r>
          </w:p>
        </w:tc>
      </w:tr>
      <w:tr>
        <w:trPr>
          <w:trHeight w:val="199"/>
        </w:trPr>
        <w:tc>
          <w:tcPr>
            <w:tcW w:w="8780" w:type="dxa"/>
            <w:vAlign w:val="bottom"/>
          </w:tcPr>
          <w:p>
            <w:pPr>
              <w:ind w:left="480"/>
              <w:spacing w:after="0"/>
              <w:rPr>
                <w:sz w:val="20"/>
                <w:szCs w:val="20"/>
                <w:color w:val="auto"/>
              </w:rPr>
            </w:pPr>
            <w:r>
              <w:rPr>
                <w:rFonts w:ascii="Arial" w:cs="Arial" w:eastAsia="Arial" w:hAnsi="Arial"/>
                <w:sz w:val="15"/>
                <w:szCs w:val="15"/>
                <w:color w:val="auto"/>
              </w:rPr>
              <w:t>Increase in cash and cash equivalents and restricted cash</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302,207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363,770</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and restricted cash at beginning of period</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900,518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812,088</w:t>
            </w:r>
          </w:p>
        </w:tc>
      </w:tr>
      <w:tr>
        <w:trPr>
          <w:trHeight w:val="189"/>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7"/>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and restricted cash at end of period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1,202,725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1,175,858</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8"/>
        </w:trPr>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Supplemental disclosure of cash flow information:</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120"/>
              <w:spacing w:after="0"/>
              <w:rPr>
                <w:sz w:val="20"/>
                <w:szCs w:val="20"/>
                <w:color w:val="auto"/>
              </w:rPr>
            </w:pPr>
            <w:r>
              <w:rPr>
                <w:rFonts w:ascii="Arial" w:cs="Arial" w:eastAsia="Arial" w:hAnsi="Arial"/>
                <w:sz w:val="15"/>
                <w:szCs w:val="15"/>
                <w:color w:val="auto"/>
              </w:rPr>
              <w:t>Interest paid during the period</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19,243</w:t>
            </w:r>
          </w:p>
        </w:tc>
        <w:tc>
          <w:tcPr>
            <w:tcW w:w="1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17,359</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taxes paid during the period</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55,338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34,769</w:t>
            </w:r>
          </w:p>
        </w:tc>
      </w:tr>
      <w:tr>
        <w:trPr>
          <w:trHeight w:val="188"/>
        </w:trPr>
        <w:tc>
          <w:tcPr>
            <w:tcW w:w="8780" w:type="dxa"/>
            <w:vAlign w:val="bottom"/>
          </w:tcPr>
          <w:p>
            <w:pPr>
              <w:ind w:left="3440"/>
              <w:spacing w:after="0"/>
              <w:rPr>
                <w:sz w:val="20"/>
                <w:szCs w:val="20"/>
                <w:color w:val="auto"/>
              </w:rPr>
            </w:pPr>
            <w:r>
              <w:rPr>
                <w:rFonts w:ascii="Arial" w:cs="Arial" w:eastAsia="Arial" w:hAnsi="Arial"/>
                <w:sz w:val="15"/>
                <w:szCs w:val="15"/>
                <w:color w:val="auto"/>
              </w:rPr>
              <w:t>See accompanying notes to the unaudited consolidated financial statements.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44"/>
        </w:trPr>
        <w:tc>
          <w:tcPr>
            <w:tcW w:w="8780" w:type="dxa"/>
            <w:vAlign w:val="bottom"/>
          </w:tcPr>
          <w:p>
            <w:pPr>
              <w:ind w:left="5660"/>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40"/>
          </w:cols>
          <w:pgMar w:left="220" w:top="129" w:right="2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EURONET WORLDWIDE,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UNAUDITED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GENERAL</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Organization</w:t>
      </w:r>
    </w:p>
    <w:p>
      <w:pPr>
        <w:spacing w:after="0" w:line="94" w:lineRule="exact"/>
        <w:rPr>
          <w:sz w:val="20"/>
          <w:szCs w:val="20"/>
          <w:color w:val="auto"/>
        </w:rPr>
      </w:pPr>
    </w:p>
    <w:p>
      <w:pPr>
        <w:ind w:right="460"/>
        <w:spacing w:after="0" w:line="254" w:lineRule="auto"/>
        <w:rPr>
          <w:sz w:val="20"/>
          <w:szCs w:val="20"/>
          <w:color w:val="auto"/>
        </w:rPr>
      </w:pPr>
      <w:r>
        <w:rPr>
          <w:rFonts w:ascii="Arial" w:cs="Arial" w:eastAsia="Arial" w:hAnsi="Arial"/>
          <w:sz w:val="15"/>
          <w:szCs w:val="15"/>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2017, including the notes thereto, set forth in the Company’s 2017 Annual Report on Form 10-K. Certain amounts in prior years have been reclassified to conform to the current year's presentation.</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Use of Estimates</w:t>
      </w:r>
    </w:p>
    <w:p>
      <w:pPr>
        <w:spacing w:after="0" w:line="94"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2018.</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Seasonality</w:t>
      </w:r>
    </w:p>
    <w:p>
      <w:pPr>
        <w:spacing w:after="0" w:line="94"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Euronet’s EFT Processing Segment experiences its heaviest demand for dynamic currency conversion ("DCC") services during the third quarter of the fiscal year, coinciding with the tourism season followed by lower transaction levels during the fourth quarter. Additionally, the epay Segments is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RECENTLY ISSUED AND ADOPTED ACCOUNTING PRONOUNCEMENTS</w:t>
      </w:r>
    </w:p>
    <w:p>
      <w:pPr>
        <w:spacing w:after="0" w:line="187"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(“Topic 606”), and subsequently modified the standard with several ASUs. The Company adopted the standard on January 1, 2018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historic accounting under Topic 605.</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completed its review of customer contracts relative to the requirements of Topic 606 and concluded that revenues from certain customer contracts in the epay Segment should be recorded differently under the principal versus agent guidance of Topic 606. With respect to those contracts, the Company concluded that it earns a commission from content providers for distributing and processing their prepaid mobile airtime and other electronic payment products, but it is not the principal for the products themselves. As a result, the impact of the change in accounting principle was a reduction of $16.4 million and $53.3 million in both revenues and direct operating expenses for the three and nine months ended September 30, 2018, respectively, with no impact on reported net income.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Balances</w:t>
      </w:r>
    </w:p>
    <w:p>
      <w:pPr>
        <w:spacing w:after="0" w:line="1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new standard requires the deferral of incremental costs to obtain customer contracts, known as contract assets, which are then amortized to expense as part of selling, general and administrative expense over the respective periods of expected benefit. The Company completed its review of such costs and concluded that a transition adjustment was not necessary related to contract assets. However, the Company has implemented processes and controls to record such costs on an ongoing basis and will disclose them if they become material.</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Company records deferred revenues when cash payments are received or due in advance of its performance. The increase in the deferred revenue balance for the first nine months of 2018 is primarily driven by $36.0 million of cash payments received in the current year for which we have not yet satisfied the performance obligations, that were offset by $35.0 million of revenues recognized that were included in the deferred revenue balance as of December 31, 2017.</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Variable Consideration</w:t>
      </w:r>
    </w:p>
    <w:p>
      <w:pPr>
        <w:spacing w:after="0" w:line="1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Within the EFT segment, outsourcing services are generally billed on the basis of a fixed fee per ATM, plus a transaction-based fee. Transaction-based fees are recognized at the time the transactions are processed and outsourcing management fees are recognized ratably over the contract period. These fees can be variable based on transaction volume tiered discounts; however, as all tiered discounts are calculated monthly, the actual discount is recorded on a monthly basis. In addition, the epay segment generates commissions from the distribution of electronic content. It is common for these long-term contracts to contain award fees, incentive fees, or other provisions that can either increase or decrease the transaction price. These variable amounts generally are awarded upon achievement of certain performance metrics or program milestones and can be based upon customer discretion.</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Transaction fees, as well as any tiered volume discounts or incentive fees, are calculated and billed monthly in accordance with the terms established in the contract. The Company estimates variable consideration at the most likely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as assessment of Euronet's anticipated performance and all information (historical, current and forecast) that is reasonably available.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Arrangements with Multiple Performance Obligations</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Company's most significant revenues are generated from transaction fees for which there are no remaining performance obligations left to fulfill after revenue is recognized. An insignificant amount of revenues are generated from contracts with customers which may include multiple performance obligations. For such arrangements, Euronet allocates revenues to each performance obligation based on its relative standalone selling price.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Disaggregation of Revenues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Revenues are recognized when control of the promised goods or services is transferred to Euronet's customers, in an amount that reflects the consideration it expects to be entitled to in exchange for goods or services.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12"/>
          </w:tcPr>
          <w:p>
            <w:pPr>
              <w:ind w:left="40"/>
              <w:spacing w:after="0"/>
              <w:rPr>
                <w:sz w:val="20"/>
                <w:szCs w:val="20"/>
                <w:color w:val="auto"/>
              </w:rPr>
            </w:pPr>
            <w:r>
              <w:rPr>
                <w:rFonts w:ascii="Arial" w:cs="Arial" w:eastAsia="Arial" w:hAnsi="Arial"/>
                <w:sz w:val="12"/>
                <w:szCs w:val="12"/>
                <w:b w:val="1"/>
                <w:bCs w:val="1"/>
                <w:color w:val="auto"/>
                <w:w w:val="89"/>
              </w:rPr>
              <w:t>For the Three Months Ended September 30, 2018</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14"/>
          </w:tcPr>
          <w:p>
            <w:pPr>
              <w:jc w:val="right"/>
              <w:ind w:right="246"/>
              <w:spacing w:after="0"/>
              <w:rPr>
                <w:sz w:val="20"/>
                <w:szCs w:val="20"/>
                <w:color w:val="auto"/>
              </w:rPr>
            </w:pPr>
            <w:r>
              <w:rPr>
                <w:rFonts w:ascii="Arial" w:cs="Arial" w:eastAsia="Arial" w:hAnsi="Arial"/>
                <w:sz w:val="12"/>
                <w:szCs w:val="12"/>
                <w:b w:val="1"/>
                <w:bCs w:val="1"/>
                <w:color w:val="auto"/>
                <w:w w:val="91"/>
              </w:rPr>
              <w:t>For the Nine Months Ended September 30, 2018</w:t>
            </w: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3"/>
        </w:trPr>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370"/>
              <w:spacing w:after="0" w:line="123" w:lineRule="exact"/>
              <w:rPr>
                <w:sz w:val="20"/>
                <w:szCs w:val="20"/>
                <w:color w:val="auto"/>
              </w:rPr>
            </w:pPr>
            <w:r>
              <w:rPr>
                <w:rFonts w:ascii="Arial" w:cs="Arial" w:eastAsia="Arial" w:hAnsi="Arial"/>
                <w:sz w:val="12"/>
                <w:szCs w:val="12"/>
                <w:b w:val="1"/>
                <w:bCs w:val="1"/>
                <w:color w:val="auto"/>
              </w:rPr>
              <w:t>EFT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ind w:left="120"/>
              <w:spacing w:after="0" w:line="123" w:lineRule="exact"/>
              <w:rPr>
                <w:sz w:val="20"/>
                <w:szCs w:val="20"/>
                <w:color w:val="auto"/>
              </w:rPr>
            </w:pPr>
            <w:r>
              <w:rPr>
                <w:rFonts w:ascii="Arial" w:cs="Arial" w:eastAsia="Arial" w:hAnsi="Arial"/>
                <w:sz w:val="12"/>
                <w:szCs w:val="12"/>
                <w:b w:val="1"/>
                <w:bCs w:val="1"/>
                <w:color w:val="auto"/>
              </w:rPr>
              <w:t>Money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370"/>
              <w:spacing w:after="0" w:line="123" w:lineRule="exact"/>
              <w:rPr>
                <w:sz w:val="20"/>
                <w:szCs w:val="20"/>
                <w:color w:val="auto"/>
              </w:rPr>
            </w:pPr>
            <w:r>
              <w:rPr>
                <w:rFonts w:ascii="Arial" w:cs="Arial" w:eastAsia="Arial" w:hAnsi="Arial"/>
                <w:sz w:val="12"/>
                <w:szCs w:val="12"/>
                <w:b w:val="1"/>
                <w:bCs w:val="1"/>
                <w:color w:val="auto"/>
              </w:rPr>
              <w:t>EFT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2"/>
                <w:szCs w:val="12"/>
                <w:b w:val="1"/>
                <w:bCs w:val="1"/>
                <w:color w:val="auto"/>
              </w:rPr>
              <w:t>Money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7"/>
        </w:trPr>
        <w:tc>
          <w:tcPr>
            <w:tcW w:w="40" w:type="dxa"/>
            <w:vAlign w:val="bottom"/>
          </w:tcPr>
          <w:p>
            <w:pPr>
              <w:spacing w:after="0"/>
              <w:rPr>
                <w:sz w:val="13"/>
                <w:szCs w:val="13"/>
                <w:color w:val="auto"/>
              </w:rPr>
            </w:pPr>
          </w:p>
        </w:tc>
        <w:tc>
          <w:tcPr>
            <w:tcW w:w="1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 thousands)</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w w:val="89"/>
              </w:rPr>
              <w:t>Processing</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epay</w:t>
            </w:r>
          </w:p>
        </w:tc>
        <w:tc>
          <w:tcPr>
            <w:tcW w:w="12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Transfer</w:t>
            </w:r>
          </w:p>
        </w:tc>
        <w:tc>
          <w:tcPr>
            <w:tcW w:w="12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w w:val="89"/>
              </w:rPr>
              <w:t>Processing</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epay</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w w:val="99"/>
              </w:rPr>
              <w:t>Transfer</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r>
      <w:tr>
        <w:trPr>
          <w:trHeight w:val="198"/>
        </w:trPr>
        <w:tc>
          <w:tcPr>
            <w:tcW w:w="40" w:type="dxa"/>
            <w:vAlign w:val="bottom"/>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North America</w:t>
            </w:r>
          </w:p>
        </w:tc>
        <w:tc>
          <w:tcPr>
            <w:tcW w:w="22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7,613</w:t>
            </w:r>
          </w:p>
        </w:tc>
        <w:tc>
          <w:tcPr>
            <w:tcW w:w="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41,346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147,830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196,789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23,956</w:t>
            </w:r>
          </w:p>
        </w:tc>
        <w:tc>
          <w:tcPr>
            <w:tcW w:w="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124,667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420,568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569,191</w:t>
            </w:r>
          </w:p>
        </w:tc>
        <w:tc>
          <w:tcPr>
            <w:tcW w:w="40" w:type="dxa"/>
            <w:vAlign w:val="bottom"/>
          </w:tcPr>
          <w:p>
            <w:pPr>
              <w:spacing w:after="0"/>
              <w:rPr>
                <w:sz w:val="17"/>
                <w:szCs w:val="17"/>
                <w:color w:val="auto"/>
              </w:rPr>
            </w:pPr>
          </w:p>
        </w:tc>
      </w:tr>
      <w:tr>
        <w:trPr>
          <w:trHeight w:val="199"/>
        </w:trPr>
        <w:tc>
          <w:tcPr>
            <w:tcW w:w="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Europe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5"/>
                <w:szCs w:val="15"/>
                <w:color w:val="auto"/>
              </w:rPr>
              <w:t>226,531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123,386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5"/>
                <w:szCs w:val="15"/>
                <w:color w:val="auto"/>
              </w:rPr>
              <w:t>84,492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434,409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5"/>
                <w:szCs w:val="15"/>
                <w:color w:val="auto"/>
              </w:rPr>
              <w:t>485,030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340,180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0"/>
              <w:spacing w:after="0"/>
              <w:rPr>
                <w:sz w:val="20"/>
                <w:szCs w:val="20"/>
                <w:color w:val="auto"/>
              </w:rPr>
            </w:pPr>
            <w:r>
              <w:rPr>
                <w:rFonts w:ascii="Arial" w:cs="Arial" w:eastAsia="Arial" w:hAnsi="Arial"/>
                <w:sz w:val="15"/>
                <w:szCs w:val="15"/>
                <w:color w:val="auto"/>
              </w:rPr>
              <w:t>240,266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1,065,476</w:t>
            </w:r>
          </w:p>
        </w:tc>
        <w:tc>
          <w:tcPr>
            <w:tcW w:w="40" w:type="dxa"/>
            <w:vAlign w:val="bottom"/>
          </w:tcPr>
          <w:p>
            <w:pPr>
              <w:spacing w:after="0"/>
              <w:rPr>
                <w:sz w:val="17"/>
                <w:szCs w:val="17"/>
                <w:color w:val="auto"/>
              </w:rPr>
            </w:pPr>
          </w:p>
        </w:tc>
      </w:tr>
      <w:tr>
        <w:trPr>
          <w:trHeight w:val="23"/>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Asia Pacific</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27,570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17,505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31,195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76,270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83,310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52,116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95,049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230,475</w:t>
            </w:r>
          </w:p>
        </w:tc>
        <w:tc>
          <w:tcPr>
            <w:tcW w:w="40" w:type="dxa"/>
            <w:vAlign w:val="bottom"/>
          </w:tcPr>
          <w:p>
            <w:pPr>
              <w:spacing w:after="0"/>
              <w:rPr>
                <w:sz w:val="17"/>
                <w:szCs w:val="17"/>
                <w:color w:val="auto"/>
              </w:rPr>
            </w:pPr>
          </w:p>
        </w:tc>
      </w:tr>
      <w:tr>
        <w:trPr>
          <w:trHeight w:val="199"/>
        </w:trPr>
        <w:tc>
          <w:tcPr>
            <w:tcW w:w="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3,194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5"/>
                <w:szCs w:val="15"/>
                <w:color w:val="auto"/>
              </w:rPr>
              <w:t>4,774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7,990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11,776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0"/>
              <w:spacing w:after="0"/>
              <w:rPr>
                <w:sz w:val="20"/>
                <w:szCs w:val="20"/>
                <w:color w:val="auto"/>
              </w:rPr>
            </w:pPr>
            <w:r>
              <w:rPr>
                <w:rFonts w:ascii="Arial" w:cs="Arial" w:eastAsia="Arial" w:hAnsi="Arial"/>
                <w:sz w:val="15"/>
                <w:szCs w:val="15"/>
                <w:color w:val="auto"/>
              </w:rPr>
              <w:t>13,060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24,873</w:t>
            </w:r>
          </w:p>
        </w:tc>
        <w:tc>
          <w:tcPr>
            <w:tcW w:w="40" w:type="dxa"/>
            <w:vAlign w:val="bottom"/>
          </w:tcPr>
          <w:p>
            <w:pPr>
              <w:spacing w:after="0"/>
              <w:rPr>
                <w:sz w:val="17"/>
                <w:szCs w:val="17"/>
                <w:color w:val="auto"/>
              </w:rPr>
            </w:pPr>
          </w:p>
        </w:tc>
      </w:tr>
      <w:tr>
        <w:trPr>
          <w:trHeight w:val="23"/>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1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Eliminations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40" w:type="dxa"/>
            <w:vAlign w:val="bottom"/>
          </w:tcPr>
          <w:p>
            <w:pPr>
              <w:spacing w:after="0"/>
              <w:rPr>
                <w:sz w:val="19"/>
                <w:szCs w:val="19"/>
                <w:color w:val="auto"/>
              </w:rPr>
            </w:pPr>
          </w:p>
        </w:tc>
      </w:tr>
      <w:tr>
        <w:trPr>
          <w:trHeight w:val="207"/>
        </w:trPr>
        <w:tc>
          <w:tcPr>
            <w:tcW w:w="40" w:type="dxa"/>
            <w:vAlign w:val="bottom"/>
          </w:tcPr>
          <w:p>
            <w:pPr>
              <w:spacing w:after="0"/>
              <w:rPr>
                <w:sz w:val="18"/>
                <w:szCs w:val="18"/>
                <w:color w:val="auto"/>
              </w:rPr>
            </w:pPr>
          </w:p>
        </w:tc>
        <w:tc>
          <w:tcPr>
            <w:tcW w:w="1320" w:type="dxa"/>
            <w:vAlign w:val="bottom"/>
          </w:tcPr>
          <w:p>
            <w:pPr>
              <w:ind w:left="12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gridSpan w:val="2"/>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261,736</w:t>
            </w:r>
          </w:p>
        </w:tc>
        <w:tc>
          <w:tcPr>
            <w:tcW w:w="120" w:type="dxa"/>
            <w:vAlign w:val="bottom"/>
            <w:gridSpan w:val="2"/>
          </w:tcPr>
          <w:p>
            <w:pPr>
              <w:spacing w:after="0"/>
              <w:rPr>
                <w:sz w:val="18"/>
                <w:szCs w:val="18"/>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185,431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268,291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714,505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592,333</w:t>
            </w:r>
          </w:p>
        </w:tc>
        <w:tc>
          <w:tcPr>
            <w:tcW w:w="120" w:type="dxa"/>
            <w:vAlign w:val="bottom"/>
            <w:gridSpan w:val="2"/>
          </w:tcPr>
          <w:p>
            <w:pPr>
              <w:spacing w:after="0"/>
              <w:rPr>
                <w:sz w:val="18"/>
                <w:szCs w:val="18"/>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528,739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rPr>
              <w:t>768,943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1,887,244</w:t>
            </w:r>
          </w:p>
        </w:tc>
        <w:tc>
          <w:tcPr>
            <w:tcW w:w="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3"/>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2"/>
          </w:tcPr>
          <w:p>
            <w:pPr>
              <w:spacing w:after="0"/>
              <w:rPr>
                <w:sz w:val="20"/>
                <w:szCs w:val="20"/>
                <w:color w:val="auto"/>
              </w:rPr>
            </w:pPr>
            <w:r>
              <w:rPr>
                <w:rFonts w:ascii="Arial" w:cs="Arial" w:eastAsia="Arial" w:hAnsi="Arial"/>
                <w:sz w:val="12"/>
                <w:szCs w:val="12"/>
                <w:b w:val="1"/>
                <w:bCs w:val="1"/>
                <w:color w:val="auto"/>
                <w:w w:val="97"/>
              </w:rPr>
              <w:t>For the Three Months Ended September 30, 2017</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2"/>
          </w:tcPr>
          <w:p>
            <w:pPr>
              <w:ind w:left="20"/>
              <w:spacing w:after="0"/>
              <w:rPr>
                <w:sz w:val="20"/>
                <w:szCs w:val="20"/>
                <w:color w:val="auto"/>
              </w:rPr>
            </w:pPr>
            <w:r>
              <w:rPr>
                <w:rFonts w:ascii="Arial" w:cs="Arial" w:eastAsia="Arial" w:hAnsi="Arial"/>
                <w:sz w:val="12"/>
                <w:szCs w:val="12"/>
                <w:b w:val="1"/>
                <w:bCs w:val="1"/>
                <w:color w:val="auto"/>
                <w:w w:val="97"/>
              </w:rPr>
              <w:t>For the Nine Months Ended September 30, 2017</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23"/>
        </w:trPr>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90"/>
              <w:spacing w:after="0" w:line="123" w:lineRule="exact"/>
              <w:rPr>
                <w:sz w:val="20"/>
                <w:szCs w:val="20"/>
                <w:color w:val="auto"/>
              </w:rPr>
            </w:pPr>
            <w:r>
              <w:rPr>
                <w:rFonts w:ascii="Arial" w:cs="Arial" w:eastAsia="Arial" w:hAnsi="Arial"/>
                <w:sz w:val="12"/>
                <w:szCs w:val="12"/>
                <w:b w:val="1"/>
                <w:bCs w:val="1"/>
                <w:color w:val="auto"/>
              </w:rPr>
              <w:t>EFT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jc w:val="center"/>
              <w:ind w:right="200"/>
              <w:spacing w:after="0" w:line="123" w:lineRule="exact"/>
              <w:rPr>
                <w:sz w:val="20"/>
                <w:szCs w:val="20"/>
                <w:color w:val="auto"/>
              </w:rPr>
            </w:pPr>
            <w:r>
              <w:rPr>
                <w:rFonts w:ascii="Arial" w:cs="Arial" w:eastAsia="Arial" w:hAnsi="Arial"/>
                <w:sz w:val="12"/>
                <w:szCs w:val="12"/>
                <w:b w:val="1"/>
                <w:bCs w:val="1"/>
                <w:color w:val="auto"/>
                <w:w w:val="89"/>
              </w:rPr>
              <w:t>Money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290"/>
              <w:spacing w:after="0" w:line="123" w:lineRule="exact"/>
              <w:rPr>
                <w:sz w:val="20"/>
                <w:szCs w:val="20"/>
                <w:color w:val="auto"/>
              </w:rPr>
            </w:pPr>
            <w:r>
              <w:rPr>
                <w:rFonts w:ascii="Arial" w:cs="Arial" w:eastAsia="Arial" w:hAnsi="Arial"/>
                <w:sz w:val="12"/>
                <w:szCs w:val="12"/>
                <w:b w:val="1"/>
                <w:bCs w:val="1"/>
                <w:color w:val="auto"/>
              </w:rPr>
              <w:t>EFT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40"/>
              <w:spacing w:after="0" w:line="123" w:lineRule="exact"/>
              <w:rPr>
                <w:sz w:val="20"/>
                <w:szCs w:val="20"/>
                <w:color w:val="auto"/>
              </w:rPr>
            </w:pPr>
            <w:r>
              <w:rPr>
                <w:rFonts w:ascii="Arial" w:cs="Arial" w:eastAsia="Arial" w:hAnsi="Arial"/>
                <w:sz w:val="12"/>
                <w:szCs w:val="12"/>
                <w:b w:val="1"/>
                <w:bCs w:val="1"/>
                <w:color w:val="auto"/>
              </w:rPr>
              <w:t>Money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7"/>
        </w:trPr>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 thousands)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Processing</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epay</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91"/>
              </w:rPr>
              <w:t>Transfer</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Processing</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epay</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Transfer</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rPr>
              <w:t>Total</w:t>
            </w:r>
          </w:p>
        </w:tc>
        <w:tc>
          <w:tcPr>
            <w:tcW w:w="40" w:type="dxa"/>
            <w:vAlign w:val="bottom"/>
            <w:tcBorders>
              <w:bottom w:val="single" w:sz="8" w:color="auto"/>
            </w:tcBorders>
          </w:tcPr>
          <w:p>
            <w:pPr>
              <w:spacing w:after="0"/>
              <w:rPr>
                <w:sz w:val="13"/>
                <w:szCs w:val="13"/>
                <w:color w:val="auto"/>
              </w:rPr>
            </w:pPr>
          </w:p>
        </w:tc>
      </w:tr>
      <w:tr>
        <w:trPr>
          <w:trHeight w:val="198"/>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North America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8,065</w:t>
            </w:r>
          </w:p>
        </w:tc>
        <w:tc>
          <w:tcPr>
            <w:tcW w:w="420" w:type="dxa"/>
            <w:vAlign w:val="bottom"/>
            <w:tcBorders>
              <w:bottom w:val="single" w:sz="8" w:color="CCEEFF"/>
            </w:tcBorders>
            <w:gridSpan w:val="4"/>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15,633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131,615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155,313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23,065</w:t>
            </w:r>
          </w:p>
        </w:tc>
        <w:tc>
          <w:tcPr>
            <w:tcW w:w="420" w:type="dxa"/>
            <w:vAlign w:val="bottom"/>
            <w:tcBorders>
              <w:bottom w:val="single" w:sz="8" w:color="CCEEFF"/>
            </w:tcBorders>
            <w:gridSpan w:val="4"/>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48,440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379,620</w:t>
            </w:r>
          </w:p>
        </w:tc>
        <w:tc>
          <w:tcPr>
            <w:tcW w:w="340" w:type="dxa"/>
            <w:vAlign w:val="bottom"/>
            <w:tcBorders>
              <w:bottom w:val="single" w:sz="8" w:color="CCEEFF"/>
            </w:tcBorders>
            <w:gridSpan w:val="3"/>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451,125</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99"/>
        </w:trPr>
        <w:tc>
          <w:tcPr>
            <w:tcW w:w="1360" w:type="dxa"/>
            <w:vAlign w:val="bottom"/>
            <w:gridSpan w:val="2"/>
          </w:tcPr>
          <w:p>
            <w:pPr>
              <w:ind w:left="20"/>
              <w:spacing w:after="0"/>
              <w:rPr>
                <w:sz w:val="20"/>
                <w:szCs w:val="20"/>
                <w:color w:val="auto"/>
              </w:rPr>
            </w:pPr>
            <w:r>
              <w:rPr>
                <w:rFonts w:ascii="Arial" w:cs="Arial" w:eastAsia="Arial" w:hAnsi="Arial"/>
                <w:sz w:val="15"/>
                <w:szCs w:val="15"/>
                <w:color w:val="auto"/>
              </w:rPr>
              <w:t>Europe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192,147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141,561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69,802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403,510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391,213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382,316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190,080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963,609</w:t>
            </w:r>
          </w:p>
        </w:tc>
        <w:tc>
          <w:tcPr>
            <w:tcW w:w="40" w:type="dxa"/>
            <w:vAlign w:val="bottom"/>
          </w:tcPr>
          <w:p>
            <w:pPr>
              <w:spacing w:after="0"/>
              <w:rPr>
                <w:sz w:val="17"/>
                <w:szCs w:val="17"/>
                <w:color w:val="auto"/>
              </w:rPr>
            </w:pPr>
          </w:p>
        </w:tc>
      </w:tr>
      <w:tr>
        <w:trPr>
          <w:trHeight w:val="23"/>
        </w:trPr>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Asia Pacific</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25,977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22,556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24,101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72,634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73,614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68,291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72,744</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214,649</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99"/>
        </w:trPr>
        <w:tc>
          <w:tcPr>
            <w:tcW w:w="136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13,484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6,761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20,383</w:t>
            </w:r>
          </w:p>
        </w:tc>
        <w:tc>
          <w:tcPr>
            <w:tcW w:w="40" w:type="dxa"/>
            <w:vAlign w:val="bottom"/>
          </w:tcPr>
          <w:p>
            <w:pPr>
              <w:spacing w:after="0"/>
              <w:rPr>
                <w:sz w:val="17"/>
                <w:szCs w:val="17"/>
                <w:color w:val="auto"/>
              </w:rPr>
            </w:pPr>
          </w:p>
        </w:tc>
      </w:tr>
      <w:tr>
        <w:trPr>
          <w:trHeight w:val="23"/>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Eliminations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2"/>
        </w:trPr>
        <w:tc>
          <w:tcPr>
            <w:tcW w:w="40" w:type="dxa"/>
            <w:vAlign w:val="bottom"/>
          </w:tcPr>
          <w:p>
            <w:pPr>
              <w:spacing w:after="0"/>
              <w:rPr>
                <w:sz w:val="17"/>
                <w:szCs w:val="17"/>
                <w:color w:val="auto"/>
              </w:rPr>
            </w:pPr>
          </w:p>
        </w:tc>
        <w:tc>
          <w:tcPr>
            <w:tcW w:w="1320" w:type="dxa"/>
            <w:vAlign w:val="bottom"/>
          </w:tcPr>
          <w:p>
            <w:pPr>
              <w:ind w:left="80"/>
              <w:spacing w:after="0"/>
              <w:rPr>
                <w:sz w:val="20"/>
                <w:szCs w:val="20"/>
                <w:color w:val="auto"/>
              </w:rPr>
            </w:pPr>
            <w:r>
              <w:rPr>
                <w:rFonts w:ascii="Arial" w:cs="Arial" w:eastAsia="Arial" w:hAnsi="Arial"/>
                <w:sz w:val="15"/>
                <w:szCs w:val="15"/>
                <w:color w:val="auto"/>
              </w:rPr>
              <w:t>Total</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226,321</w:t>
            </w:r>
          </w:p>
        </w:tc>
        <w:tc>
          <w:tcPr>
            <w:tcW w:w="100" w:type="dxa"/>
            <w:vAlign w:val="bottom"/>
            <w:tcBorders>
              <w:top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184,234</w:t>
            </w: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228,105</w:t>
            </w: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637,834</w:t>
            </w: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488,030</w:t>
            </w:r>
          </w:p>
        </w:tc>
        <w:tc>
          <w:tcPr>
            <w:tcW w:w="100" w:type="dxa"/>
            <w:vAlign w:val="bottom"/>
            <w:tcBorders>
              <w:top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2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512,531</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649,205</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1,647,777</w:t>
            </w:r>
          </w:p>
        </w:tc>
        <w:tc>
          <w:tcPr>
            <w:tcW w:w="4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6985</wp:posOffset>
            </wp:positionV>
            <wp:extent cx="701040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0400" cy="105410"/>
                    </a:xfrm>
                    <a:prstGeom prst="rect">
                      <a:avLst/>
                    </a:prstGeom>
                    <a:noFill/>
                  </pic:spPr>
                </pic:pic>
              </a:graphicData>
            </a:graphic>
          </wp:anchor>
        </w:drawing>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0"/>
          <w:szCs w:val="10"/>
          <w:color w:val="auto"/>
        </w:rPr>
        <w:t>As noted above, prior period amounts have not been adjusted under the modified retrospective method.</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March 2016, the FASB issued ASU 2016-04, Recognition of Breakage for Certain Prepaid Stored-Value Products. The new standard specifies that liabilities within its scope are considered to be financial liabilities, and amends the guidance in ASC 405-20, Extinguishments of Liabilities,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Topic 606. The Company adopted this ASU as of January 1, 2018 along with Topic 606. The adoption of this standard did not have a significant impact on the Company's consolidated financial statements and related disclosures.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 xml:space="preserve">In August 2016, the FASB issued an accounting standard classified under FASB ASC Topic 230, </w:t>
      </w:r>
      <w:r>
        <w:rPr>
          <w:rFonts w:ascii="Arial" w:cs="Arial" w:eastAsia="Arial" w:hAnsi="Arial"/>
          <w:sz w:val="15"/>
          <w:szCs w:val="15"/>
          <w:i w:val="1"/>
          <w:iCs w:val="1"/>
          <w:color w:val="auto"/>
        </w:rPr>
        <w:t>“Statement of Cash Flows”</w:t>
      </w:r>
      <w:r>
        <w:rPr>
          <w:rFonts w:ascii="Arial" w:cs="Arial" w:eastAsia="Arial" w:hAnsi="Arial"/>
          <w:sz w:val="15"/>
          <w:szCs w:val="15"/>
          <w:color w:val="auto"/>
        </w:rPr>
        <w:t>. This accounting standard provides guidance on eight specific cash flow issues. Subsequently, the FASB issued amendments to this accounting standard that required companies to include restricted cash and restricted cash equivalents with cash and cash equivalents when reconciling the statement of cash flows.</w:t>
      </w:r>
    </w:p>
    <w:p>
      <w:pPr>
        <w:spacing w:after="0" w:line="156" w:lineRule="exact"/>
        <w:rPr>
          <w:sz w:val="20"/>
          <w:szCs w:val="20"/>
          <w:color w:val="auto"/>
        </w:rPr>
      </w:pPr>
    </w:p>
    <w:p>
      <w:pPr>
        <w:ind w:right="60"/>
        <w:spacing w:after="0" w:line="300" w:lineRule="auto"/>
        <w:rPr>
          <w:sz w:val="20"/>
          <w:szCs w:val="20"/>
          <w:color w:val="auto"/>
        </w:rPr>
      </w:pPr>
      <w:r>
        <w:rPr>
          <w:rFonts w:ascii="Arial" w:cs="Arial" w:eastAsia="Arial" w:hAnsi="Arial"/>
          <w:sz w:val="13"/>
          <w:szCs w:val="13"/>
          <w:color w:val="auto"/>
        </w:rPr>
        <w:t>The Company adopted these standards as of January 1, 2018. The adoption of these accounting standards resulted in an increase in net cash provided by operating activities of $27.2 million for the nine months ended September, 2017. As of September 30, 2018, the Company had $73.5 million of restricted cash consisting of restricted cash held in trust and/or cash held on behalf of others and cash collateral on bank credit arrangements. 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31"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color w:val="auto"/>
        </w:rPr>
        <w:t xml:space="preserve">In February 2016, the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will update the existing guidance on accounting for leases and require new qualitative and quantitative disclosures about the Company’s leasing activities. Topic 842 was subsequently amended by ASU No. 2018-01, Land Easement Practical Expedient for Transition to Topic 842; ASU No. 2018-10, Codification Improvements to Topic 842, Leases; and ASU No. 2018-11, Targeted Improvements.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20" w:top="129" w:right="2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new standard is effective for annual periods beginning after December 15, 2018 and interim periods within those annual periods, with early adoption permitted. A modified retrospective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expects to adopt the new standard on January 1, 2019 and use the effective date as the date of initial application. Consequently, financial information will not be updated and the disclosures required under the new standard will not be provided for dates and periods before January 1, 2019.</w:t>
      </w:r>
    </w:p>
    <w:p>
      <w:pPr>
        <w:spacing w:after="0" w:line="71" w:lineRule="exact"/>
        <w:rPr>
          <w:sz w:val="20"/>
          <w:szCs w:val="20"/>
          <w:color w:val="auto"/>
        </w:rPr>
      </w:pPr>
    </w:p>
    <w:p>
      <w:pPr>
        <w:ind w:right="280"/>
        <w:spacing w:after="0" w:line="257" w:lineRule="auto"/>
        <w:rPr>
          <w:sz w:val="20"/>
          <w:szCs w:val="20"/>
          <w:color w:val="auto"/>
        </w:rPr>
      </w:pPr>
      <w:r>
        <w:rPr>
          <w:rFonts w:ascii="Arial" w:cs="Arial" w:eastAsia="Arial" w:hAnsi="Arial"/>
          <w:sz w:val="15"/>
          <w:szCs w:val="15"/>
          <w:color w:val="auto"/>
        </w:rPr>
        <w:t>The new standard provides a number of optional practical expedients in transition. The Company expects to elect the "package of practical expedients", which permits the Company not to reassess under the new standard our prior conclusions about lease identification, lease classification and initial direct costs. The Company does not expect to elect the use-of-hindsight or the practical expedient pertaining to land easements; the latter not being applicable to it.</w:t>
      </w:r>
    </w:p>
    <w:p>
      <w:pPr>
        <w:spacing w:after="0" w:line="67"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The Company currently anticipates this standard will have a material impact on its consolidated balance sheets but will not have a material impact on its consolidated income statements. The Company currently expects the most significant impact will be the recognition of right-of-use assets and lease liabilities for operating leases. The Company currently expects its accounting for capital leases to remain substantially unchanged. The Company is continuing to assess the potential impacts of the standard.</w:t>
      </w:r>
    </w:p>
    <w:p>
      <w:pPr>
        <w:spacing w:after="0" w:line="67"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w:t>
      </w:r>
      <w:r>
        <w:rPr>
          <w:rFonts w:ascii="Arial" w:cs="Arial" w:eastAsia="Arial" w:hAnsi="Arial"/>
          <w:sz w:val="14"/>
          <w:szCs w:val="14"/>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is currently in the process of evaluating the effect of the adoption of ASU 2016-13 on its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STOCKHOLDERS' EQUITY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Earnings Per Share</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4"/>
          <w:szCs w:val="14"/>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1880" w:type="dxa"/>
            <w:vAlign w:val="bottom"/>
            <w:gridSpan w:val="3"/>
          </w:tcPr>
          <w:p>
            <w:pPr>
              <w:jc w:val="center"/>
              <w:ind w:left="732"/>
              <w:spacing w:after="0"/>
              <w:rPr>
                <w:sz w:val="20"/>
                <w:szCs w:val="20"/>
                <w:color w:val="auto"/>
              </w:rPr>
            </w:pPr>
            <w:r>
              <w:rPr>
                <w:rFonts w:ascii="Arial" w:cs="Arial" w:eastAsia="Arial" w:hAnsi="Arial"/>
                <w:sz w:val="12"/>
                <w:szCs w:val="12"/>
                <w:b w:val="1"/>
                <w:bCs w:val="1"/>
                <w:color w:val="auto"/>
                <w:w w:val="90"/>
              </w:rPr>
              <w:t>Three Months Ended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3"/>
          </w:tcPr>
          <w:p>
            <w:pPr>
              <w:jc w:val="center"/>
              <w:ind w:left="732"/>
              <w:spacing w:after="0"/>
              <w:rPr>
                <w:sz w:val="20"/>
                <w:szCs w:val="20"/>
                <w:color w:val="auto"/>
              </w:rPr>
            </w:pPr>
            <w:r>
              <w:rPr>
                <w:rFonts w:ascii="Arial" w:cs="Arial" w:eastAsia="Arial" w:hAnsi="Arial"/>
                <w:sz w:val="12"/>
                <w:szCs w:val="12"/>
                <w:b w:val="1"/>
                <w:bCs w:val="1"/>
                <w:color w:val="auto"/>
                <w:w w:val="89"/>
              </w:rPr>
              <w:t>Nine Months Ended</w:t>
            </w:r>
          </w:p>
        </w:tc>
        <w:tc>
          <w:tcPr>
            <w:tcW w:w="780" w:type="dxa"/>
            <w:vAlign w:val="bottom"/>
          </w:tcPr>
          <w:p>
            <w:pPr>
              <w:spacing w:after="0"/>
              <w:rPr>
                <w:sz w:val="12"/>
                <w:szCs w:val="12"/>
                <w:color w:val="auto"/>
              </w:rPr>
            </w:pPr>
          </w:p>
        </w:tc>
      </w:tr>
      <w:tr>
        <w:trPr>
          <w:trHeight w:val="157"/>
        </w:trPr>
        <w:tc>
          <w:tcPr>
            <w:tcW w:w="5960" w:type="dxa"/>
            <w:vAlign w:val="bottom"/>
          </w:tcPr>
          <w:p>
            <w:pPr>
              <w:spacing w:after="0"/>
              <w:rPr>
                <w:sz w:val="13"/>
                <w:szCs w:val="13"/>
                <w:color w:val="auto"/>
              </w:rPr>
            </w:pPr>
          </w:p>
        </w:tc>
        <w:tc>
          <w:tcPr>
            <w:tcW w:w="188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2"/>
                <w:szCs w:val="12"/>
                <w:b w:val="1"/>
                <w:bCs w:val="1"/>
                <w:color w:val="auto"/>
                <w:w w:val="87"/>
              </w:rPr>
              <w:t>September 30,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2"/>
                <w:szCs w:val="12"/>
                <w:b w:val="1"/>
                <w:bCs w:val="1"/>
                <w:color w:val="auto"/>
                <w:w w:val="87"/>
              </w:rPr>
              <w:t>September 30,</w:t>
            </w:r>
          </w:p>
        </w:tc>
        <w:tc>
          <w:tcPr>
            <w:tcW w:w="780" w:type="dxa"/>
            <w:vAlign w:val="bottom"/>
            <w:tcBorders>
              <w:bottom w:val="single" w:sz="8" w:color="auto"/>
            </w:tcBorders>
          </w:tcPr>
          <w:p>
            <w:pPr>
              <w:spacing w:after="0"/>
              <w:rPr>
                <w:sz w:val="13"/>
                <w:szCs w:val="13"/>
                <w:color w:val="auto"/>
              </w:rPr>
            </w:pPr>
          </w:p>
        </w:tc>
      </w:tr>
      <w:tr>
        <w:trPr>
          <w:trHeight w:val="213"/>
        </w:trPr>
        <w:tc>
          <w:tcPr>
            <w:tcW w:w="59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w w:val="97"/>
              </w:rPr>
              <w:t>2017</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w w:val="97"/>
              </w:rPr>
              <w:t>2017</w:t>
            </w:r>
          </w:p>
        </w:tc>
      </w:tr>
      <w:tr>
        <w:trPr>
          <w:trHeight w:val="19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Computation of diluted weighted average shares outstanding:</w:t>
            </w: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9"/>
        </w:trPr>
        <w:tc>
          <w:tcPr>
            <w:tcW w:w="5960" w:type="dxa"/>
            <w:vAlign w:val="bottom"/>
          </w:tcPr>
          <w:p>
            <w:pPr>
              <w:ind w:left="140"/>
              <w:spacing w:after="0"/>
              <w:rPr>
                <w:sz w:val="20"/>
                <w:szCs w:val="20"/>
                <w:color w:val="auto"/>
              </w:rPr>
            </w:pPr>
            <w:r>
              <w:rPr>
                <w:rFonts w:ascii="Arial" w:cs="Arial" w:eastAsia="Arial" w:hAnsi="Arial"/>
                <w:sz w:val="15"/>
                <w:szCs w:val="15"/>
                <w:color w:val="auto"/>
              </w:rPr>
              <w:t>Basic weighted average shares outstanding</w:t>
            </w:r>
          </w:p>
        </w:tc>
        <w:tc>
          <w:tcPr>
            <w:tcW w:w="1280" w:type="dxa"/>
            <w:vAlign w:val="bottom"/>
          </w:tcPr>
          <w:p>
            <w:pPr>
              <w:jc w:val="right"/>
              <w:ind w:right="52"/>
              <w:spacing w:after="0"/>
              <w:rPr>
                <w:sz w:val="20"/>
                <w:szCs w:val="20"/>
                <w:color w:val="auto"/>
              </w:rPr>
            </w:pPr>
            <w:r>
              <w:rPr>
                <w:rFonts w:ascii="Arial" w:cs="Arial" w:eastAsia="Arial" w:hAnsi="Arial"/>
                <w:sz w:val="15"/>
                <w:szCs w:val="15"/>
                <w:color w:val="auto"/>
              </w:rPr>
              <w:t>51,182,502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w w:val="85"/>
              </w:rPr>
              <w:t>52,590,837</w:t>
            </w:r>
          </w:p>
        </w:tc>
        <w:tc>
          <w:tcPr>
            <w:tcW w:w="220" w:type="dxa"/>
            <w:vAlign w:val="bottom"/>
          </w:tcPr>
          <w:p>
            <w:pPr>
              <w:spacing w:after="0"/>
              <w:rPr>
                <w:sz w:val="17"/>
                <w:szCs w:val="17"/>
                <w:color w:val="auto"/>
              </w:rPr>
            </w:pPr>
          </w:p>
        </w:tc>
        <w:tc>
          <w:tcPr>
            <w:tcW w:w="1260" w:type="dxa"/>
            <w:vAlign w:val="bottom"/>
          </w:tcPr>
          <w:p>
            <w:pPr>
              <w:jc w:val="right"/>
              <w:ind w:right="52"/>
              <w:spacing w:after="0"/>
              <w:rPr>
                <w:sz w:val="20"/>
                <w:szCs w:val="20"/>
                <w:color w:val="auto"/>
              </w:rPr>
            </w:pPr>
            <w:r>
              <w:rPr>
                <w:rFonts w:ascii="Arial" w:cs="Arial" w:eastAsia="Arial" w:hAnsi="Arial"/>
                <w:sz w:val="15"/>
                <w:szCs w:val="15"/>
                <w:color w:val="auto"/>
              </w:rPr>
              <w:t>51,436,228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w w:val="85"/>
              </w:rPr>
              <w:t>52,463,511</w:t>
            </w:r>
          </w:p>
        </w:tc>
      </w:tr>
      <w:tr>
        <w:trPr>
          <w:trHeight w:val="23"/>
        </w:trPr>
        <w:tc>
          <w:tcPr>
            <w:tcW w:w="5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2"/>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7"/>
              </w:rPr>
              <w:t>Incremental shares from assumed exercise of stock options and vesting of restricted stock</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1,521,560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95"/>
              </w:rPr>
              <w:t>1,863,883</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1,525,204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95"/>
              </w:rPr>
              <w:t>1,789,307</w:t>
            </w:r>
          </w:p>
        </w:tc>
      </w:tr>
      <w:tr>
        <w:trPr>
          <w:trHeight w:val="199"/>
        </w:trPr>
        <w:tc>
          <w:tcPr>
            <w:tcW w:w="5960" w:type="dxa"/>
            <w:vAlign w:val="bottom"/>
          </w:tcPr>
          <w:p>
            <w:pPr>
              <w:ind w:left="140"/>
              <w:spacing w:after="0"/>
              <w:rPr>
                <w:sz w:val="20"/>
                <w:szCs w:val="20"/>
                <w:color w:val="auto"/>
              </w:rPr>
            </w:pPr>
            <w:r>
              <w:rPr>
                <w:rFonts w:ascii="Arial" w:cs="Arial" w:eastAsia="Arial" w:hAnsi="Arial"/>
                <w:sz w:val="15"/>
                <w:szCs w:val="15"/>
                <w:color w:val="auto"/>
              </w:rPr>
              <w:t>Incremental shares from assumed conversion of convertible notes</w:t>
            </w:r>
          </w:p>
        </w:tc>
        <w:tc>
          <w:tcPr>
            <w:tcW w:w="1280" w:type="dxa"/>
            <w:vAlign w:val="bottom"/>
          </w:tcPr>
          <w:p>
            <w:pPr>
              <w:jc w:val="right"/>
              <w:ind w:right="52"/>
              <w:spacing w:after="0"/>
              <w:rPr>
                <w:sz w:val="20"/>
                <w:szCs w:val="20"/>
                <w:color w:val="auto"/>
              </w:rPr>
            </w:pPr>
            <w:r>
              <w:rPr>
                <w:rFonts w:ascii="Arial" w:cs="Arial" w:eastAsia="Arial" w:hAnsi="Arial"/>
                <w:sz w:val="15"/>
                <w:szCs w:val="15"/>
                <w:color w:val="auto"/>
              </w:rPr>
              <w:t>1,559,830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w w:val="95"/>
              </w:rPr>
              <w:t>1,329,765</w:t>
            </w:r>
          </w:p>
        </w:tc>
        <w:tc>
          <w:tcPr>
            <w:tcW w:w="220" w:type="dxa"/>
            <w:vAlign w:val="bottom"/>
          </w:tcPr>
          <w:p>
            <w:pPr>
              <w:spacing w:after="0"/>
              <w:rPr>
                <w:sz w:val="17"/>
                <w:szCs w:val="17"/>
                <w:color w:val="auto"/>
              </w:rPr>
            </w:pPr>
          </w:p>
        </w:tc>
        <w:tc>
          <w:tcPr>
            <w:tcW w:w="1260" w:type="dxa"/>
            <w:vAlign w:val="bottom"/>
          </w:tcPr>
          <w:p>
            <w:pPr>
              <w:jc w:val="right"/>
              <w:ind w:right="52"/>
              <w:spacing w:after="0"/>
              <w:rPr>
                <w:sz w:val="20"/>
                <w:szCs w:val="20"/>
                <w:color w:val="auto"/>
              </w:rPr>
            </w:pPr>
            <w:r>
              <w:rPr>
                <w:rFonts w:ascii="Arial" w:cs="Arial" w:eastAsia="Arial" w:hAnsi="Arial"/>
                <w:sz w:val="15"/>
                <w:szCs w:val="15"/>
                <w:color w:val="auto"/>
              </w:rPr>
              <w:t>1,559,830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w w:val="95"/>
              </w:rPr>
              <w:t>1,329,765</w:t>
            </w:r>
          </w:p>
        </w:tc>
      </w:tr>
      <w:tr>
        <w:trPr>
          <w:trHeight w:val="23"/>
        </w:trPr>
        <w:tc>
          <w:tcPr>
            <w:tcW w:w="5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7"/>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Diluted weighted average shares outstanding</w:t>
            </w: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54,263,892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55,784,485</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54,521,262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55,582,583</w:t>
            </w:r>
          </w:p>
        </w:tc>
      </w:tr>
      <w:tr>
        <w:trPr>
          <w:trHeight w:val="20"/>
        </w:trPr>
        <w:tc>
          <w:tcPr>
            <w:tcW w:w="5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The table includes the impact of all stock options and restricted stock that are dilutive to the Company’s weighted average common shares outstanding during the three and nine months ended September 30, 2018 and 2017. The calculation of diluted earnings per share excludes stock options or shares of restricted stock that are anti-dilutive to the Company’s weighted average common shares outstanding of approximately 436,000 and 792,000 for the three and nine months ended September 30, 2018, respectively, and approximately 458,000 and 884,000 for the three and nine months ended September 30, 2017, respectively.</w:t>
      </w:r>
    </w:p>
    <w:p>
      <w:pPr>
        <w:spacing w:after="0" w:line="69" w:lineRule="exact"/>
        <w:rPr>
          <w:sz w:val="20"/>
          <w:szCs w:val="20"/>
          <w:color w:val="auto"/>
        </w:rPr>
      </w:pPr>
    </w:p>
    <w:p>
      <w:pPr>
        <w:ind w:right="120"/>
        <w:spacing w:after="0" w:line="274" w:lineRule="auto"/>
        <w:rPr>
          <w:sz w:val="20"/>
          <w:szCs w:val="20"/>
          <w:color w:val="auto"/>
        </w:rPr>
      </w:pPr>
      <w:r>
        <w:rPr>
          <w:rFonts w:ascii="Arial" w:cs="Arial" w:eastAsia="Arial" w:hAnsi="Arial"/>
          <w:sz w:val="14"/>
          <w:szCs w:val="14"/>
          <w:color w:val="auto"/>
        </w:rPr>
        <w:t>The Company's convertible notes have settlement features requiring the Company upon conversion to settle the principal amount of the debt and the conversion value in excess of the principal value ("conversion premium") for cash or shares of the Company's common stock or a combination thereof, at the Company's option. At issuance, the Company stated its 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$72.18 per share and the dilutive effect increases the more the market price exceeds the conversion price.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60"/>
          </w:cols>
          <w:pgMar w:left="220" w:top="129"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right="340"/>
        <w:spacing w:after="0" w:line="304" w:lineRule="auto"/>
        <w:rPr>
          <w:sz w:val="20"/>
          <w:szCs w:val="20"/>
          <w:color w:val="auto"/>
        </w:rPr>
      </w:pPr>
      <w:r>
        <w:rPr>
          <w:rFonts w:ascii="Arial" w:cs="Arial" w:eastAsia="Arial" w:hAnsi="Arial"/>
          <w:sz w:val="14"/>
          <w:szCs w:val="14"/>
          <w:color w:val="auto"/>
        </w:rPr>
        <w:t>As of September 30, 2018 and 2017, the stock price exceeded the conversion price and these notes were dilutive to earnings per share. Further, as a result of the share price increasing from $94.79 at September 30, 2017 to $100.22 at September 30, 2018, there was an increase in shares from the assumed conversion of convertible notes.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repurchases</w:t>
      </w:r>
    </w:p>
    <w:p>
      <w:pPr>
        <w:spacing w:after="0" w:line="94" w:lineRule="exact"/>
        <w:rPr>
          <w:sz w:val="20"/>
          <w:szCs w:val="20"/>
          <w:color w:val="auto"/>
        </w:rPr>
      </w:pPr>
    </w:p>
    <w:p>
      <w:pPr>
        <w:ind w:right="60"/>
        <w:spacing w:after="0" w:line="315" w:lineRule="auto"/>
        <w:rPr>
          <w:sz w:val="20"/>
          <w:szCs w:val="20"/>
          <w:color w:val="auto"/>
        </w:rPr>
      </w:pPr>
      <w:r>
        <w:rPr>
          <w:rFonts w:ascii="Arial" w:cs="Arial" w:eastAsia="Arial" w:hAnsi="Arial"/>
          <w:sz w:val="13"/>
          <w:szCs w:val="13"/>
          <w:color w:val="auto"/>
        </w:rPr>
        <w:t>The Company's Board of Directors has authorized a stock repurchase program ("Repurchase Program") allowing Euronet to repurchase up to $375 million in value or 10.0 million shares of stock through March 31, 2020. Repurchases under the Repurchase Program may take place in the open market or in privately negotiated transactions, including derivative transactions, and may be made under a Rule 10b5-1 plan. For the first nine months of 2018, the Company repurchased $175.0 million, in value of Euronet common stock under the Repurchase Program.</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Accumulated Other Comprehensive Loss</w:t>
      </w:r>
    </w:p>
    <w:p>
      <w:pPr>
        <w:spacing w:after="0" w:line="72"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Accumulated other comprehensive loss consists entirely of foreign currency translation adjustments. The Company recorded foreign currency translation losses of $4.6 million and $40.2 million for the three and nine months ended September 30, 2018, respectively, and gains of $26.7 million and $97.3 million for the three and nine months ended September 30, 2017, respectively. There were no reclassifications of foreign currency translation into the consolidated statements of income for the three and nine months ended September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GOODWILL AND ACQUIRED INTANGIBLE ASSETS, NET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 summary of acquired intangible assets and goodwill activity for the nine months ended September 30, 2018 is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Acquired</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2"/>
              <w:spacing w:after="0"/>
              <w:rPr>
                <w:sz w:val="20"/>
                <w:szCs w:val="20"/>
                <w:color w:val="auto"/>
              </w:rPr>
            </w:pPr>
            <w:r>
              <w:rPr>
                <w:rFonts w:ascii="Arial" w:cs="Arial" w:eastAsia="Arial" w:hAnsi="Arial"/>
                <w:sz w:val="12"/>
                <w:szCs w:val="12"/>
                <w:b w:val="1"/>
                <w:bCs w:val="1"/>
                <w:color w:val="auto"/>
                <w:w w:val="90"/>
              </w:rPr>
              <w:t>Total</w:t>
            </w:r>
          </w:p>
        </w:tc>
      </w:tr>
      <w:tr>
        <w:trPr>
          <w:trHeight w:val="122"/>
        </w:trPr>
        <w:tc>
          <w:tcPr>
            <w:tcW w:w="7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w w:val="91"/>
              </w:rPr>
              <w:t>Intangible</w:t>
            </w: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72"/>
              <w:spacing w:after="0" w:line="122" w:lineRule="exact"/>
              <w:rPr>
                <w:sz w:val="20"/>
                <w:szCs w:val="20"/>
                <w:color w:val="auto"/>
              </w:rPr>
            </w:pPr>
            <w:r>
              <w:rPr>
                <w:rFonts w:ascii="Arial" w:cs="Arial" w:eastAsia="Arial" w:hAnsi="Arial"/>
                <w:sz w:val="12"/>
                <w:szCs w:val="12"/>
                <w:b w:val="1"/>
                <w:bCs w:val="1"/>
                <w:color w:val="auto"/>
                <w:w w:val="91"/>
              </w:rPr>
              <w:t>Intangible</w:t>
            </w:r>
          </w:p>
        </w:tc>
      </w:tr>
      <w:tr>
        <w:trPr>
          <w:trHeight w:val="157"/>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w w:val="81"/>
              </w:rPr>
              <w:t>Assets</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Goodwill</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w w:val="81"/>
              </w:rPr>
              <w:t>Assets</w:t>
            </w:r>
          </w:p>
        </w:tc>
      </w:tr>
      <w:tr>
        <w:trPr>
          <w:trHeight w:val="198"/>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Balance as of December 31, 2017</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150,543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717,386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867,929</w:t>
            </w:r>
          </w:p>
        </w:tc>
      </w:tr>
      <w:tr>
        <w:trPr>
          <w:trHeight w:val="199"/>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Increases (decreases):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2"/>
        </w:trPr>
        <w:tc>
          <w:tcPr>
            <w:tcW w:w="7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Acquisitions</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20,742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20,742</w:t>
            </w:r>
          </w:p>
        </w:tc>
      </w:tr>
      <w:tr>
        <w:trPr>
          <w:trHeight w:val="199"/>
        </w:trPr>
        <w:tc>
          <w:tcPr>
            <w:tcW w:w="7440" w:type="dxa"/>
            <w:vAlign w:val="bottom"/>
            <w:gridSpan w:val="2"/>
          </w:tcPr>
          <w:p>
            <w:pPr>
              <w:ind w:left="140"/>
              <w:spacing w:after="0"/>
              <w:rPr>
                <w:sz w:val="20"/>
                <w:szCs w:val="20"/>
                <w:color w:val="auto"/>
              </w:rPr>
            </w:pPr>
            <w:r>
              <w:rPr>
                <w:rFonts w:ascii="Arial" w:cs="Arial" w:eastAsia="Arial" w:hAnsi="Arial"/>
                <w:sz w:val="15"/>
                <w:szCs w:val="15"/>
                <w:color w:val="auto"/>
              </w:rPr>
              <w:t>Amortization</w:t>
            </w:r>
          </w:p>
        </w:tc>
        <w:tc>
          <w:tcPr>
            <w:tcW w:w="24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Arial" w:cs="Arial" w:eastAsia="Arial" w:hAnsi="Arial"/>
                <w:sz w:val="15"/>
                <w:szCs w:val="15"/>
                <w:color w:val="auto"/>
              </w:rPr>
              <w:t>(17,179)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(17,179)</w:t>
            </w:r>
          </w:p>
        </w:tc>
      </w:tr>
      <w:tr>
        <w:trPr>
          <w:trHeight w:val="23"/>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7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(primarily changes in foreign currency exchange rates)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(4,778)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(27,161)</w:t>
            </w:r>
          </w:p>
        </w:tc>
      </w:tr>
      <w:tr>
        <w:trPr>
          <w:trHeight w:val="207"/>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Balance as of September 30, 2018</w:t>
            </w: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5"/>
                <w:szCs w:val="15"/>
                <w:color w:val="auto"/>
              </w:rPr>
              <w:t>128,586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715,745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5"/>
                <w:szCs w:val="15"/>
                <w:color w:val="auto"/>
              </w:rPr>
              <w:t>844,331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Estimated amortization expense on intangible assets with finite lives, before income taxes, as of September 30, 2018, is expected to total $5.4 million for the remainder of 2018, $21.2 million for 2019, $20.4 million for 2020, $19.5 million for 2021, $18.5 million for 2022 and $13.7 million for 2023.</w:t>
      </w:r>
    </w:p>
    <w:p>
      <w:pPr>
        <w:spacing w:after="0" w:line="59"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The Company completed the acquisitions of two small European businesses for an immaterial amount of cash consideration, completing one acquisition in the first quarter of 2018 and completing the other acquisition in the second quarter of 2018. The acquisitions have been accounted for as business combinations in accordance with U.S. GAAP and the results of operations have been included from the respective dates of acquisition in the EFT Processing Segment.</w:t>
      </w:r>
    </w:p>
    <w:p>
      <w:pPr>
        <w:spacing w:after="0" w:line="67" w:lineRule="exact"/>
        <w:rPr>
          <w:sz w:val="20"/>
          <w:szCs w:val="20"/>
          <w:color w:val="auto"/>
        </w:rPr>
      </w:pPr>
    </w:p>
    <w:p>
      <w:pPr>
        <w:ind w:right="640"/>
        <w:spacing w:after="0" w:line="268" w:lineRule="auto"/>
        <w:rPr>
          <w:sz w:val="20"/>
          <w:szCs w:val="20"/>
          <w:color w:val="auto"/>
        </w:rPr>
      </w:pPr>
      <w:r>
        <w:rPr>
          <w:rFonts w:ascii="Arial" w:cs="Arial" w:eastAsia="Arial" w:hAnsi="Arial"/>
          <w:sz w:val="15"/>
          <w:szCs w:val="15"/>
          <w:color w:val="auto"/>
        </w:rPr>
        <w:t>The Company’s annual goodwill impairment test is performed during the fourth quarter of its fiscal year. The annual impairment test for the year ended December 31, 2017 resulted in impairment charges of $31.8 million.</w:t>
      </w:r>
    </w:p>
    <w:p>
      <w:pPr>
        <w:spacing w:after="0" w:line="59"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2017 annual impairment test could change, which may result in the Company recording material non-cash impairment charges during the year in which these changes take place.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ACCRUED EXPENSES AND OTHER CURRENT LIABILITIES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and other current liabilities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6"/>
              </w:rPr>
              <w:t>As of</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8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September 30, 2018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w w:val="88"/>
              </w:rPr>
              <w:t>December 31, 2017</w:t>
            </w:r>
          </w:p>
        </w:tc>
        <w:tc>
          <w:tcPr>
            <w:tcW w:w="0" w:type="dxa"/>
            <w:vAlign w:val="bottom"/>
          </w:tcPr>
          <w:p>
            <w:pPr>
              <w:spacing w:after="0"/>
              <w:rPr>
                <w:sz w:val="1"/>
                <w:szCs w:val="1"/>
                <w:color w:val="auto"/>
              </w:rPr>
            </w:pPr>
          </w:p>
        </w:tc>
      </w:tr>
      <w:tr>
        <w:trPr>
          <w:trHeight w:val="198"/>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305,969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301,390</w:t>
            </w:r>
          </w:p>
        </w:tc>
        <w:tc>
          <w:tcPr>
            <w:tcW w:w="0" w:type="dxa"/>
            <w:vAlign w:val="bottom"/>
          </w:tcPr>
          <w:p>
            <w:pPr>
              <w:spacing w:after="0"/>
              <w:rPr>
                <w:sz w:val="1"/>
                <w:szCs w:val="1"/>
                <w:color w:val="auto"/>
              </w:rPr>
            </w:pP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Money transfer settlement obligations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341,073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343,613</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Accrued amounts due to mobile operators and other content providers</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79,155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92,291</w:t>
            </w:r>
          </w:p>
        </w:tc>
        <w:tc>
          <w:tcPr>
            <w:tcW w:w="0" w:type="dxa"/>
            <w:vAlign w:val="bottom"/>
          </w:tcPr>
          <w:p>
            <w:pPr>
              <w:spacing w:after="0"/>
              <w:rPr>
                <w:sz w:val="1"/>
                <w:szCs w:val="1"/>
                <w:color w:val="auto"/>
              </w:rPr>
            </w:pP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Derivative liabilities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25,829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22,495</w:t>
            </w:r>
          </w:p>
        </w:tc>
        <w:tc>
          <w:tcPr>
            <w:tcW w:w="0" w:type="dxa"/>
            <w:vAlign w:val="bottom"/>
          </w:tcPr>
          <w:p>
            <w:pPr>
              <w:spacing w:after="0"/>
              <w:rPr>
                <w:sz w:val="1"/>
                <w:szCs w:val="1"/>
                <w:color w:val="auto"/>
              </w:rPr>
            </w:pPr>
          </w:p>
        </w:tc>
      </w:tr>
      <w:tr>
        <w:trPr>
          <w:trHeight w:val="23"/>
        </w:trPr>
        <w:tc>
          <w:tcPr>
            <w:tcW w:w="8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8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752,295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759,789</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(6) DEBT OBLIGATIONS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820" w:type="dxa"/>
            <w:vAlign w:val="bottom"/>
          </w:tcPr>
          <w:p>
            <w:pPr>
              <w:spacing w:after="0"/>
              <w:rPr>
                <w:sz w:val="20"/>
                <w:szCs w:val="20"/>
                <w:color w:val="auto"/>
              </w:rPr>
            </w:pPr>
            <w:r>
              <w:rPr>
                <w:rFonts w:ascii="Arial" w:cs="Arial" w:eastAsia="Arial" w:hAnsi="Arial"/>
                <w:sz w:val="15"/>
                <w:szCs w:val="15"/>
                <w:color w:val="auto"/>
              </w:rPr>
              <w:t>Debt obligations consist of the following:</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8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6"/>
              </w:rPr>
              <w:t>As of</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September 30, 2018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w w:val="88"/>
              </w:rPr>
              <w:t>December 31, 2017</w:t>
            </w:r>
          </w:p>
        </w:tc>
        <w:tc>
          <w:tcPr>
            <w:tcW w:w="0" w:type="dxa"/>
            <w:vAlign w:val="bottom"/>
          </w:tcPr>
          <w:p>
            <w:pPr>
              <w:spacing w:after="0"/>
              <w:rPr>
                <w:sz w:val="1"/>
                <w:szCs w:val="1"/>
                <w:color w:val="auto"/>
              </w:rPr>
            </w:pPr>
          </w:p>
        </w:tc>
      </w:tr>
      <w:tr>
        <w:trPr>
          <w:trHeight w:val="198"/>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Credit Facility:</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20" w:type="dxa"/>
            <w:vAlign w:val="bottom"/>
          </w:tcPr>
          <w:p>
            <w:pPr>
              <w:ind w:left="140"/>
              <w:spacing w:after="0"/>
              <w:rPr>
                <w:sz w:val="20"/>
                <w:szCs w:val="20"/>
                <w:color w:val="auto"/>
              </w:rPr>
            </w:pPr>
            <w:r>
              <w:rPr>
                <w:rFonts w:ascii="Arial" w:cs="Arial" w:eastAsia="Arial" w:hAnsi="Arial"/>
                <w:sz w:val="15"/>
                <w:szCs w:val="15"/>
                <w:color w:val="auto"/>
              </w:rPr>
              <w:t>Term loan, due 2019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51,094</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Revolving credit agreements, due 2019</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266,738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190"/>
        </w:trPr>
        <w:tc>
          <w:tcPr>
            <w:tcW w:w="88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266,738</w:t>
            </w: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54,094</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Convertible Debt: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20" w:type="dxa"/>
            <w:vAlign w:val="bottom"/>
          </w:tcPr>
          <w:p>
            <w:pPr>
              <w:ind w:left="240"/>
              <w:spacing w:after="0"/>
              <w:rPr>
                <w:sz w:val="20"/>
                <w:szCs w:val="20"/>
                <w:color w:val="auto"/>
              </w:rPr>
            </w:pPr>
            <w:r>
              <w:rPr>
                <w:rFonts w:ascii="Arial" w:cs="Arial" w:eastAsia="Arial" w:hAnsi="Arial"/>
                <w:sz w:val="15"/>
                <w:szCs w:val="15"/>
                <w:color w:val="auto"/>
              </w:rPr>
              <w:t>1.50% convertible notes, unsecured, due 2044</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377,863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369,259</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ATM credit facility</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8820" w:type="dxa"/>
            <w:vAlign w:val="bottom"/>
          </w:tcPr>
          <w:p>
            <w:pPr>
              <w:ind w:left="40"/>
              <w:spacing w:after="0"/>
              <w:rPr>
                <w:sz w:val="20"/>
                <w:szCs w:val="20"/>
                <w:color w:val="auto"/>
              </w:rPr>
            </w:pPr>
            <w:r>
              <w:rPr>
                <w:rFonts w:ascii="Arial" w:cs="Arial" w:eastAsia="Arial" w:hAnsi="Arial"/>
                <w:sz w:val="15"/>
                <w:szCs w:val="15"/>
                <w:color w:val="auto"/>
              </w:rPr>
              <w:t>Other obligations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33,696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27,763</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8820" w:type="dxa"/>
            <w:vAlign w:val="bottom"/>
          </w:tcPr>
          <w:p>
            <w:pPr>
              <w:ind w:left="40"/>
              <w:spacing w:after="0"/>
              <w:rPr>
                <w:sz w:val="20"/>
                <w:szCs w:val="20"/>
                <w:color w:val="auto"/>
              </w:rPr>
            </w:pPr>
            <w:r>
              <w:rPr>
                <w:rFonts w:ascii="Arial" w:cs="Arial" w:eastAsia="Arial" w:hAnsi="Arial"/>
                <w:sz w:val="15"/>
                <w:szCs w:val="15"/>
                <w:color w:val="auto"/>
              </w:rPr>
              <w:t>Total debt obligations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878,297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451,116</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Unamortized debt issuance costs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(3,835)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(5,816)</w:t>
            </w:r>
          </w:p>
        </w:tc>
        <w:tc>
          <w:tcPr>
            <w:tcW w:w="0" w:type="dxa"/>
            <w:vAlign w:val="bottom"/>
          </w:tcPr>
          <w:p>
            <w:pPr>
              <w:spacing w:after="0"/>
              <w:rPr>
                <w:sz w:val="1"/>
                <w:szCs w:val="1"/>
                <w:color w:val="auto"/>
              </w:rPr>
            </w:pPr>
          </w:p>
        </w:tc>
      </w:tr>
      <w:tr>
        <w:trPr>
          <w:trHeight w:val="190"/>
        </w:trPr>
        <w:tc>
          <w:tcPr>
            <w:tcW w:w="8820" w:type="dxa"/>
            <w:vAlign w:val="bottom"/>
          </w:tcPr>
          <w:p>
            <w:pPr>
              <w:ind w:left="40"/>
              <w:spacing w:after="0"/>
              <w:rPr>
                <w:sz w:val="20"/>
                <w:szCs w:val="20"/>
                <w:color w:val="auto"/>
              </w:rPr>
            </w:pPr>
            <w:r>
              <w:rPr>
                <w:rFonts w:ascii="Arial" w:cs="Arial" w:eastAsia="Arial" w:hAnsi="Arial"/>
                <w:sz w:val="15"/>
                <w:szCs w:val="15"/>
                <w:color w:val="auto"/>
              </w:rPr>
              <w:t>Carrying value of debt</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874,462</w:t>
            </w: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445,300</w:t>
            </w:r>
          </w:p>
        </w:tc>
        <w:tc>
          <w:tcPr>
            <w:tcW w:w="0" w:type="dxa"/>
            <w:vAlign w:val="bottom"/>
          </w:tcPr>
          <w:p>
            <w:pPr>
              <w:spacing w:after="0"/>
              <w:rPr>
                <w:sz w:val="1"/>
                <w:szCs w:val="1"/>
                <w:color w:val="auto"/>
              </w:rPr>
            </w:pPr>
          </w:p>
        </w:tc>
      </w:tr>
      <w:tr>
        <w:trPr>
          <w:trHeight w:val="23"/>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(233,074)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(41,288)</w:t>
            </w:r>
          </w:p>
        </w:tc>
        <w:tc>
          <w:tcPr>
            <w:tcW w:w="0" w:type="dxa"/>
            <w:vAlign w:val="bottom"/>
          </w:tcPr>
          <w:p>
            <w:pPr>
              <w:spacing w:after="0"/>
              <w:rPr>
                <w:sz w:val="1"/>
                <w:szCs w:val="1"/>
                <w:color w:val="auto"/>
              </w:rPr>
            </w:pPr>
          </w:p>
        </w:tc>
      </w:tr>
      <w:tr>
        <w:trPr>
          <w:trHeight w:val="207"/>
        </w:trPr>
        <w:tc>
          <w:tcPr>
            <w:tcW w:w="8820" w:type="dxa"/>
            <w:vAlign w:val="bottom"/>
          </w:tcPr>
          <w:p>
            <w:pPr>
              <w:ind w:left="40"/>
              <w:spacing w:after="0"/>
              <w:rPr>
                <w:sz w:val="20"/>
                <w:szCs w:val="20"/>
                <w:color w:val="auto"/>
              </w:rPr>
            </w:pPr>
            <w:r>
              <w:rPr>
                <w:rFonts w:ascii="Arial" w:cs="Arial" w:eastAsia="Arial" w:hAnsi="Arial"/>
                <w:sz w:val="15"/>
                <w:szCs w:val="15"/>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641,388</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404,012</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Credit Facility</w:t>
      </w:r>
    </w:p>
    <w:p>
      <w:pPr>
        <w:spacing w:after="0" w:line="94" w:lineRule="exact"/>
        <w:rPr>
          <w:sz w:val="20"/>
          <w:szCs w:val="20"/>
          <w:color w:val="auto"/>
        </w:rPr>
      </w:pPr>
    </w:p>
    <w:p>
      <w:pPr>
        <w:jc w:val="both"/>
        <w:ind w:right="120"/>
        <w:spacing w:after="0" w:line="257" w:lineRule="auto"/>
        <w:rPr>
          <w:sz w:val="20"/>
          <w:szCs w:val="20"/>
          <w:color w:val="auto"/>
        </w:rPr>
      </w:pPr>
      <w:r>
        <w:rPr>
          <w:rFonts w:ascii="Arial" w:cs="Arial" w:eastAsia="Arial" w:hAnsi="Arial"/>
          <w:sz w:val="15"/>
          <w:szCs w:val="15"/>
          <w:color w:val="auto"/>
        </w:rPr>
        <w:t>As of September 30, 2018, the Company had a $675 million senior secured credit facility (the "Credit Facility") consisting of a $600 million revolving credit agreement and a $75 million term loan, which was retired early during the third quarter of 2018. The Credit Facility was subsequently replaced by a new credit agreement on October 17, 2018, which resulted in long-term debt obligation classification for the Credit Facility as of September 30, 2018. See Note 13, Subsequent Event, for further details.</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Interest on borrowings under the revolving credit facility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was 3.58% as of September 30, 2018.</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Convertible Debt</w:t>
      </w:r>
    </w:p>
    <w:p>
      <w:pPr>
        <w:spacing w:after="0" w:line="94" w:lineRule="exact"/>
        <w:rPr>
          <w:sz w:val="20"/>
          <w:szCs w:val="20"/>
          <w:color w:val="auto"/>
        </w:rPr>
      </w:pPr>
    </w:p>
    <w:p>
      <w:pPr>
        <w:ind w:right="320"/>
        <w:spacing w:after="0" w:line="346" w:lineRule="auto"/>
        <w:rPr>
          <w:sz w:val="20"/>
          <w:szCs w:val="20"/>
          <w:color w:val="auto"/>
        </w:rPr>
      </w:pPr>
      <w:r>
        <w:rPr>
          <w:rFonts w:ascii="Arial" w:cs="Arial" w:eastAsia="Arial" w:hAnsi="Arial"/>
          <w:sz w:val="13"/>
          <w:szCs w:val="13"/>
          <w:color w:val="auto"/>
        </w:rPr>
        <w:t>The Convertible Senior Notes (“Convertible Notes”) had a principal amount outstanding of $402.5 million as of September 30, 2018. The Convertible Notes mature in October 2044 unless repurchased or converted prior to such date, and are convertible into shares of Euronet Common Stock at a conversion price of approximately $72.18 per share. Holders of the Convertible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Notes have the option to require the Company to purchase their notes at par on October 1, 2020, and have additional options to require the Company to purchase their notes at par on October 1, 2024, 2029, 2034, and 2039, or upon a change in control of the Company.</w:t>
      </w:r>
    </w:p>
    <w:p>
      <w:pPr>
        <w:spacing w:after="0" w:line="59"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Holders may convert all or any portion of their Convertible Notes at their option at any time prior to October 1, 2044 only under the following circumstances: (1) during any calendar quarter (and only during such calendar quarter), if the closing sale price of the common stock for at least 20 trading days (whether or not consecutive) during a period of 30 consecutive trading days ending on the last trading day of the immediately preceding calendar quarter is greater than 130% of the conversion price on each applicable trading day; (2) during the five consecutive business day period after any ten consecutive trading day period (the measurement period) in which the trading price for the Convertible Notes for each trading day of the measurement period was less than 98% of the product of the closing sale price of the Company's common stock and the conversion rate on each such trading day; or (3) upon the occurrence of specified corporate events. If the holders exercise their option to convert, the Company is required to deliver cash or shares of the Company's common stock, at the Company's option, to satisfy the principal amount and the conversion premium. As of September 30, 2018, the conversion threshold in clause (1) of the preceding sentence had been met and the Convertible Notes became convertible at the holders' option during the fourth quarter of 2018.</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Contractual interest expense for the Convertible Notes was $1.5 million and $4.5 million for the three and nine months ended September 30, 2018 and 2017, respectively. Accretion expense was $2.9 million and $8.6 million for the three and nine months ended September 30, 2018, respectively, and $2.8 million and $8.2 million for the three and nine months ended September 30, 2017, respectively. The effective interest rate was 4.7% for the three and nine months ended September 30, 2018. As of September 30, 2018, the unamortized discount was $24.6 million, and will be amortized through October 1, 2020.</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ATM Credit Facility</w:t>
      </w:r>
    </w:p>
    <w:p>
      <w:pPr>
        <w:spacing w:after="0" w:line="94" w:lineRule="exact"/>
        <w:rPr>
          <w:sz w:val="20"/>
          <w:szCs w:val="20"/>
          <w:color w:val="auto"/>
        </w:rPr>
      </w:pPr>
    </w:p>
    <w:p>
      <w:pPr>
        <w:ind w:right="180"/>
        <w:spacing w:after="0" w:line="284" w:lineRule="auto"/>
        <w:rPr>
          <w:sz w:val="20"/>
          <w:szCs w:val="20"/>
          <w:color w:val="auto"/>
        </w:rPr>
      </w:pPr>
      <w:r>
        <w:rPr>
          <w:rFonts w:ascii="Arial" w:cs="Arial" w:eastAsia="Arial" w:hAnsi="Arial"/>
          <w:sz w:val="14"/>
          <w:szCs w:val="14"/>
          <w:color w:val="auto"/>
        </w:rPr>
        <w:t>On May 11, 2018, the Company entered into a short-term credit facility in the amount of $300 million for the sole purpose of providing cash for its ATM network. Interest is charged on this financing on an annual basis at the Overnight LIBOR rate plus 1.75%. The facility expires on November 30, 2018. The Company repaid $100 million of the facility during the third quarter of 2018. The weighted average interest rate for borrowings under the ATM credit facility was 3.7% and 3.6% for the three and nine months ended September 30, 2018.</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DERIVATIVE INSTRUMENTS AND HEDGING ACTIVITIES</w:t>
      </w:r>
    </w:p>
    <w:p>
      <w:pPr>
        <w:spacing w:after="0" w:line="98"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4"/>
          <w:szCs w:val="14"/>
          <w:i w:val="1"/>
          <w:iCs w:val="1"/>
          <w:color w:val="auto"/>
        </w:rPr>
        <w:t xml:space="preserve">Derivatives and Hedging </w:t>
      </w:r>
      <w:r>
        <w:rPr>
          <w:rFonts w:ascii="Arial" w:cs="Arial" w:eastAsia="Arial" w:hAnsi="Arial"/>
          <w:sz w:val="14"/>
          <w:szCs w:val="14"/>
          <w:color w:val="auto"/>
        </w:rPr>
        <w:t>("ASC Topic 815")</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due to either the relatively short duration of the contract term or the effects of fluctuations in currency exchange rates being reflected</w:t>
      </w:r>
      <w:r>
        <w:rPr>
          <w:rFonts w:ascii="Arial" w:cs="Arial" w:eastAsia="Arial" w:hAnsi="Arial"/>
          <w:sz w:val="14"/>
          <w:szCs w:val="14"/>
          <w:i w:val="1"/>
          <w:iCs w:val="1"/>
          <w:color w:val="auto"/>
        </w:rPr>
        <w:t xml:space="preserve"> </w:t>
      </w:r>
      <w:r>
        <w:rPr>
          <w:rFonts w:ascii="Arial" w:cs="Arial" w:eastAsia="Arial" w:hAnsi="Arial"/>
          <w:sz w:val="14"/>
          <w:szCs w:val="14"/>
          <w:color w:val="auto"/>
        </w:rPr>
        <w:t>concurrently in earnings for both the derivative instrument and the hedged transaction and having an offsetting effect.</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contracts - Ria Operations and Corporate</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September 30, 2018, the Company held in its Ria operations foreign currency forward contracts outstanding in the U.S. with a notional value of $328 million, primarily in Australian dollars, Canadian dollars, British pounds, euros and Mexican pesos.</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In addition, the Company uses forward contracts, typically with maturities from a few days to less than one year, to offset foreign exchange rate fluctuations on certain foreign currency denominated other asset and liability positions. As of September 30, 2018, the Company had foreign currency forward contracts outstanding with a notional value of $275 million, primarily in euros and Polish zloty.</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contracts - HiFX Operations</w:t>
      </w:r>
    </w:p>
    <w:p>
      <w:pPr>
        <w:spacing w:after="0" w:line="94"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HiFX writes derivative instruments, primarily foreign currency forward contracts and cross-currency swaps, mostly with counterparties comprised of individuals and small-to-medium size businesses and derives a currency margin from this activity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60"/>
          </w:cols>
          <w:pgMar w:left="220" w:top="129" w:right="2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$16.8 million and $52.5 million for the three and nine months ended September 30, 2018, respectively, and $16.7 million and $48.4 million for the three and nine months ended September 30, 2017, respectively. All of the derivative contracts used in the Company's HiFX operations are economic hedges and are not designated as hedges under ASC Topic 815</w:t>
      </w:r>
      <w:r>
        <w:rPr>
          <w:rFonts w:ascii="Arial" w:cs="Arial" w:eastAsia="Arial" w:hAnsi="Arial"/>
          <w:sz w:val="13"/>
          <w:szCs w:val="13"/>
          <w:i w:val="1"/>
          <w:iCs w:val="1"/>
          <w:color w:val="auto"/>
        </w:rPr>
        <w:t>.</w:t>
      </w:r>
      <w:r>
        <w:rPr>
          <w:rFonts w:ascii="Arial" w:cs="Arial" w:eastAsia="Arial" w:hAnsi="Arial"/>
          <w:sz w:val="13"/>
          <w:szCs w:val="13"/>
          <w:color w:val="auto"/>
        </w:rPr>
        <w:t xml:space="preserve"> The duration of these derivative contracts is generally less than one year.</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56" w:lineRule="exact"/>
        <w:rPr>
          <w:sz w:val="20"/>
          <w:szCs w:val="20"/>
          <w:color w:val="auto"/>
        </w:rPr>
      </w:pPr>
    </w:p>
    <w:p>
      <w:pPr>
        <w:ind w:right="700"/>
        <w:spacing w:after="0" w:line="346" w:lineRule="auto"/>
        <w:rPr>
          <w:sz w:val="20"/>
          <w:szCs w:val="20"/>
          <w:color w:val="auto"/>
        </w:rPr>
      </w:pPr>
      <w:r>
        <w:rPr>
          <w:rFonts w:ascii="Arial" w:cs="Arial" w:eastAsia="Arial" w:hAnsi="Arial"/>
          <w:sz w:val="13"/>
          <w:szCs w:val="13"/>
          <w:color w:val="auto"/>
        </w:rPr>
        <w:t>The aggregate equivalent U.S. dollar notional amounts of foreign currency derivative customer contracts held by the Company in its HiFX operations as of September 30, 2018 was approximately $1.2 billion. The majority of customer contracts are written in major currencies such as the U.S. dollar, euro, New Zealand dollar, British pound, and Australian dollar.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Balance Sheet Presentation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fair value of the derivative instruments as recorded in the Consolidated Balance Sheets as of the dates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Asset Derivatives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2"/>
                <w:szCs w:val="12"/>
                <w:b w:val="1"/>
                <w:bCs w:val="1"/>
                <w:color w:val="auto"/>
                <w:w w:val="92"/>
              </w:rPr>
              <w:t>Liability Derivatives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Fair Value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b w:val="1"/>
                <w:bCs w:val="1"/>
                <w:color w:val="auto"/>
              </w:rPr>
              <w:t>Fair Value</w:t>
            </w:r>
          </w:p>
        </w:tc>
        <w:tc>
          <w:tcPr>
            <w:tcW w:w="720" w:type="dxa"/>
            <w:vAlign w:val="bottom"/>
            <w:tcBorders>
              <w:bottom w:val="single" w:sz="8" w:color="auto"/>
            </w:tcBorders>
          </w:tcPr>
          <w:p>
            <w:pPr>
              <w:spacing w:after="0"/>
              <w:rPr>
                <w:sz w:val="18"/>
                <w:szCs w:val="18"/>
                <w:color w:val="auto"/>
              </w:rPr>
            </w:pPr>
          </w:p>
        </w:tc>
      </w:tr>
      <w:tr>
        <w:trPr>
          <w:trHeight w:val="213"/>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ind w:left="51"/>
              <w:spacing w:after="0"/>
              <w:rPr>
                <w:sz w:val="20"/>
                <w:szCs w:val="20"/>
                <w:color w:val="auto"/>
              </w:rPr>
            </w:pPr>
            <w:r>
              <w:rPr>
                <w:rFonts w:ascii="Arial" w:cs="Arial" w:eastAsia="Arial" w:hAnsi="Arial"/>
                <w:sz w:val="12"/>
                <w:szCs w:val="12"/>
                <w:b w:val="1"/>
                <w:bCs w:val="1"/>
                <w:color w:val="auto"/>
                <w:w w:val="88"/>
              </w:rPr>
              <w:t>Balance Sheet Location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2"/>
                <w:szCs w:val="12"/>
                <w:b w:val="1"/>
                <w:bCs w:val="1"/>
                <w:color w:val="auto"/>
                <w:w w:val="90"/>
              </w:rPr>
              <w:t>September 30, 2018</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w w:val="94"/>
              </w:rPr>
              <w:t>December 31, 2017</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w w:val="88"/>
              </w:rPr>
              <w:t>Balance Sheet Location</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September 30, 2018</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w w:val="92"/>
              </w:rPr>
              <w:t>December 31, 2017</w:t>
            </w:r>
          </w:p>
        </w:tc>
      </w:tr>
      <w:tr>
        <w:trPr>
          <w:trHeight w:val="181"/>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Derivatives not designated as</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4"/>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hedging instruments</w:t>
            </w:r>
          </w:p>
        </w:tc>
        <w:tc>
          <w:tcPr>
            <w:tcW w:w="1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3"/>
          </w:tcPr>
          <w:p>
            <w:pPr>
              <w:ind w:left="140"/>
              <w:spacing w:after="0"/>
              <w:rPr>
                <w:sz w:val="20"/>
                <w:szCs w:val="20"/>
                <w:color w:val="auto"/>
              </w:rPr>
            </w:pPr>
            <w:r>
              <w:rPr>
                <w:rFonts w:ascii="Arial" w:cs="Arial" w:eastAsia="Arial" w:hAnsi="Arial"/>
                <w:sz w:val="15"/>
                <w:szCs w:val="15"/>
                <w:color w:val="auto"/>
              </w:rPr>
              <w:t>Accrued expenses and other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8"/>
        </w:trPr>
        <w:tc>
          <w:tcPr>
            <w:tcW w:w="2260" w:type="dxa"/>
            <w:vAlign w:val="bottom"/>
            <w:gridSpan w:val="2"/>
          </w:tcPr>
          <w:p>
            <w:pPr>
              <w:ind w:left="140"/>
              <w:spacing w:after="0"/>
              <w:rPr>
                <w:sz w:val="20"/>
                <w:szCs w:val="20"/>
                <w:color w:val="auto"/>
              </w:rPr>
            </w:pPr>
            <w:r>
              <w:rPr>
                <w:rFonts w:ascii="Arial" w:cs="Arial" w:eastAsia="Arial" w:hAnsi="Arial"/>
                <w:sz w:val="15"/>
                <w:szCs w:val="15"/>
                <w:color w:val="auto"/>
              </w:rPr>
              <w:t>Foreign currency exchange</w:t>
            </w:r>
          </w:p>
        </w:tc>
        <w:tc>
          <w:tcPr>
            <w:tcW w:w="1680" w:type="dxa"/>
            <w:vAlign w:val="bottom"/>
          </w:tcPr>
          <w:p>
            <w:pPr>
              <w:jc w:val="center"/>
              <w:ind w:left="51"/>
              <w:spacing w:after="0"/>
              <w:rPr>
                <w:sz w:val="20"/>
                <w:szCs w:val="20"/>
                <w:color w:val="auto"/>
              </w:rPr>
            </w:pPr>
            <w:r>
              <w:rPr>
                <w:rFonts w:ascii="Arial" w:cs="Arial" w:eastAsia="Arial" w:hAnsi="Arial"/>
                <w:sz w:val="15"/>
                <w:szCs w:val="15"/>
                <w:color w:val="auto"/>
                <w:w w:val="86"/>
              </w:rPr>
              <w:t>Prepaid expense and other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ind w:left="260"/>
              <w:spacing w:after="0"/>
              <w:rPr>
                <w:sz w:val="20"/>
                <w:szCs w:val="20"/>
                <w:color w:val="auto"/>
              </w:rPr>
            </w:pPr>
            <w:r>
              <w:rPr>
                <w:rFonts w:ascii="Arial" w:cs="Arial" w:eastAsia="Arial" w:hAnsi="Arial"/>
                <w:sz w:val="15"/>
                <w:szCs w:val="15"/>
                <w:color w:val="auto"/>
              </w:rPr>
              <w:t>current liabilities</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8"/>
        </w:trPr>
        <w:tc>
          <w:tcPr>
            <w:tcW w:w="2260" w:type="dxa"/>
            <w:vAlign w:val="bottom"/>
            <w:gridSpan w:val="2"/>
          </w:tcPr>
          <w:p>
            <w:pPr>
              <w:ind w:left="280"/>
              <w:spacing w:after="0"/>
              <w:rPr>
                <w:sz w:val="20"/>
                <w:szCs w:val="20"/>
                <w:color w:val="auto"/>
              </w:rPr>
            </w:pPr>
            <w:r>
              <w:rPr>
                <w:rFonts w:ascii="Arial" w:cs="Arial" w:eastAsia="Arial" w:hAnsi="Arial"/>
                <w:sz w:val="15"/>
                <w:szCs w:val="15"/>
                <w:color w:val="auto"/>
              </w:rPr>
              <w:t>contracts</w:t>
            </w:r>
          </w:p>
        </w:tc>
        <w:tc>
          <w:tcPr>
            <w:tcW w:w="1680" w:type="dxa"/>
            <w:vAlign w:val="bottom"/>
          </w:tcPr>
          <w:p>
            <w:pPr>
              <w:jc w:val="center"/>
              <w:ind w:left="51"/>
              <w:spacing w:after="0"/>
              <w:rPr>
                <w:sz w:val="20"/>
                <w:szCs w:val="20"/>
                <w:color w:val="auto"/>
              </w:rPr>
            </w:pPr>
            <w:r>
              <w:rPr>
                <w:rFonts w:ascii="Arial" w:cs="Arial" w:eastAsia="Arial" w:hAnsi="Arial"/>
                <w:sz w:val="15"/>
                <w:szCs w:val="15"/>
                <w:color w:val="auto"/>
                <w:w w:val="84"/>
              </w:rPr>
              <w:t>current assets</w:t>
            </w:r>
          </w:p>
        </w:tc>
        <w:tc>
          <w:tcPr>
            <w:tcW w:w="580" w:type="dxa"/>
            <w:vAlign w:val="bottom"/>
            <w:gridSpan w:val="3"/>
          </w:tcPr>
          <w:p>
            <w:pPr>
              <w:jc w:val="right"/>
              <w:ind w:right="181"/>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53"/>
              <w:spacing w:after="0"/>
              <w:rPr>
                <w:sz w:val="20"/>
                <w:szCs w:val="20"/>
                <w:color w:val="auto"/>
              </w:rPr>
            </w:pPr>
            <w:r>
              <w:rPr>
                <w:rFonts w:ascii="Arial" w:cs="Arial" w:eastAsia="Arial" w:hAnsi="Arial"/>
                <w:sz w:val="15"/>
                <w:szCs w:val="15"/>
                <w:color w:val="auto"/>
              </w:rPr>
              <w:t>41,399</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36,574</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(25,829)</w:t>
            </w:r>
          </w:p>
        </w:tc>
        <w:tc>
          <w:tcPr>
            <w:tcW w:w="12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(22,495)</w:t>
            </w:r>
          </w:p>
        </w:tc>
      </w:tr>
      <w:tr>
        <w:trPr>
          <w:trHeight w:val="488"/>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646"/>
              <w:spacing w:after="0"/>
              <w:rPr>
                <w:sz w:val="20"/>
                <w:szCs w:val="20"/>
                <w:color w:val="auto"/>
              </w:rPr>
            </w:pPr>
            <w:r>
              <w:rPr>
                <w:rFonts w:ascii="Arial" w:cs="Arial" w:eastAsia="Arial" w:hAnsi="Arial"/>
                <w:sz w:val="15"/>
                <w:szCs w:val="15"/>
                <w:color w:val="auto"/>
                <w:w w:val="83"/>
              </w:rPr>
              <w:t>14</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summarize the gross and net fair value of derivative assets and liabilities as of September 30, 2018 and December 31, 2017 (in thousands):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Offsetting of Derivative Assets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7"/>
              </w:rPr>
              <w:t>Gross Amounts Not Offset in the Consolidated</w:t>
            </w:r>
          </w:p>
        </w:tc>
        <w:tc>
          <w:tcPr>
            <w:tcW w:w="1140" w:type="dxa"/>
            <w:vAlign w:val="bottom"/>
          </w:tcPr>
          <w:p>
            <w:pPr>
              <w:spacing w:after="0"/>
              <w:rPr>
                <w:sz w:val="12"/>
                <w:szCs w:val="12"/>
                <w:color w:val="auto"/>
              </w:rPr>
            </w:pPr>
          </w:p>
        </w:tc>
      </w:tr>
      <w:tr>
        <w:trPr>
          <w:trHeight w:val="157"/>
        </w:trPr>
        <w:tc>
          <w:tcPr>
            <w:tcW w:w="3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Balance Sheet</w:t>
            </w: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23"/>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140"/>
              <w:spacing w:after="0" w:line="123" w:lineRule="exact"/>
              <w:rPr>
                <w:sz w:val="20"/>
                <w:szCs w:val="20"/>
                <w:color w:val="auto"/>
              </w:rPr>
            </w:pPr>
            <w:r>
              <w:rPr>
                <w:rFonts w:ascii="Arial" w:cs="Arial" w:eastAsia="Arial" w:hAnsi="Arial"/>
                <w:sz w:val="12"/>
                <w:szCs w:val="12"/>
                <w:b w:val="1"/>
                <w:bCs w:val="1"/>
                <w:color w:val="auto"/>
                <w:w w:val="87"/>
              </w:rPr>
              <w:t>Gross Amounts Offset</w:t>
            </w:r>
          </w:p>
        </w:tc>
        <w:tc>
          <w:tcPr>
            <w:tcW w:w="1460" w:type="dxa"/>
            <w:vAlign w:val="bottom"/>
            <w:gridSpan w:val="2"/>
          </w:tcPr>
          <w:p>
            <w:pPr>
              <w:jc w:val="center"/>
              <w:ind w:right="140"/>
              <w:spacing w:after="0" w:line="123" w:lineRule="exact"/>
              <w:rPr>
                <w:sz w:val="20"/>
                <w:szCs w:val="20"/>
                <w:color w:val="auto"/>
              </w:rPr>
            </w:pPr>
            <w:r>
              <w:rPr>
                <w:rFonts w:ascii="Arial" w:cs="Arial" w:eastAsia="Arial" w:hAnsi="Arial"/>
                <w:sz w:val="12"/>
                <w:szCs w:val="12"/>
                <w:b w:val="1"/>
                <w:bCs w:val="1"/>
                <w:color w:val="auto"/>
                <w:w w:val="88"/>
              </w:rPr>
              <w:t>Net Amounts Presented</w:t>
            </w:r>
          </w:p>
        </w:tc>
        <w:tc>
          <w:tcPr>
            <w:tcW w:w="1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2"/>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180"/>
              <w:spacing w:after="0" w:line="122" w:lineRule="exact"/>
              <w:rPr>
                <w:sz w:val="20"/>
                <w:szCs w:val="20"/>
                <w:color w:val="auto"/>
              </w:rPr>
            </w:pPr>
            <w:r>
              <w:rPr>
                <w:rFonts w:ascii="Arial" w:cs="Arial" w:eastAsia="Arial" w:hAnsi="Arial"/>
                <w:sz w:val="12"/>
                <w:szCs w:val="12"/>
                <w:b w:val="1"/>
                <w:bCs w:val="1"/>
                <w:color w:val="auto"/>
              </w:rPr>
              <w:t>Gross Amounts of</w:t>
            </w:r>
          </w:p>
        </w:tc>
        <w:tc>
          <w:tcPr>
            <w:tcW w:w="138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7"/>
              </w:rPr>
              <w:t>in the Consolidated</w:t>
            </w:r>
          </w:p>
        </w:tc>
        <w:tc>
          <w:tcPr>
            <w:tcW w:w="146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7"/>
              </w:rPr>
              <w:t>in the Consolidated</w:t>
            </w:r>
          </w:p>
        </w:tc>
        <w:tc>
          <w:tcPr>
            <w:tcW w:w="1380" w:type="dxa"/>
            <w:vAlign w:val="bottom"/>
          </w:tcPr>
          <w:p>
            <w:pPr>
              <w:spacing w:after="0"/>
              <w:rPr>
                <w:sz w:val="10"/>
                <w:szCs w:val="10"/>
                <w:color w:val="auto"/>
              </w:rPr>
            </w:pPr>
          </w:p>
        </w:tc>
        <w:tc>
          <w:tcPr>
            <w:tcW w:w="132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89"/>
              </w:rPr>
              <w:t>Cash Collateral</w:t>
            </w:r>
          </w:p>
        </w:tc>
        <w:tc>
          <w:tcPr>
            <w:tcW w:w="1140" w:type="dxa"/>
            <w:vAlign w:val="bottom"/>
          </w:tcPr>
          <w:p>
            <w:pPr>
              <w:spacing w:after="0"/>
              <w:rPr>
                <w:sz w:val="10"/>
                <w:szCs w:val="10"/>
                <w:color w:val="auto"/>
              </w:rPr>
            </w:pPr>
          </w:p>
        </w:tc>
      </w:tr>
      <w:tr>
        <w:trPr>
          <w:trHeight w:val="151"/>
        </w:trPr>
        <w:tc>
          <w:tcPr>
            <w:tcW w:w="332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September 30, 2018</w:t>
            </w:r>
          </w:p>
        </w:tc>
        <w:tc>
          <w:tcPr>
            <w:tcW w:w="1400" w:type="dxa"/>
            <w:vAlign w:val="bottom"/>
            <w:gridSpan w:val="2"/>
          </w:tcPr>
          <w:p>
            <w:pPr>
              <w:ind w:left="180"/>
              <w:spacing w:after="0"/>
              <w:rPr>
                <w:sz w:val="20"/>
                <w:szCs w:val="20"/>
                <w:color w:val="auto"/>
              </w:rPr>
            </w:pPr>
            <w:r>
              <w:rPr>
                <w:rFonts w:ascii="Arial" w:cs="Arial" w:eastAsia="Arial" w:hAnsi="Arial"/>
                <w:sz w:val="12"/>
                <w:szCs w:val="12"/>
                <w:b w:val="1"/>
                <w:bCs w:val="1"/>
                <w:color w:val="auto"/>
              </w:rPr>
              <w:t>Recognized Assets</w:t>
            </w: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Balance Sheet</w:t>
            </w:r>
          </w:p>
        </w:tc>
        <w:tc>
          <w:tcPr>
            <w:tcW w:w="14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Balance Sheet</w:t>
            </w:r>
          </w:p>
        </w:tc>
        <w:tc>
          <w:tcPr>
            <w:tcW w:w="1380" w:type="dxa"/>
            <w:vAlign w:val="bottom"/>
          </w:tcPr>
          <w:p>
            <w:pPr>
              <w:ind w:left="60"/>
              <w:spacing w:after="0"/>
              <w:rPr>
                <w:sz w:val="20"/>
                <w:szCs w:val="20"/>
                <w:color w:val="auto"/>
              </w:rPr>
            </w:pPr>
            <w:r>
              <w:rPr>
                <w:rFonts w:ascii="Arial" w:cs="Arial" w:eastAsia="Arial" w:hAnsi="Arial"/>
                <w:sz w:val="12"/>
                <w:szCs w:val="12"/>
                <w:b w:val="1"/>
                <w:bCs w:val="1"/>
                <w:color w:val="auto"/>
              </w:rPr>
              <w:t>Financial Instruments</w:t>
            </w:r>
          </w:p>
        </w:tc>
        <w:tc>
          <w:tcPr>
            <w:tcW w:w="13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Received</w:t>
            </w:r>
          </w:p>
        </w:tc>
        <w:tc>
          <w:tcPr>
            <w:tcW w:w="1140" w:type="dxa"/>
            <w:vAlign w:val="bottom"/>
          </w:tcPr>
          <w:p>
            <w:pPr>
              <w:ind w:left="240"/>
              <w:spacing w:after="0"/>
              <w:rPr>
                <w:sz w:val="20"/>
                <w:szCs w:val="20"/>
                <w:color w:val="auto"/>
              </w:rPr>
            </w:pPr>
            <w:r>
              <w:rPr>
                <w:rFonts w:ascii="Arial" w:cs="Arial" w:eastAsia="Arial" w:hAnsi="Arial"/>
                <w:sz w:val="12"/>
                <w:szCs w:val="12"/>
                <w:b w:val="1"/>
                <w:bCs w:val="1"/>
                <w:color w:val="auto"/>
              </w:rPr>
              <w:t>Net Amounts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1"/>
              </w:rPr>
              <w:t>Derivatives subject to a master netting arrangement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or similar agreement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41,399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41,399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(15,915)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(4,515)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20,969</w:t>
            </w:r>
          </w:p>
        </w:tc>
      </w:tr>
      <w:tr>
        <w:trPr>
          <w:trHeight w:val="483"/>
        </w:trPr>
        <w:tc>
          <w:tcPr>
            <w:tcW w:w="40" w:type="dxa"/>
            <w:vAlign w:val="bottom"/>
          </w:tcPr>
          <w:p>
            <w:pPr>
              <w:spacing w:after="0"/>
              <w:rPr>
                <w:sz w:val="24"/>
                <w:szCs w:val="24"/>
                <w:color w:val="auto"/>
              </w:rPr>
            </w:pP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5"/>
              </w:rPr>
              <w:t>Derivatives subject to a master netting arrangement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or similar agreement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36,574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36,574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(15,050)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(7,603)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13,921</w:t>
            </w:r>
          </w:p>
        </w:tc>
      </w:tr>
      <w:tr>
        <w:trPr>
          <w:trHeight w:val="266"/>
        </w:trPr>
        <w:tc>
          <w:tcPr>
            <w:tcW w:w="3360" w:type="dxa"/>
            <w:vAlign w:val="bottom"/>
            <w:gridSpan w:val="3"/>
          </w:tcPr>
          <w:p>
            <w:pPr>
              <w:spacing w:after="0"/>
              <w:rPr>
                <w:sz w:val="20"/>
                <w:szCs w:val="20"/>
                <w:color w:val="auto"/>
              </w:rPr>
            </w:pPr>
            <w:r>
              <w:rPr>
                <w:rFonts w:ascii="Arial" w:cs="Arial" w:eastAsia="Arial" w:hAnsi="Arial"/>
                <w:sz w:val="15"/>
                <w:szCs w:val="15"/>
                <w:i w:val="1"/>
                <w:iCs w:val="1"/>
                <w:color w:val="auto"/>
              </w:rPr>
              <w:t>Offsetting of Derivative Liabilities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27"/>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ind w:left="40"/>
              <w:spacing w:after="0"/>
              <w:rPr>
                <w:sz w:val="20"/>
                <w:szCs w:val="20"/>
                <w:color w:val="auto"/>
              </w:rPr>
            </w:pPr>
            <w:r>
              <w:rPr>
                <w:rFonts w:ascii="Arial" w:cs="Arial" w:eastAsia="Arial" w:hAnsi="Arial"/>
                <w:sz w:val="12"/>
                <w:szCs w:val="12"/>
                <w:b w:val="1"/>
                <w:bCs w:val="1"/>
                <w:color w:val="auto"/>
                <w:w w:val="95"/>
              </w:rPr>
              <w:t>Gross Amounts Not Offset in the Consolidated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57"/>
        </w:trPr>
        <w:tc>
          <w:tcPr>
            <w:tcW w:w="4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869"/>
              <w:spacing w:after="0"/>
              <w:rPr>
                <w:sz w:val="20"/>
                <w:szCs w:val="20"/>
                <w:color w:val="auto"/>
              </w:rPr>
            </w:pPr>
            <w:r>
              <w:rPr>
                <w:rFonts w:ascii="Arial" w:cs="Arial" w:eastAsia="Arial" w:hAnsi="Arial"/>
                <w:sz w:val="12"/>
                <w:szCs w:val="12"/>
                <w:b w:val="1"/>
                <w:bCs w:val="1"/>
                <w:color w:val="auto"/>
              </w:rPr>
              <w:t>Balance Sheet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3"/>
        </w:trPr>
        <w:tc>
          <w:tcPr>
            <w:tcW w:w="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tcPr>
          <w:p>
            <w:pPr>
              <w:jc w:val="center"/>
              <w:ind w:right="140"/>
              <w:spacing w:after="0" w:line="123" w:lineRule="exact"/>
              <w:rPr>
                <w:sz w:val="20"/>
                <w:szCs w:val="20"/>
                <w:color w:val="auto"/>
              </w:rPr>
            </w:pPr>
            <w:r>
              <w:rPr>
                <w:rFonts w:ascii="Arial" w:cs="Arial" w:eastAsia="Arial" w:hAnsi="Arial"/>
                <w:sz w:val="12"/>
                <w:szCs w:val="12"/>
                <w:b w:val="1"/>
                <w:bCs w:val="1"/>
                <w:color w:val="auto"/>
                <w:w w:val="87"/>
              </w:rPr>
              <w:t>Gross Amounts Offset</w:t>
            </w:r>
          </w:p>
        </w:tc>
        <w:tc>
          <w:tcPr>
            <w:tcW w:w="1460" w:type="dxa"/>
            <w:vAlign w:val="bottom"/>
            <w:gridSpan w:val="3"/>
          </w:tcPr>
          <w:p>
            <w:pPr>
              <w:jc w:val="center"/>
              <w:ind w:right="140"/>
              <w:spacing w:after="0" w:line="123" w:lineRule="exact"/>
              <w:rPr>
                <w:sz w:val="20"/>
                <w:szCs w:val="20"/>
                <w:color w:val="auto"/>
              </w:rPr>
            </w:pPr>
            <w:r>
              <w:rPr>
                <w:rFonts w:ascii="Arial" w:cs="Arial" w:eastAsia="Arial" w:hAnsi="Arial"/>
                <w:sz w:val="12"/>
                <w:szCs w:val="12"/>
                <w:b w:val="1"/>
                <w:bCs w:val="1"/>
                <w:color w:val="auto"/>
                <w:w w:val="88"/>
              </w:rPr>
              <w:t>Net Amounts Presented</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85"/>
              </w:rPr>
              <w:t>Gross Amounts of</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7"/>
              </w:rPr>
              <w:t>in the Consolidated</w:t>
            </w:r>
          </w:p>
        </w:tc>
        <w:tc>
          <w:tcPr>
            <w:tcW w:w="12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7"/>
              </w:rPr>
              <w:t>in the Consolidated</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7"/>
        </w:trPr>
        <w:tc>
          <w:tcPr>
            <w:tcW w:w="40" w:type="dxa"/>
            <w:vAlign w:val="bottom"/>
          </w:tcPr>
          <w:p>
            <w:pPr>
              <w:spacing w:after="0"/>
              <w:rPr>
                <w:sz w:val="13"/>
                <w:szCs w:val="13"/>
                <w:color w:val="auto"/>
              </w:rPr>
            </w:pP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 of September 30, 2018</w:t>
            </w:r>
          </w:p>
        </w:tc>
        <w:tc>
          <w:tcPr>
            <w:tcW w:w="1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Recognized Liabilities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5"/>
              </w:rPr>
              <w:t>Balance Sheet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5"/>
              </w:rPr>
              <w:t>Balance Sheet</w:t>
            </w:r>
          </w:p>
        </w:tc>
        <w:tc>
          <w:tcPr>
            <w:tcW w:w="1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Financial Instruments</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w w:val="89"/>
              </w:rPr>
              <w:t>Cash Collateral Paid</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w w:val="96"/>
              </w:rPr>
              <w:t>Net Amounts</w:t>
            </w:r>
          </w:p>
        </w:tc>
      </w:tr>
      <w:tr>
        <w:trPr>
          <w:trHeight w:val="185"/>
        </w:trPr>
        <w:tc>
          <w:tcPr>
            <w:tcW w:w="40" w:type="dxa"/>
            <w:vAlign w:val="bottom"/>
          </w:tcPr>
          <w:p>
            <w:pPr>
              <w:spacing w:after="0"/>
              <w:rPr>
                <w:sz w:val="16"/>
                <w:szCs w:val="16"/>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5"/>
              </w:rPr>
              <w:t>Derivatives subject to a master netting arrangement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or similar agreement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(25,829)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(25,829)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15,915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1,004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(8,910)</w:t>
            </w:r>
          </w:p>
        </w:tc>
      </w:tr>
      <w:tr>
        <w:trPr>
          <w:trHeight w:val="483"/>
        </w:trPr>
        <w:tc>
          <w:tcPr>
            <w:tcW w:w="40" w:type="dxa"/>
            <w:vAlign w:val="bottom"/>
          </w:tcPr>
          <w:p>
            <w:pPr>
              <w:spacing w:after="0"/>
              <w:rPr>
                <w:sz w:val="24"/>
                <w:szCs w:val="24"/>
                <w:color w:val="auto"/>
              </w:rPr>
            </w:pP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5"/>
              </w:rPr>
              <w:t>Derivatives subject to a master netting arrangement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8"/>
        </w:trPr>
        <w:tc>
          <w:tcPr>
            <w:tcW w:w="40" w:type="dxa"/>
            <w:vAlign w:val="bottom"/>
          </w:tcPr>
          <w:p>
            <w:pPr>
              <w:spacing w:after="0"/>
              <w:rPr>
                <w:sz w:val="16"/>
                <w:szCs w:val="16"/>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or similar agreement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(22,495)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(22,495)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15,050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2,716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(4,729)</w:t>
            </w:r>
          </w:p>
        </w:tc>
      </w:tr>
      <w:tr>
        <w:trPr>
          <w:trHeight w:val="23"/>
        </w:trPr>
        <w:tc>
          <w:tcPr>
            <w:tcW w:w="4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See Note 8, Fair Value Measurements, for the determination of the fair values of derivatives.</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Statement Presentation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location and amount of gains and losses on derivatives in the Consolidated Statements of Income for the three and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2018 and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gridSpan w:val="10"/>
          </w:tcPr>
          <w:p>
            <w:pPr>
              <w:jc w:val="right"/>
              <w:ind w:right="233"/>
              <w:spacing w:after="0"/>
              <w:rPr>
                <w:sz w:val="20"/>
                <w:szCs w:val="20"/>
                <w:color w:val="auto"/>
              </w:rPr>
            </w:pPr>
            <w:r>
              <w:rPr>
                <w:rFonts w:ascii="Arial" w:cs="Arial" w:eastAsia="Arial" w:hAnsi="Arial"/>
                <w:sz w:val="12"/>
                <w:szCs w:val="12"/>
                <w:b w:val="1"/>
                <w:bCs w:val="1"/>
                <w:color w:val="auto"/>
                <w:w w:val="91"/>
              </w:rPr>
              <w:t>Amount of Gain (Loss) Recognized in Income on Derivative Contracts (a)</w:t>
            </w: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5"/>
          </w:tcPr>
          <w:p>
            <w:pPr>
              <w:jc w:val="center"/>
              <w:ind w:right="400"/>
              <w:spacing w:after="0" w:line="123" w:lineRule="exact"/>
              <w:rPr>
                <w:sz w:val="20"/>
                <w:szCs w:val="20"/>
                <w:color w:val="auto"/>
              </w:rPr>
            </w:pPr>
            <w:r>
              <w:rPr>
                <w:rFonts w:ascii="Arial" w:cs="Arial" w:eastAsia="Arial" w:hAnsi="Arial"/>
                <w:sz w:val="12"/>
                <w:szCs w:val="12"/>
                <w:b w:val="1"/>
                <w:bCs w:val="1"/>
                <w:color w:val="auto"/>
                <w:w w:val="90"/>
              </w:rPr>
              <w:t>Three Months Ended</w:t>
            </w:r>
          </w:p>
        </w:tc>
        <w:tc>
          <w:tcPr>
            <w:tcW w:w="220" w:type="dxa"/>
            <w:vAlign w:val="bottom"/>
          </w:tcPr>
          <w:p>
            <w:pPr>
              <w:spacing w:after="0"/>
              <w:rPr>
                <w:sz w:val="10"/>
                <w:szCs w:val="10"/>
                <w:color w:val="auto"/>
              </w:rPr>
            </w:pPr>
          </w:p>
        </w:tc>
        <w:tc>
          <w:tcPr>
            <w:tcW w:w="1820" w:type="dxa"/>
            <w:vAlign w:val="bottom"/>
            <w:gridSpan w:val="4"/>
          </w:tcPr>
          <w:p>
            <w:pPr>
              <w:jc w:val="center"/>
              <w:ind w:right="133"/>
              <w:spacing w:after="0" w:line="123" w:lineRule="exact"/>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8"/>
              </w:rPr>
              <w:t>Location of Gain (Loss) Recognized in Income on Derivative</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2"/>
                <w:szCs w:val="12"/>
                <w:b w:val="1"/>
                <w:bCs w:val="1"/>
                <w:color w:val="auto"/>
                <w:w w:val="87"/>
              </w:rPr>
              <w:t>September 30,</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2"/>
                <w:szCs w:val="12"/>
                <w:b w:val="1"/>
                <w:bCs w:val="1"/>
                <w:color w:val="auto"/>
                <w:w w:val="87"/>
              </w:rPr>
              <w:t>September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20" w:type="dxa"/>
            <w:vAlign w:val="bottom"/>
            <w:tcBorders>
              <w:bottom w:val="single" w:sz="8" w:color="CCEEFF"/>
            </w:tcBorders>
          </w:tcPr>
          <w:p>
            <w:pPr>
              <w:spacing w:after="0"/>
              <w:rPr>
                <w:sz w:val="13"/>
                <w:szCs w:val="13"/>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Contracts</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w w:val="89"/>
              </w:rPr>
              <w:t>2017</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2"/>
                <w:szCs w:val="12"/>
                <w:b w:val="1"/>
                <w:bCs w:val="1"/>
                <w:color w:val="auto"/>
                <w:w w:val="82"/>
              </w:rPr>
              <w:t>2017</w:t>
            </w: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exchange contracts</w:t>
            </w:r>
          </w:p>
        </w:tc>
        <w:tc>
          <w:tcPr>
            <w:tcW w:w="12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currency exchange gain (loss), net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rPr>
              <w:t>2,058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3,062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rPr>
              <w:t>10,438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(3,007)</w:t>
            </w:r>
          </w:p>
        </w:tc>
        <w:tc>
          <w:tcPr>
            <w:tcW w:w="0" w:type="dxa"/>
            <w:vAlign w:val="bottom"/>
          </w:tcPr>
          <w:p>
            <w:pPr>
              <w:spacing w:after="0"/>
              <w:rPr>
                <w:sz w:val="1"/>
                <w:szCs w:val="1"/>
                <w:color w:val="auto"/>
              </w:rPr>
            </w:pPr>
          </w:p>
        </w:tc>
      </w:tr>
      <w:tr>
        <w:trPr>
          <w:trHeight w:val="23"/>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firstLine="9"/>
        <w:spacing w:after="0" w:line="253" w:lineRule="auto"/>
        <w:tabs>
          <w:tab w:leader="none" w:pos="201"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FAIR VALUE MEASUREMENTS</w:t>
      </w:r>
    </w:p>
    <w:p>
      <w:pPr>
        <w:spacing w:after="0" w:line="98" w:lineRule="exact"/>
        <w:rPr>
          <w:sz w:val="20"/>
          <w:szCs w:val="20"/>
          <w:color w:val="auto"/>
        </w:rPr>
      </w:pPr>
    </w:p>
    <w:p>
      <w:pPr>
        <w:ind w:right="440"/>
        <w:spacing w:after="0" w:line="346" w:lineRule="auto"/>
        <w:rPr>
          <w:sz w:val="20"/>
          <w:szCs w:val="20"/>
          <w:color w:val="auto"/>
        </w:rPr>
      </w:pPr>
      <w:r>
        <w:rPr>
          <w:rFonts w:ascii="Arial" w:cs="Arial" w:eastAsia="Arial" w:hAnsi="Arial"/>
          <w:sz w:val="13"/>
          <w:szCs w:val="13"/>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50" w:lineRule="exact"/>
        <w:rPr>
          <w:sz w:val="20"/>
          <w:szCs w:val="20"/>
          <w:color w:val="auto"/>
        </w:rPr>
      </w:pPr>
    </w:p>
    <w:p>
      <w:pPr>
        <w:ind w:left="540" w:hanging="265"/>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Level 1 – Unadjusted quoted prices in active markets for identical assets or liabilities.</w:t>
      </w:r>
    </w:p>
    <w:p>
      <w:pPr>
        <w:spacing w:after="0" w:line="93" w:lineRule="exact"/>
        <w:rPr>
          <w:rFonts w:ascii="Arial" w:cs="Arial" w:eastAsia="Arial" w:hAnsi="Arial"/>
          <w:sz w:val="15"/>
          <w:szCs w:val="15"/>
          <w:color w:val="auto"/>
        </w:rPr>
      </w:pPr>
    </w:p>
    <w:p>
      <w:pPr>
        <w:ind w:left="540" w:right="240" w:hanging="265"/>
        <w:spacing w:after="0" w:line="268"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58" w:lineRule="exact"/>
        <w:rPr>
          <w:rFonts w:ascii="Arial" w:cs="Arial" w:eastAsia="Arial" w:hAnsi="Arial"/>
          <w:sz w:val="15"/>
          <w:szCs w:val="15"/>
          <w:color w:val="auto"/>
        </w:rPr>
      </w:pPr>
    </w:p>
    <w:p>
      <w:pPr>
        <w:ind w:left="540" w:right="120" w:hanging="265"/>
        <w:spacing w:after="0" w:line="268"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Level 3 – Unobservable inputs in which little or no market activity exists, therefore requiring an entity to develop its own assumptions about the inputs that market participants would use in pricing.</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financial assets and liabilities measured and recorded at fair value on a recurring basis: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2"/>
                <w:szCs w:val="12"/>
                <w:b w:val="1"/>
                <w:bCs w:val="1"/>
                <w:color w:val="auto"/>
              </w:rPr>
              <w:t>As of September 30, 2018</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13"/>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20" w:type="dxa"/>
            <w:vAlign w:val="bottom"/>
          </w:tcPr>
          <w:p>
            <w:pPr>
              <w:spacing w:after="0"/>
              <w:rPr>
                <w:sz w:val="18"/>
                <w:szCs w:val="18"/>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Balance Sheet Classification</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Level 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rPr>
              <w:t>Total</w:t>
            </w:r>
          </w:p>
        </w:tc>
      </w:tr>
      <w:tr>
        <w:trPr>
          <w:trHeight w:val="196"/>
        </w:trPr>
        <w:tc>
          <w:tcPr>
            <w:tcW w:w="3640" w:type="dxa"/>
            <w:vAlign w:val="bottom"/>
            <w:gridSpan w:val="2"/>
          </w:tcPr>
          <w:p>
            <w:pPr>
              <w:ind w:left="40"/>
              <w:spacing w:after="0"/>
              <w:rPr>
                <w:sz w:val="20"/>
                <w:szCs w:val="20"/>
                <w:color w:val="auto"/>
              </w:rPr>
            </w:pPr>
            <w:r>
              <w:rPr>
                <w:rFonts w:ascii="Arial" w:cs="Arial" w:eastAsia="Arial" w:hAnsi="Arial"/>
                <w:sz w:val="15"/>
                <w:szCs w:val="15"/>
                <w:b w:val="1"/>
                <w:bCs w:val="1"/>
                <w:color w:val="auto"/>
              </w:rPr>
              <w:t>Assets</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Foreign currency exchange contracts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Other current assets</w:t>
            </w:r>
          </w:p>
        </w:tc>
        <w:tc>
          <w:tcPr>
            <w:tcW w:w="9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5"/>
                <w:szCs w:val="15"/>
                <w:color w:val="auto"/>
              </w:rPr>
              <w:t>41,399</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41,399</w:t>
            </w:r>
          </w:p>
        </w:tc>
      </w:tr>
      <w:tr>
        <w:trPr>
          <w:trHeight w:val="199"/>
        </w:trPr>
        <w:tc>
          <w:tcPr>
            <w:tcW w:w="3640" w:type="dxa"/>
            <w:vAlign w:val="bottom"/>
            <w:gridSpan w:val="2"/>
          </w:tcPr>
          <w:p>
            <w:pPr>
              <w:ind w:left="40"/>
              <w:spacing w:after="0"/>
              <w:rPr>
                <w:sz w:val="20"/>
                <w:szCs w:val="20"/>
                <w:color w:val="auto"/>
              </w:rPr>
            </w:pPr>
            <w:r>
              <w:rPr>
                <w:rFonts w:ascii="Arial" w:cs="Arial" w:eastAsia="Arial" w:hAnsi="Arial"/>
                <w:sz w:val="15"/>
                <w:szCs w:val="15"/>
                <w:b w:val="1"/>
                <w:bCs w:val="1"/>
                <w:color w:val="auto"/>
              </w:rPr>
              <w:t>Liabilities</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Foreign currency exchange contracts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Other current liabilities</w:t>
            </w:r>
          </w:p>
        </w:tc>
        <w:tc>
          <w:tcPr>
            <w:tcW w:w="9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(25,829)</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(25,829)</w:t>
            </w:r>
          </w:p>
        </w:tc>
      </w:tr>
      <w:tr>
        <w:trPr>
          <w:trHeight w:val="328"/>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2"/>
                <w:szCs w:val="12"/>
                <w:b w:val="1"/>
                <w:bCs w:val="1"/>
                <w:color w:val="auto"/>
              </w:rPr>
              <w:t>As of 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3"/>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20" w:type="dxa"/>
            <w:vAlign w:val="bottom"/>
          </w:tcPr>
          <w:p>
            <w:pPr>
              <w:spacing w:after="0"/>
              <w:rPr>
                <w:sz w:val="18"/>
                <w:szCs w:val="18"/>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Balance Sheet Classification</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Level 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rPr>
              <w:t>Total</w:t>
            </w:r>
          </w:p>
        </w:tc>
      </w:tr>
      <w:tr>
        <w:trPr>
          <w:trHeight w:val="196"/>
        </w:trPr>
        <w:tc>
          <w:tcPr>
            <w:tcW w:w="3640" w:type="dxa"/>
            <w:vAlign w:val="bottom"/>
            <w:gridSpan w:val="2"/>
          </w:tcPr>
          <w:p>
            <w:pPr>
              <w:ind w:left="40"/>
              <w:spacing w:after="0"/>
              <w:rPr>
                <w:sz w:val="20"/>
                <w:szCs w:val="20"/>
                <w:color w:val="auto"/>
              </w:rPr>
            </w:pPr>
            <w:r>
              <w:rPr>
                <w:rFonts w:ascii="Arial" w:cs="Arial" w:eastAsia="Arial" w:hAnsi="Arial"/>
                <w:sz w:val="15"/>
                <w:szCs w:val="15"/>
                <w:b w:val="1"/>
                <w:bCs w:val="1"/>
                <w:color w:val="auto"/>
              </w:rPr>
              <w:t>Assets</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36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Foreign currency exchange contracts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Other current assets</w:t>
            </w:r>
          </w:p>
        </w:tc>
        <w:tc>
          <w:tcPr>
            <w:tcW w:w="9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5"/>
                <w:szCs w:val="15"/>
                <w:color w:val="auto"/>
              </w:rPr>
              <w:t>36,574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36,574</w:t>
            </w:r>
          </w:p>
        </w:tc>
      </w:tr>
      <w:tr>
        <w:trPr>
          <w:trHeight w:val="199"/>
        </w:trPr>
        <w:tc>
          <w:tcPr>
            <w:tcW w:w="3640" w:type="dxa"/>
            <w:vAlign w:val="bottom"/>
            <w:gridSpan w:val="2"/>
          </w:tcPr>
          <w:p>
            <w:pPr>
              <w:ind w:left="40"/>
              <w:spacing w:after="0"/>
              <w:rPr>
                <w:sz w:val="20"/>
                <w:szCs w:val="20"/>
                <w:color w:val="auto"/>
              </w:rPr>
            </w:pPr>
            <w:r>
              <w:rPr>
                <w:rFonts w:ascii="Arial" w:cs="Arial" w:eastAsia="Arial" w:hAnsi="Arial"/>
                <w:sz w:val="15"/>
                <w:szCs w:val="15"/>
                <w:b w:val="1"/>
                <w:bCs w:val="1"/>
                <w:color w:val="auto"/>
              </w:rPr>
              <w:t>Liabilities</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36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9"/>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Foreign currency exchange contracts</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current liabilities</w:t>
            </w:r>
          </w:p>
        </w:tc>
        <w:tc>
          <w:tcPr>
            <w:tcW w:w="900" w:type="dxa"/>
            <w:vAlign w:val="bottom"/>
            <w:shd w:val="clear" w:color="auto" w:fill="CCEEFF"/>
          </w:tcPr>
          <w:p>
            <w:pPr>
              <w:jc w:val="right"/>
              <w:ind w:right="731"/>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(22,495)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95"/>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(22,495)</w:t>
            </w:r>
          </w:p>
        </w:tc>
      </w:tr>
      <w:tr>
        <w:trPr>
          <w:trHeight w:val="23"/>
        </w:trPr>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252525"/>
        </w:rPr>
        <w:t>Other Fair Value Disclosures</w:t>
      </w:r>
    </w:p>
    <w:p>
      <w:pPr>
        <w:spacing w:after="0" w:line="94" w:lineRule="exact"/>
        <w:rPr>
          <w:sz w:val="20"/>
          <w:szCs w:val="20"/>
          <w:color w:val="auto"/>
        </w:rPr>
      </w:pPr>
    </w:p>
    <w:p>
      <w:pPr>
        <w:ind w:right="240"/>
        <w:spacing w:after="0" w:line="274" w:lineRule="auto"/>
        <w:rPr>
          <w:sz w:val="20"/>
          <w:szCs w:val="20"/>
          <w:color w:val="auto"/>
        </w:rPr>
      </w:pPr>
      <w:r>
        <w:rPr>
          <w:rFonts w:ascii="Arial" w:cs="Arial" w:eastAsia="Arial" w:hAnsi="Arial"/>
          <w:sz w:val="14"/>
          <w:szCs w:val="14"/>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September 30, 2018 and December 31, 2017, the fair values of the Convertible Notes were $562.6 million and $503.7 million, respectively, with carrying values of $377.9 million and $369.3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SEGMENT INFORMATION</w:t>
      </w:r>
    </w:p>
    <w:p>
      <w:pPr>
        <w:spacing w:after="0" w:line="98"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 xml:space="preserve">The Company’s reportable operating segments have been determined in accordance with ASC Topic 280, </w:t>
      </w:r>
      <w:r>
        <w:rPr>
          <w:rFonts w:ascii="Arial" w:cs="Arial" w:eastAsia="Arial" w:hAnsi="Arial"/>
          <w:sz w:val="15"/>
          <w:szCs w:val="15"/>
          <w:i w:val="1"/>
          <w:iCs w:val="1"/>
          <w:color w:val="auto"/>
        </w:rPr>
        <w:t>Segment Reporting.</w:t>
      </w:r>
      <w:r>
        <w:rPr>
          <w:rFonts w:ascii="Arial" w:cs="Arial" w:eastAsia="Arial" w:hAnsi="Arial"/>
          <w:sz w:val="15"/>
          <w:szCs w:val="15"/>
          <w:color w:val="auto"/>
        </w:rPr>
        <w:t xml:space="preserve"> The Company currently operates in the following three reportable operating segments:</w:t>
      </w:r>
    </w:p>
    <w:p>
      <w:pPr>
        <w:spacing w:after="0" w:line="59" w:lineRule="exact"/>
        <w:rPr>
          <w:sz w:val="20"/>
          <w:szCs w:val="20"/>
          <w:color w:val="auto"/>
        </w:rPr>
      </w:pPr>
    </w:p>
    <w:p>
      <w:pPr>
        <w:ind w:left="800" w:hanging="525"/>
        <w:spacing w:after="0" w:line="277"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Through the EFT Processing Segment, the Company processes transactions for a network of ATMs and POS terminals across Europe, the Middle East and Asia Pacific and the United States.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55" w:lineRule="exact"/>
        <w:rPr>
          <w:rFonts w:ascii="Arial" w:cs="Arial" w:eastAsia="Arial" w:hAnsi="Arial"/>
          <w:sz w:val="14"/>
          <w:szCs w:val="14"/>
          <w:color w:val="auto"/>
        </w:rPr>
      </w:pPr>
    </w:p>
    <w:p>
      <w:pPr>
        <w:ind w:left="800" w:right="40" w:hanging="525"/>
        <w:spacing w:after="0" w:line="268" w:lineRule="auto"/>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20" w:top="129" w:right="2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800" w:right="60" w:hanging="525"/>
        <w:spacing w:after="0" w:line="297"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44" w:lineRule="exact"/>
        <w:rPr>
          <w:sz w:val="20"/>
          <w:szCs w:val="20"/>
          <w:color w:val="auto"/>
        </w:rPr>
      </w:pPr>
    </w:p>
    <w:p>
      <w:pPr>
        <w:jc w:val="both"/>
        <w:ind w:right="540"/>
        <w:spacing w:after="0" w:line="257" w:lineRule="auto"/>
        <w:rPr>
          <w:sz w:val="20"/>
          <w:szCs w:val="20"/>
          <w:color w:val="auto"/>
        </w:rPr>
      </w:pPr>
      <w:r>
        <w:rPr>
          <w:rFonts w:ascii="Arial" w:cs="Arial" w:eastAsia="Arial" w:hAnsi="Arial"/>
          <w:sz w:val="15"/>
          <w:szCs w:val="15"/>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present the Company’s reportable segment results for the three and nine months ended September 30, 2018 and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8"/>
          </w:tcPr>
          <w:p>
            <w:pPr>
              <w:ind w:left="540"/>
              <w:spacing w:after="0"/>
              <w:rPr>
                <w:sz w:val="20"/>
                <w:szCs w:val="20"/>
                <w:color w:val="auto"/>
              </w:rPr>
            </w:pPr>
            <w:r>
              <w:rPr>
                <w:rFonts w:ascii="Arial" w:cs="Arial" w:eastAsia="Arial" w:hAnsi="Arial"/>
                <w:sz w:val="12"/>
                <w:szCs w:val="12"/>
                <w:b w:val="1"/>
                <w:bCs w:val="1"/>
                <w:color w:val="auto"/>
              </w:rPr>
              <w:t>For the Three Months Ended September 30, 2018</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23"/>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3" w:lineRule="exact"/>
              <w:rPr>
                <w:sz w:val="20"/>
                <w:szCs w:val="20"/>
                <w:color w:val="auto"/>
              </w:rPr>
            </w:pPr>
            <w:r>
              <w:rPr>
                <w:rFonts w:ascii="Arial" w:cs="Arial" w:eastAsia="Arial" w:hAnsi="Arial"/>
                <w:sz w:val="12"/>
                <w:szCs w:val="12"/>
                <w:b w:val="1"/>
                <w:bCs w:val="1"/>
                <w:color w:val="auto"/>
                <w:w w:val="94"/>
              </w:rPr>
              <w:t>Corporate</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87"/>
              </w:rPr>
              <w:t>Services,</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49"/>
              <w:spacing w:after="0" w:line="122" w:lineRule="exact"/>
              <w:rPr>
                <w:sz w:val="20"/>
                <w:szCs w:val="20"/>
                <w:color w:val="auto"/>
              </w:rPr>
            </w:pPr>
            <w:r>
              <w:rPr>
                <w:rFonts w:ascii="Arial" w:cs="Arial" w:eastAsia="Arial" w:hAnsi="Arial"/>
                <w:sz w:val="12"/>
                <w:szCs w:val="12"/>
                <w:b w:val="1"/>
                <w:bCs w:val="1"/>
                <w:color w:val="auto"/>
                <w:w w:val="96"/>
              </w:rPr>
              <w:t>EFT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w w:val="94"/>
              </w:rPr>
              <w:t>Money</w:t>
            </w: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92"/>
              </w:rPr>
              <w:t>Eliminations</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7"/>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83"/>
              </w:rPr>
              <w:t>Processing</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epay</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69"/>
              <w:spacing w:after="0"/>
              <w:rPr>
                <w:sz w:val="20"/>
                <w:szCs w:val="20"/>
                <w:color w:val="auto"/>
              </w:rPr>
            </w:pPr>
            <w:r>
              <w:rPr>
                <w:rFonts w:ascii="Arial" w:cs="Arial" w:eastAsia="Arial" w:hAnsi="Arial"/>
                <w:sz w:val="12"/>
                <w:szCs w:val="12"/>
                <w:b w:val="1"/>
                <w:bCs w:val="1"/>
                <w:color w:val="auto"/>
                <w:w w:val="91"/>
              </w:rPr>
              <w:t>Transfer</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w w:val="91"/>
              </w:rPr>
              <w:t>and Other</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Consolidated</w:t>
            </w:r>
          </w:p>
        </w:tc>
      </w:tr>
      <w:tr>
        <w:trPr>
          <w:trHeight w:val="218"/>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261,736</w:t>
            </w:r>
          </w:p>
        </w:tc>
        <w:tc>
          <w:tcPr>
            <w:tcW w:w="54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185,431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268,291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714,505</w:t>
            </w:r>
          </w:p>
        </w:tc>
      </w:tr>
      <w:tr>
        <w:trPr>
          <w:trHeight w:val="190"/>
        </w:trPr>
        <w:tc>
          <w:tcPr>
            <w:tcW w:w="450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101,763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142,665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144,758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388,236</w:t>
            </w: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21,653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14,491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5"/>
                <w:szCs w:val="15"/>
                <w:color w:val="auto"/>
              </w:rPr>
              <w:t>48,945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5"/>
                <w:szCs w:val="15"/>
                <w:color w:val="auto"/>
              </w:rPr>
              <w:t>8,019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5"/>
                <w:szCs w:val="15"/>
                <w:color w:val="auto"/>
              </w:rPr>
              <w:t>93,108</w:t>
            </w:r>
          </w:p>
        </w:tc>
      </w:tr>
      <w:tr>
        <w:trPr>
          <w:trHeight w:val="23"/>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9,968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32,483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2,109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55,787</w:t>
            </w: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16,694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1,881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5"/>
                <w:szCs w:val="15"/>
                <w:color w:val="auto"/>
              </w:rPr>
              <w:t>7,854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5"/>
                <w:szCs w:val="15"/>
                <w:color w:val="auto"/>
              </w:rPr>
              <w:t>26,461</w:t>
            </w:r>
          </w:p>
        </w:tc>
      </w:tr>
      <w:tr>
        <w:trPr>
          <w:trHeight w:val="23"/>
        </w:trPr>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3"/>
        </w:trPr>
        <w:tc>
          <w:tcPr>
            <w:tcW w:w="4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151,337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169,005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234,040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9,210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563,592</w:t>
            </w:r>
          </w:p>
        </w:tc>
      </w:tr>
      <w:tr>
        <w:trPr>
          <w:trHeight w:val="207"/>
        </w:trPr>
        <w:tc>
          <w:tcPr>
            <w:tcW w:w="4500" w:type="dxa"/>
            <w:vAlign w:val="bottom"/>
            <w:gridSpan w:val="2"/>
          </w:tcPr>
          <w:p>
            <w:pPr>
              <w:ind w:left="500"/>
              <w:spacing w:after="0"/>
              <w:rPr>
                <w:sz w:val="20"/>
                <w:szCs w:val="20"/>
                <w:color w:val="auto"/>
              </w:rPr>
            </w:pPr>
            <w:r>
              <w:rPr>
                <w:rFonts w:ascii="Arial" w:cs="Arial" w:eastAsia="Arial" w:hAnsi="Arial"/>
                <w:sz w:val="15"/>
                <w:szCs w:val="15"/>
                <w:color w:val="auto"/>
              </w:rPr>
              <w:t>Operating income (expense)</w:t>
            </w: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110,399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16,426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34,251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150,913</w:t>
            </w: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ind w:left="540"/>
              <w:spacing w:after="0"/>
              <w:rPr>
                <w:sz w:val="20"/>
                <w:szCs w:val="20"/>
                <w:color w:val="auto"/>
              </w:rPr>
            </w:pPr>
            <w:r>
              <w:rPr>
                <w:rFonts w:ascii="Arial" w:cs="Arial" w:eastAsia="Arial" w:hAnsi="Arial"/>
                <w:sz w:val="12"/>
                <w:szCs w:val="12"/>
                <w:b w:val="1"/>
                <w:bCs w:val="1"/>
                <w:color w:val="auto"/>
              </w:rPr>
              <w:t>For the Three Months Ended September 30, 2017</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23"/>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3" w:lineRule="exact"/>
              <w:rPr>
                <w:sz w:val="20"/>
                <w:szCs w:val="20"/>
                <w:color w:val="auto"/>
              </w:rPr>
            </w:pPr>
            <w:r>
              <w:rPr>
                <w:rFonts w:ascii="Arial" w:cs="Arial" w:eastAsia="Arial" w:hAnsi="Arial"/>
                <w:sz w:val="12"/>
                <w:szCs w:val="12"/>
                <w:b w:val="1"/>
                <w:bCs w:val="1"/>
                <w:color w:val="auto"/>
                <w:w w:val="94"/>
              </w:rPr>
              <w:t>Corporate</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87"/>
              </w:rPr>
              <w:t>Services,</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49"/>
              <w:spacing w:after="0" w:line="122" w:lineRule="exact"/>
              <w:rPr>
                <w:sz w:val="20"/>
                <w:szCs w:val="20"/>
                <w:color w:val="auto"/>
              </w:rPr>
            </w:pPr>
            <w:r>
              <w:rPr>
                <w:rFonts w:ascii="Arial" w:cs="Arial" w:eastAsia="Arial" w:hAnsi="Arial"/>
                <w:sz w:val="12"/>
                <w:szCs w:val="12"/>
                <w:b w:val="1"/>
                <w:bCs w:val="1"/>
                <w:color w:val="auto"/>
                <w:w w:val="96"/>
              </w:rPr>
              <w:t>EFT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40"/>
              <w:spacing w:after="0" w:line="122" w:lineRule="exact"/>
              <w:rPr>
                <w:sz w:val="20"/>
                <w:szCs w:val="20"/>
                <w:color w:val="auto"/>
              </w:rPr>
            </w:pPr>
            <w:r>
              <w:rPr>
                <w:rFonts w:ascii="Arial" w:cs="Arial" w:eastAsia="Arial" w:hAnsi="Arial"/>
                <w:sz w:val="12"/>
                <w:szCs w:val="12"/>
                <w:b w:val="1"/>
                <w:bCs w:val="1"/>
                <w:color w:val="auto"/>
                <w:w w:val="94"/>
              </w:rPr>
              <w:t>Money</w:t>
            </w: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92"/>
              </w:rPr>
              <w:t>Eliminations</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7"/>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83"/>
              </w:rPr>
              <w:t>Processing</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epay</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69"/>
              <w:spacing w:after="0"/>
              <w:rPr>
                <w:sz w:val="20"/>
                <w:szCs w:val="20"/>
                <w:color w:val="auto"/>
              </w:rPr>
            </w:pPr>
            <w:r>
              <w:rPr>
                <w:rFonts w:ascii="Arial" w:cs="Arial" w:eastAsia="Arial" w:hAnsi="Arial"/>
                <w:sz w:val="12"/>
                <w:szCs w:val="12"/>
                <w:b w:val="1"/>
                <w:bCs w:val="1"/>
                <w:color w:val="auto"/>
                <w:w w:val="91"/>
              </w:rPr>
              <w:t>Transfer</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w w:val="91"/>
              </w:rPr>
              <w:t>and Other</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Consolidated</w:t>
            </w:r>
          </w:p>
        </w:tc>
      </w:tr>
      <w:tr>
        <w:trPr>
          <w:trHeight w:val="218"/>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226,321</w:t>
            </w:r>
          </w:p>
        </w:tc>
        <w:tc>
          <w:tcPr>
            <w:tcW w:w="54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184,234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228,105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637,834</w:t>
            </w:r>
          </w:p>
        </w:tc>
      </w:tr>
      <w:tr>
        <w:trPr>
          <w:trHeight w:val="190"/>
        </w:trPr>
        <w:tc>
          <w:tcPr>
            <w:tcW w:w="450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
        </w:trPr>
        <w:tc>
          <w:tcPr>
            <w:tcW w:w="4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99,024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143,023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123,588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364,815</w:t>
            </w: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16,817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13,955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5"/>
                <w:szCs w:val="15"/>
                <w:color w:val="auto"/>
              </w:rPr>
              <w:t>44,110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5"/>
                <w:szCs w:val="15"/>
                <w:color w:val="auto"/>
              </w:rPr>
              <w:t>7,252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5"/>
                <w:szCs w:val="15"/>
                <w:color w:val="auto"/>
              </w:rPr>
              <w:t>82,134</w:t>
            </w:r>
          </w:p>
        </w:tc>
      </w:tr>
      <w:tr>
        <w:trPr>
          <w:trHeight w:val="23"/>
        </w:trPr>
        <w:tc>
          <w:tcPr>
            <w:tcW w:w="4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9,145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28,648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2,608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49,279</w:t>
            </w: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2,461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5"/>
                <w:szCs w:val="15"/>
                <w:color w:val="auto"/>
              </w:rPr>
              <w:t>7,403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5"/>
                <w:szCs w:val="15"/>
                <w:color w:val="auto"/>
              </w:rPr>
              <w:t>24,705</w:t>
            </w:r>
          </w:p>
        </w:tc>
      </w:tr>
      <w:tr>
        <w:trPr>
          <w:trHeight w:val="23"/>
        </w:trPr>
        <w:tc>
          <w:tcPr>
            <w:tcW w:w="450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3"/>
        </w:trPr>
        <w:tc>
          <w:tcPr>
            <w:tcW w:w="4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139,524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168,584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203,749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9,076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520,933</w:t>
            </w:r>
          </w:p>
        </w:tc>
      </w:tr>
      <w:tr>
        <w:trPr>
          <w:trHeight w:val="207"/>
        </w:trPr>
        <w:tc>
          <w:tcPr>
            <w:tcW w:w="4500" w:type="dxa"/>
            <w:vAlign w:val="bottom"/>
            <w:gridSpan w:val="2"/>
          </w:tcPr>
          <w:p>
            <w:pPr>
              <w:ind w:left="500"/>
              <w:spacing w:after="0"/>
              <w:rPr>
                <w:sz w:val="20"/>
                <w:szCs w:val="20"/>
                <w:color w:val="auto"/>
              </w:rPr>
            </w:pPr>
            <w:r>
              <w:rPr>
                <w:rFonts w:ascii="Arial" w:cs="Arial" w:eastAsia="Arial" w:hAnsi="Arial"/>
                <w:sz w:val="15"/>
                <w:szCs w:val="15"/>
                <w:color w:val="auto"/>
              </w:rPr>
              <w:t>Operating income (expense)</w:t>
            </w: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86,797</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15,650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24,356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(9,902)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116,901</w:t>
            </w: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6"/>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17</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17"/>
          </w:tcPr>
          <w:p>
            <w:pPr>
              <w:jc w:val="right"/>
              <w:spacing w:after="0"/>
              <w:rPr>
                <w:sz w:val="20"/>
                <w:szCs w:val="20"/>
                <w:color w:val="auto"/>
              </w:rPr>
            </w:pPr>
            <w:r>
              <w:rPr>
                <w:rFonts w:ascii="Arial" w:cs="Arial" w:eastAsia="Arial" w:hAnsi="Arial"/>
                <w:sz w:val="12"/>
                <w:szCs w:val="12"/>
                <w:b w:val="1"/>
                <w:bCs w:val="1"/>
                <w:color w:val="auto"/>
                <w:w w:val="92"/>
              </w:rPr>
              <w:t>For the Nine Months Ended September 30, 2018</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5"/>
          </w:tcPr>
          <w:p>
            <w:pPr>
              <w:jc w:val="center"/>
              <w:ind w:right="480"/>
              <w:spacing w:after="0" w:line="123" w:lineRule="exact"/>
              <w:rPr>
                <w:sz w:val="20"/>
                <w:szCs w:val="20"/>
                <w:color w:val="auto"/>
              </w:rPr>
            </w:pPr>
            <w:r>
              <w:rPr>
                <w:rFonts w:ascii="Arial" w:cs="Arial" w:eastAsia="Arial" w:hAnsi="Arial"/>
                <w:sz w:val="12"/>
                <w:szCs w:val="12"/>
                <w:b w:val="1"/>
                <w:bCs w:val="1"/>
                <w:color w:val="auto"/>
                <w:w w:val="94"/>
              </w:rPr>
              <w:t>Corporate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5"/>
          </w:tcPr>
          <w:p>
            <w:pPr>
              <w:jc w:val="center"/>
              <w:ind w:right="480"/>
              <w:spacing w:after="0" w:line="122" w:lineRule="exact"/>
              <w:rPr>
                <w:sz w:val="20"/>
                <w:szCs w:val="20"/>
                <w:color w:val="auto"/>
              </w:rPr>
            </w:pPr>
            <w:r>
              <w:rPr>
                <w:rFonts w:ascii="Arial" w:cs="Arial" w:eastAsia="Arial" w:hAnsi="Arial"/>
                <w:sz w:val="12"/>
                <w:szCs w:val="12"/>
                <w:b w:val="1"/>
                <w:bCs w:val="1"/>
                <w:color w:val="auto"/>
                <w:w w:val="87"/>
              </w:rPr>
              <w:t>Services,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640"/>
              <w:spacing w:after="0" w:line="122" w:lineRule="exact"/>
              <w:rPr>
                <w:sz w:val="20"/>
                <w:szCs w:val="20"/>
                <w:color w:val="auto"/>
              </w:rPr>
            </w:pPr>
            <w:r>
              <w:rPr>
                <w:rFonts w:ascii="Arial" w:cs="Arial" w:eastAsia="Arial" w:hAnsi="Arial"/>
                <w:sz w:val="12"/>
                <w:szCs w:val="12"/>
                <w:b w:val="1"/>
                <w:bCs w:val="1"/>
                <w:color w:val="auto"/>
              </w:rPr>
              <w:t>EFT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5"/>
          </w:tcPr>
          <w:p>
            <w:pPr>
              <w:jc w:val="center"/>
              <w:ind w:right="540"/>
              <w:spacing w:after="0" w:line="122" w:lineRule="exact"/>
              <w:rPr>
                <w:sz w:val="20"/>
                <w:szCs w:val="20"/>
                <w:color w:val="auto"/>
              </w:rPr>
            </w:pPr>
            <w:r>
              <w:rPr>
                <w:rFonts w:ascii="Arial" w:cs="Arial" w:eastAsia="Arial" w:hAnsi="Arial"/>
                <w:sz w:val="12"/>
                <w:szCs w:val="12"/>
                <w:b w:val="1"/>
                <w:bCs w:val="1"/>
                <w:color w:val="auto"/>
                <w:w w:val="94"/>
              </w:rPr>
              <w:t>Money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6"/>
          </w:tcPr>
          <w:p>
            <w:pPr>
              <w:jc w:val="center"/>
              <w:ind w:right="380"/>
              <w:spacing w:after="0" w:line="122" w:lineRule="exact"/>
              <w:rPr>
                <w:sz w:val="20"/>
                <w:szCs w:val="20"/>
                <w:color w:val="auto"/>
              </w:rPr>
            </w:pPr>
            <w:r>
              <w:rPr>
                <w:rFonts w:ascii="Arial" w:cs="Arial" w:eastAsia="Arial" w:hAnsi="Arial"/>
                <w:sz w:val="12"/>
                <w:szCs w:val="12"/>
                <w:b w:val="1"/>
                <w:bCs w:val="1"/>
                <w:color w:val="auto"/>
                <w:w w:val="92"/>
              </w:rPr>
              <w:t>Eliminations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thousands)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2"/>
                <w:szCs w:val="12"/>
                <w:b w:val="1"/>
                <w:bCs w:val="1"/>
                <w:color w:val="auto"/>
                <w:w w:val="83"/>
              </w:rPr>
              <w:t>Processing</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0"/>
              </w:rPr>
              <w:t>epay</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right="287"/>
              <w:spacing w:after="0"/>
              <w:rPr>
                <w:sz w:val="20"/>
                <w:szCs w:val="20"/>
                <w:color w:val="auto"/>
              </w:rPr>
            </w:pPr>
            <w:r>
              <w:rPr>
                <w:rFonts w:ascii="Arial" w:cs="Arial" w:eastAsia="Arial" w:hAnsi="Arial"/>
                <w:sz w:val="12"/>
                <w:szCs w:val="12"/>
                <w:b w:val="1"/>
                <w:bCs w:val="1"/>
                <w:color w:val="auto"/>
                <w:w w:val="91"/>
              </w:rPr>
              <w:t>Transfer</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center"/>
              <w:ind w:right="269"/>
              <w:spacing w:after="0"/>
              <w:rPr>
                <w:sz w:val="20"/>
                <w:szCs w:val="20"/>
                <w:color w:val="auto"/>
              </w:rPr>
            </w:pPr>
            <w:r>
              <w:rPr>
                <w:rFonts w:ascii="Arial" w:cs="Arial" w:eastAsia="Arial" w:hAnsi="Arial"/>
                <w:sz w:val="12"/>
                <w:szCs w:val="12"/>
                <w:b w:val="1"/>
                <w:bCs w:val="1"/>
                <w:color w:val="auto"/>
                <w:w w:val="91"/>
              </w:rPr>
              <w:t>and Other</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327"/>
              <w:spacing w:after="0"/>
              <w:rPr>
                <w:sz w:val="20"/>
                <w:szCs w:val="20"/>
                <w:color w:val="auto"/>
              </w:rPr>
            </w:pPr>
            <w:r>
              <w:rPr>
                <w:rFonts w:ascii="Arial" w:cs="Arial" w:eastAsia="Arial" w:hAnsi="Arial"/>
                <w:sz w:val="12"/>
                <w:szCs w:val="12"/>
                <w:b w:val="1"/>
                <w:bCs w:val="1"/>
                <w:color w:val="auto"/>
                <w:w w:val="94"/>
              </w:rPr>
              <w:t>Consolidated</w:t>
            </w:r>
          </w:p>
        </w:tc>
        <w:tc>
          <w:tcPr>
            <w:tcW w:w="0" w:type="dxa"/>
            <w:vAlign w:val="bottom"/>
          </w:tcPr>
          <w:p>
            <w:pPr>
              <w:spacing w:after="0"/>
              <w:rPr>
                <w:sz w:val="1"/>
                <w:szCs w:val="1"/>
                <w:color w:val="auto"/>
              </w:rPr>
            </w:pPr>
          </w:p>
        </w:tc>
      </w:tr>
      <w:tr>
        <w:trPr>
          <w:trHeight w:val="218"/>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592,333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4"/>
            <w:shd w:val="clear" w:color="auto" w:fill="CCEEFF"/>
          </w:tcPr>
          <w:p>
            <w:pPr>
              <w:jc w:val="right"/>
              <w:ind w:right="49"/>
              <w:spacing w:after="0"/>
              <w:rPr>
                <w:sz w:val="20"/>
                <w:szCs w:val="20"/>
                <w:color w:val="auto"/>
              </w:rPr>
            </w:pPr>
            <w:r>
              <w:rPr>
                <w:rFonts w:ascii="Arial" w:cs="Arial" w:eastAsia="Arial" w:hAnsi="Arial"/>
                <w:sz w:val="15"/>
                <w:szCs w:val="15"/>
                <w:color w:val="auto"/>
              </w:rPr>
              <w:t>528,739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4"/>
              </w:rPr>
              <w:t>768,943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1,887,244</w:t>
            </w:r>
          </w:p>
        </w:tc>
        <w:tc>
          <w:tcPr>
            <w:tcW w:w="0" w:type="dxa"/>
            <w:vAlign w:val="bottom"/>
          </w:tcPr>
          <w:p>
            <w:pPr>
              <w:spacing w:after="0"/>
              <w:rPr>
                <w:sz w:val="1"/>
                <w:szCs w:val="1"/>
                <w:color w:val="auto"/>
              </w:rPr>
            </w:pPr>
          </w:p>
        </w:tc>
      </w:tr>
      <w:tr>
        <w:trPr>
          <w:trHeight w:val="190"/>
        </w:trPr>
        <w:tc>
          <w:tcPr>
            <w:tcW w:w="450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279,927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4"/>
            <w:shd w:val="clear" w:color="auto" w:fill="CCEEFF"/>
          </w:tcPr>
          <w:p>
            <w:pPr>
              <w:jc w:val="right"/>
              <w:ind w:right="49"/>
              <w:spacing w:after="0"/>
              <w:rPr>
                <w:sz w:val="20"/>
                <w:szCs w:val="20"/>
                <w:color w:val="auto"/>
              </w:rPr>
            </w:pPr>
            <w:r>
              <w:rPr>
                <w:rFonts w:ascii="Arial" w:cs="Arial" w:eastAsia="Arial" w:hAnsi="Arial"/>
                <w:sz w:val="15"/>
                <w:szCs w:val="15"/>
                <w:color w:val="auto"/>
              </w:rPr>
              <w:t>403,010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4"/>
              </w:rPr>
              <w:t>412,895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(2,760)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1,093,072</w:t>
            </w:r>
          </w:p>
        </w:tc>
        <w:tc>
          <w:tcPr>
            <w:tcW w:w="0" w:type="dxa"/>
            <w:vAlign w:val="bottom"/>
          </w:tcPr>
          <w:p>
            <w:pPr>
              <w:spacing w:after="0"/>
              <w:rPr>
                <w:sz w:val="1"/>
                <w:szCs w:val="1"/>
                <w:color w:val="auto"/>
              </w:rPr>
            </w:pP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57,704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4"/>
          </w:tcPr>
          <w:p>
            <w:pPr>
              <w:jc w:val="right"/>
              <w:ind w:right="49"/>
              <w:spacing w:after="0"/>
              <w:rPr>
                <w:sz w:val="20"/>
                <w:szCs w:val="20"/>
                <w:color w:val="auto"/>
              </w:rPr>
            </w:pPr>
            <w:r>
              <w:rPr>
                <w:rFonts w:ascii="Arial" w:cs="Arial" w:eastAsia="Arial" w:hAnsi="Arial"/>
                <w:sz w:val="15"/>
                <w:szCs w:val="15"/>
                <w:color w:val="auto"/>
              </w:rPr>
              <w:t>43,235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47"/>
              <w:spacing w:after="0"/>
              <w:rPr>
                <w:sz w:val="20"/>
                <w:szCs w:val="20"/>
                <w:color w:val="auto"/>
              </w:rPr>
            </w:pPr>
            <w:r>
              <w:rPr>
                <w:rFonts w:ascii="Arial" w:cs="Arial" w:eastAsia="Arial" w:hAnsi="Arial"/>
                <w:sz w:val="15"/>
                <w:szCs w:val="15"/>
                <w:color w:val="auto"/>
                <w:w w:val="84"/>
              </w:rPr>
              <w:t>145,420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9"/>
              <w:spacing w:after="0"/>
              <w:rPr>
                <w:sz w:val="20"/>
                <w:szCs w:val="20"/>
                <w:color w:val="auto"/>
              </w:rPr>
            </w:pPr>
            <w:r>
              <w:rPr>
                <w:rFonts w:ascii="Arial" w:cs="Arial" w:eastAsia="Arial" w:hAnsi="Arial"/>
                <w:sz w:val="15"/>
                <w:szCs w:val="15"/>
                <w:color w:val="auto"/>
              </w:rPr>
              <w:t>24,178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270,537</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30,557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4"/>
            <w:shd w:val="clear" w:color="auto" w:fill="CCEEFF"/>
          </w:tcPr>
          <w:p>
            <w:pPr>
              <w:jc w:val="right"/>
              <w:ind w:right="49"/>
              <w:spacing w:after="0"/>
              <w:rPr>
                <w:sz w:val="20"/>
                <w:szCs w:val="20"/>
                <w:color w:val="auto"/>
              </w:rPr>
            </w:pPr>
            <w:r>
              <w:rPr>
                <w:rFonts w:ascii="Arial" w:cs="Arial" w:eastAsia="Arial" w:hAnsi="Arial"/>
                <w:sz w:val="15"/>
                <w:szCs w:val="15"/>
                <w:color w:val="auto"/>
              </w:rPr>
              <w:t>27,191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93,610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6,798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158,156</w:t>
            </w:r>
          </w:p>
        </w:tc>
        <w:tc>
          <w:tcPr>
            <w:tcW w:w="0" w:type="dxa"/>
            <w:vAlign w:val="bottom"/>
          </w:tcPr>
          <w:p>
            <w:pPr>
              <w:spacing w:after="0"/>
              <w:rPr>
                <w:sz w:val="1"/>
                <w:szCs w:val="1"/>
                <w:color w:val="auto"/>
              </w:rPr>
            </w:pP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49,277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49"/>
              <w:spacing w:after="0"/>
              <w:rPr>
                <w:sz w:val="20"/>
                <w:szCs w:val="20"/>
                <w:color w:val="auto"/>
              </w:rPr>
            </w:pPr>
            <w:r>
              <w:rPr>
                <w:rFonts w:ascii="Arial" w:cs="Arial" w:eastAsia="Arial" w:hAnsi="Arial"/>
                <w:sz w:val="15"/>
                <w:szCs w:val="15"/>
                <w:color w:val="auto"/>
                <w:w w:val="90"/>
              </w:rPr>
              <w:t>5,653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47"/>
              <w:spacing w:after="0"/>
              <w:rPr>
                <w:sz w:val="20"/>
                <w:szCs w:val="20"/>
                <w:color w:val="auto"/>
              </w:rPr>
            </w:pPr>
            <w:r>
              <w:rPr>
                <w:rFonts w:ascii="Arial" w:cs="Arial" w:eastAsia="Arial" w:hAnsi="Arial"/>
                <w:sz w:val="15"/>
                <w:szCs w:val="15"/>
                <w:color w:val="auto"/>
              </w:rPr>
              <w:t>23,702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9"/>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78,726</w:t>
            </w:r>
          </w:p>
        </w:tc>
        <w:tc>
          <w:tcPr>
            <w:tcW w:w="0" w:type="dxa"/>
            <w:vAlign w:val="bottom"/>
          </w:tcPr>
          <w:p>
            <w:pPr>
              <w:spacing w:after="0"/>
              <w:rPr>
                <w:sz w:val="1"/>
                <w:szCs w:val="1"/>
                <w:color w:val="auto"/>
              </w:rPr>
            </w:pPr>
          </w:p>
        </w:tc>
      </w:tr>
      <w:tr>
        <w:trPr>
          <w:trHeight w:val="23"/>
        </w:trPr>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417,465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4"/>
            <w:shd w:val="clear" w:color="auto" w:fill="CCEEFF"/>
          </w:tcPr>
          <w:p>
            <w:pPr>
              <w:jc w:val="right"/>
              <w:ind w:right="49"/>
              <w:spacing w:after="0"/>
              <w:rPr>
                <w:sz w:val="20"/>
                <w:szCs w:val="20"/>
                <w:color w:val="auto"/>
              </w:rPr>
            </w:pPr>
            <w:r>
              <w:rPr>
                <w:rFonts w:ascii="Arial" w:cs="Arial" w:eastAsia="Arial" w:hAnsi="Arial"/>
                <w:sz w:val="15"/>
                <w:szCs w:val="15"/>
                <w:color w:val="auto"/>
              </w:rPr>
              <w:t>479,089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4"/>
              </w:rPr>
              <w:t>675,627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28,310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1,600,491</w:t>
            </w:r>
          </w:p>
        </w:tc>
        <w:tc>
          <w:tcPr>
            <w:tcW w:w="0" w:type="dxa"/>
            <w:vAlign w:val="bottom"/>
          </w:tcPr>
          <w:p>
            <w:pPr>
              <w:spacing w:after="0"/>
              <w:rPr>
                <w:sz w:val="1"/>
                <w:szCs w:val="1"/>
                <w:color w:val="auto"/>
              </w:rPr>
            </w:pPr>
          </w:p>
        </w:tc>
      </w:tr>
      <w:tr>
        <w:trPr>
          <w:trHeight w:val="207"/>
        </w:trPr>
        <w:tc>
          <w:tcPr>
            <w:tcW w:w="4500" w:type="dxa"/>
            <w:vAlign w:val="bottom"/>
            <w:gridSpan w:val="2"/>
          </w:tcPr>
          <w:p>
            <w:pPr>
              <w:ind w:left="500"/>
              <w:spacing w:after="0"/>
              <w:rPr>
                <w:sz w:val="20"/>
                <w:szCs w:val="20"/>
                <w:color w:val="auto"/>
              </w:rPr>
            </w:pPr>
            <w:r>
              <w:rPr>
                <w:rFonts w:ascii="Arial" w:cs="Arial" w:eastAsia="Arial" w:hAnsi="Arial"/>
                <w:sz w:val="15"/>
                <w:szCs w:val="15"/>
                <w:color w:val="auto"/>
              </w:rPr>
              <w:t>Operating income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174,868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4"/>
          </w:tcPr>
          <w:p>
            <w:pPr>
              <w:jc w:val="right"/>
              <w:ind w:right="49"/>
              <w:spacing w:after="0"/>
              <w:rPr>
                <w:sz w:val="20"/>
                <w:szCs w:val="20"/>
                <w:color w:val="auto"/>
              </w:rPr>
            </w:pPr>
            <w:r>
              <w:rPr>
                <w:rFonts w:ascii="Arial" w:cs="Arial" w:eastAsia="Arial" w:hAnsi="Arial"/>
                <w:sz w:val="15"/>
                <w:szCs w:val="15"/>
                <w:color w:val="auto"/>
              </w:rPr>
              <w:t>49,650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93,316</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(31,081)</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286,753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0"/>
          </w:tcPr>
          <w:p>
            <w:pPr>
              <w:jc w:val="right"/>
              <w:ind w:right="680"/>
              <w:spacing w:after="0"/>
              <w:rPr>
                <w:sz w:val="20"/>
                <w:szCs w:val="20"/>
                <w:color w:val="auto"/>
              </w:rPr>
            </w:pPr>
            <w:r>
              <w:rPr>
                <w:rFonts w:ascii="Arial" w:cs="Arial" w:eastAsia="Arial" w:hAnsi="Arial"/>
                <w:sz w:val="12"/>
                <w:szCs w:val="12"/>
                <w:b w:val="1"/>
                <w:bCs w:val="1"/>
                <w:color w:val="auto"/>
                <w:w w:val="96"/>
              </w:rPr>
              <w:t>For the Nine Months Ended September 30, 2017</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260"/>
              <w:spacing w:after="0" w:line="123" w:lineRule="exact"/>
              <w:rPr>
                <w:sz w:val="20"/>
                <w:szCs w:val="20"/>
                <w:color w:val="auto"/>
              </w:rPr>
            </w:pPr>
            <w:r>
              <w:rPr>
                <w:rFonts w:ascii="Arial" w:cs="Arial" w:eastAsia="Arial" w:hAnsi="Arial"/>
                <w:sz w:val="12"/>
                <w:szCs w:val="12"/>
                <w:b w:val="1"/>
                <w:bCs w:val="1"/>
                <w:color w:val="auto"/>
                <w:w w:val="90"/>
              </w:rPr>
              <w:t>Corporate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260"/>
              <w:spacing w:after="0" w:line="122" w:lineRule="exact"/>
              <w:rPr>
                <w:sz w:val="20"/>
                <w:szCs w:val="20"/>
                <w:color w:val="auto"/>
              </w:rPr>
            </w:pPr>
            <w:r>
              <w:rPr>
                <w:rFonts w:ascii="Arial" w:cs="Arial" w:eastAsia="Arial" w:hAnsi="Arial"/>
                <w:sz w:val="12"/>
                <w:szCs w:val="12"/>
                <w:b w:val="1"/>
                <w:bCs w:val="1"/>
                <w:color w:val="auto"/>
                <w:w w:val="83"/>
              </w:rPr>
              <w:t>Services,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420"/>
              <w:spacing w:after="0" w:line="122" w:lineRule="exact"/>
              <w:rPr>
                <w:sz w:val="20"/>
                <w:szCs w:val="20"/>
                <w:color w:val="auto"/>
              </w:rPr>
            </w:pPr>
            <w:r>
              <w:rPr>
                <w:rFonts w:ascii="Arial" w:cs="Arial" w:eastAsia="Arial" w:hAnsi="Arial"/>
                <w:sz w:val="12"/>
                <w:szCs w:val="12"/>
                <w:b w:val="1"/>
                <w:bCs w:val="1"/>
                <w:color w:val="auto"/>
              </w:rPr>
              <w:t>EFT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right"/>
              <w:ind w:right="340"/>
              <w:spacing w:after="0" w:line="122" w:lineRule="exact"/>
              <w:rPr>
                <w:sz w:val="20"/>
                <w:szCs w:val="20"/>
                <w:color w:val="auto"/>
              </w:rPr>
            </w:pPr>
            <w:r>
              <w:rPr>
                <w:rFonts w:ascii="Arial" w:cs="Arial" w:eastAsia="Arial" w:hAnsi="Arial"/>
                <w:sz w:val="12"/>
                <w:szCs w:val="12"/>
                <w:b w:val="1"/>
                <w:bCs w:val="1"/>
                <w:color w:val="auto"/>
                <w:w w:val="94"/>
              </w:rPr>
              <w:t>Money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right="120"/>
              <w:spacing w:after="0" w:line="122" w:lineRule="exact"/>
              <w:rPr>
                <w:sz w:val="20"/>
                <w:szCs w:val="20"/>
                <w:color w:val="auto"/>
              </w:rPr>
            </w:pPr>
            <w:r>
              <w:rPr>
                <w:rFonts w:ascii="Arial" w:cs="Arial" w:eastAsia="Arial" w:hAnsi="Arial"/>
                <w:sz w:val="12"/>
                <w:szCs w:val="12"/>
                <w:b w:val="1"/>
                <w:bCs w:val="1"/>
                <w:color w:val="auto"/>
                <w:w w:val="89"/>
              </w:rPr>
              <w:t>Eliminations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(in thousands)</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Processing</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epay</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2"/>
                <w:szCs w:val="12"/>
                <w:b w:val="1"/>
                <w:bCs w:val="1"/>
                <w:color w:val="auto"/>
                <w:w w:val="99"/>
              </w:rPr>
              <w:t>Transfer</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2"/>
                <w:szCs w:val="12"/>
                <w:b w:val="1"/>
                <w:bCs w:val="1"/>
                <w:color w:val="auto"/>
                <w:w w:val="91"/>
              </w:rPr>
              <w:t>and Other</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218"/>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488,030</w:t>
            </w:r>
          </w:p>
        </w:tc>
        <w:tc>
          <w:tcPr>
            <w:tcW w:w="520" w:type="dxa"/>
            <w:vAlign w:val="bottom"/>
            <w:tcBorders>
              <w:bottom w:val="single" w:sz="8" w:color="CCEEFF"/>
            </w:tcBorders>
            <w:gridSpan w:val="3"/>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512,531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649,205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(1,989)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1,647,777</w:t>
            </w:r>
          </w:p>
        </w:tc>
        <w:tc>
          <w:tcPr>
            <w:tcW w:w="0" w:type="dxa"/>
            <w:vAlign w:val="bottom"/>
          </w:tcPr>
          <w:p>
            <w:pPr>
              <w:spacing w:after="0"/>
              <w:rPr>
                <w:sz w:val="1"/>
                <w:szCs w:val="1"/>
                <w:color w:val="auto"/>
              </w:rPr>
            </w:pPr>
          </w:p>
        </w:tc>
      </w:tr>
      <w:tr>
        <w:trPr>
          <w:trHeight w:val="190"/>
        </w:trPr>
        <w:tc>
          <w:tcPr>
            <w:tcW w:w="450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238,753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393,269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348,724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(1,978)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978,768</w:t>
            </w:r>
          </w:p>
        </w:tc>
        <w:tc>
          <w:tcPr>
            <w:tcW w:w="0" w:type="dxa"/>
            <w:vAlign w:val="bottom"/>
          </w:tcPr>
          <w:p>
            <w:pPr>
              <w:spacing w:after="0"/>
              <w:rPr>
                <w:sz w:val="1"/>
                <w:szCs w:val="1"/>
                <w:color w:val="auto"/>
              </w:rPr>
            </w:pP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46,125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39,606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125,273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5"/>
                <w:szCs w:val="15"/>
                <w:color w:val="auto"/>
              </w:rPr>
              <w:t>21,613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232,617</w:t>
            </w:r>
          </w:p>
        </w:tc>
        <w:tc>
          <w:tcPr>
            <w:tcW w:w="0" w:type="dxa"/>
            <w:vAlign w:val="bottom"/>
          </w:tcPr>
          <w:p>
            <w:pPr>
              <w:spacing w:after="0"/>
              <w:rPr>
                <w:sz w:val="1"/>
                <w:szCs w:val="1"/>
                <w:color w:val="auto"/>
              </w:rPr>
            </w:pPr>
          </w:p>
        </w:tc>
      </w:tr>
      <w:tr>
        <w:trPr>
          <w:trHeight w:val="23"/>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23,960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27,628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77,912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10,208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139,708</w:t>
            </w:r>
          </w:p>
        </w:tc>
        <w:tc>
          <w:tcPr>
            <w:tcW w:w="0" w:type="dxa"/>
            <w:vAlign w:val="bottom"/>
          </w:tcPr>
          <w:p>
            <w:pPr>
              <w:spacing w:after="0"/>
              <w:rPr>
                <w:sz w:val="1"/>
                <w:szCs w:val="1"/>
                <w:color w:val="auto"/>
              </w:rPr>
            </w:pPr>
          </w:p>
        </w:tc>
      </w:tr>
      <w:tr>
        <w:trPr>
          <w:trHeight w:val="199"/>
        </w:trPr>
        <w:tc>
          <w:tcPr>
            <w:tcW w:w="4500" w:type="dxa"/>
            <w:vAlign w:val="bottom"/>
            <w:gridSpan w:val="2"/>
          </w:tcPr>
          <w:p>
            <w:pPr>
              <w:ind w:left="140"/>
              <w:spacing w:after="0"/>
              <w:rPr>
                <w:sz w:val="20"/>
                <w:szCs w:val="20"/>
                <w:color w:val="auto"/>
              </w:rPr>
            </w:pPr>
            <w:r>
              <w:rPr>
                <w:rFonts w:ascii="Arial" w:cs="Arial" w:eastAsia="Arial" w:hAnsi="Arial"/>
                <w:sz w:val="15"/>
                <w:szCs w:val="15"/>
                <w:color w:val="auto"/>
              </w:rPr>
              <w:t>Acquired intangible assets impairment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2,286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ind w:right="47"/>
              <w:spacing w:after="0"/>
              <w:rPr>
                <w:sz w:val="20"/>
                <w:szCs w:val="20"/>
                <w:color w:val="auto"/>
              </w:rPr>
            </w:pPr>
            <w:r>
              <w:rPr>
                <w:rFonts w:ascii="Arial" w:cs="Arial" w:eastAsia="Arial" w:hAnsi="Arial"/>
                <w:sz w:val="15"/>
                <w:szCs w:val="15"/>
                <w:color w:val="auto"/>
              </w:rPr>
              <w:t>2,286</w:t>
            </w:r>
          </w:p>
        </w:tc>
        <w:tc>
          <w:tcPr>
            <w:tcW w:w="0" w:type="dxa"/>
            <w:vAlign w:val="bottom"/>
          </w:tcPr>
          <w:p>
            <w:pPr>
              <w:spacing w:after="0"/>
              <w:rPr>
                <w:sz w:val="1"/>
                <w:szCs w:val="1"/>
                <w:color w:val="auto"/>
              </w:rPr>
            </w:pPr>
          </w:p>
        </w:tc>
      </w:tr>
      <w:tr>
        <w:trPr>
          <w:trHeight w:val="178"/>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39,816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21,941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69,520</w:t>
            </w:r>
          </w:p>
        </w:tc>
        <w:tc>
          <w:tcPr>
            <w:tcW w:w="0" w:type="dxa"/>
            <w:vAlign w:val="bottom"/>
          </w:tcPr>
          <w:p>
            <w:pPr>
              <w:spacing w:after="0"/>
              <w:rPr>
                <w:sz w:val="1"/>
                <w:szCs w:val="1"/>
                <w:color w:val="auto"/>
              </w:rPr>
            </w:pPr>
          </w:p>
        </w:tc>
      </w:tr>
      <w:tr>
        <w:trPr>
          <w:trHeight w:val="190"/>
        </w:trPr>
        <w:tc>
          <w:tcPr>
            <w:tcW w:w="4500" w:type="dxa"/>
            <w:vAlign w:val="bottom"/>
            <w:gridSpan w:val="2"/>
          </w:tcPr>
          <w:p>
            <w:pPr>
              <w:ind w:left="320"/>
              <w:spacing w:after="0"/>
              <w:rPr>
                <w:sz w:val="20"/>
                <w:szCs w:val="20"/>
                <w:color w:val="auto"/>
              </w:rPr>
            </w:pPr>
            <w:r>
              <w:rPr>
                <w:rFonts w:ascii="Arial" w:cs="Arial" w:eastAsia="Arial" w:hAnsi="Arial"/>
                <w:sz w:val="15"/>
                <w:szCs w:val="15"/>
                <w:color w:val="auto"/>
              </w:rPr>
              <w:t>Total operating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350,940</w:t>
            </w: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468,170</w:t>
            </w: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573,850</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29,939</w:t>
            </w: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1,422,899</w:t>
            </w:r>
          </w:p>
        </w:tc>
        <w:tc>
          <w:tcPr>
            <w:tcW w:w="0" w:type="dxa"/>
            <w:vAlign w:val="bottom"/>
          </w:tcPr>
          <w:p>
            <w:pPr>
              <w:spacing w:after="0"/>
              <w:rPr>
                <w:sz w:val="1"/>
                <w:szCs w:val="1"/>
                <w:color w:val="auto"/>
              </w:rPr>
            </w:pPr>
          </w:p>
        </w:tc>
      </w:tr>
      <w:tr>
        <w:trPr>
          <w:trHeight w:val="23"/>
        </w:trPr>
        <w:tc>
          <w:tcPr>
            <w:tcW w:w="45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Operating income (expense)</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137,090</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44,361</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75,355</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(31,928)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224,878</w:t>
            </w:r>
          </w:p>
        </w:tc>
        <w:tc>
          <w:tcPr>
            <w:tcW w:w="0" w:type="dxa"/>
            <w:vAlign w:val="bottom"/>
          </w:tcPr>
          <w:p>
            <w:pPr>
              <w:spacing w:after="0"/>
              <w:rPr>
                <w:sz w:val="1"/>
                <w:szCs w:val="1"/>
                <w:color w:val="auto"/>
              </w:rPr>
            </w:pPr>
          </w:p>
        </w:tc>
      </w:tr>
      <w:tr>
        <w:trPr>
          <w:trHeight w:val="334"/>
        </w:trPr>
        <w:tc>
          <w:tcPr>
            <w:tcW w:w="6400" w:type="dxa"/>
            <w:vAlign w:val="bottom"/>
            <w:gridSpan w:val="10"/>
          </w:tcPr>
          <w:p>
            <w:pPr>
              <w:spacing w:after="0"/>
              <w:rPr>
                <w:sz w:val="20"/>
                <w:szCs w:val="20"/>
                <w:color w:val="auto"/>
              </w:rPr>
            </w:pPr>
            <w:r>
              <w:rPr>
                <w:rFonts w:ascii="Arial" w:cs="Arial" w:eastAsia="Arial" w:hAnsi="Arial"/>
                <w:sz w:val="15"/>
                <w:szCs w:val="15"/>
                <w:color w:val="auto"/>
                <w:w w:val="88"/>
              </w:rPr>
              <w:t>The following table presents the Company’s property and equipment and total assets by reportable segment: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right"/>
              <w:spacing w:after="0"/>
              <w:rPr>
                <w:sz w:val="20"/>
                <w:szCs w:val="20"/>
                <w:color w:val="auto"/>
              </w:rPr>
            </w:pPr>
            <w:r>
              <w:rPr>
                <w:rFonts w:ascii="Arial" w:cs="Arial" w:eastAsia="Arial" w:hAnsi="Arial"/>
                <w:sz w:val="12"/>
                <w:szCs w:val="12"/>
                <w:b w:val="1"/>
                <w:bCs w:val="1"/>
                <w:color w:val="auto"/>
                <w:w w:val="99"/>
              </w:rPr>
              <w:t>Property and Equipment, net 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center"/>
              <w:ind w:right="27"/>
              <w:spacing w:after="0"/>
              <w:rPr>
                <w:sz w:val="20"/>
                <w:szCs w:val="20"/>
                <w:color w:val="auto"/>
              </w:rPr>
            </w:pPr>
            <w:r>
              <w:rPr>
                <w:rFonts w:ascii="Arial" w:cs="Arial" w:eastAsia="Arial" w:hAnsi="Arial"/>
                <w:sz w:val="12"/>
                <w:szCs w:val="12"/>
                <w:b w:val="1"/>
                <w:bCs w:val="1"/>
                <w:color w:val="auto"/>
                <w:w w:val="83"/>
              </w:rPr>
              <w:t>Total Assets as of</w:t>
            </w: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(in thousands)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6"/>
          </w:tcPr>
          <w:p>
            <w:pPr>
              <w:ind w:left="100"/>
              <w:spacing w:after="0"/>
              <w:rPr>
                <w:sz w:val="20"/>
                <w:szCs w:val="20"/>
                <w:color w:val="auto"/>
              </w:rPr>
            </w:pPr>
            <w:r>
              <w:rPr>
                <w:rFonts w:ascii="Arial" w:cs="Arial" w:eastAsia="Arial" w:hAnsi="Arial"/>
                <w:sz w:val="12"/>
                <w:szCs w:val="12"/>
                <w:b w:val="1"/>
                <w:bCs w:val="1"/>
                <w:color w:val="auto"/>
                <w:w w:val="87"/>
              </w:rPr>
              <w:t>September 30, 2018</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w w:val="86"/>
              </w:rPr>
              <w:t>December 31, 2017</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2"/>
                <w:szCs w:val="12"/>
                <w:b w:val="1"/>
                <w:bCs w:val="1"/>
                <w:color w:val="auto"/>
                <w:w w:val="92"/>
              </w:rPr>
              <w:t>September 30, 2018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2"/>
                <w:szCs w:val="12"/>
                <w:b w:val="1"/>
                <w:bCs w:val="1"/>
                <w:color w:val="auto"/>
                <w:w w:val="96"/>
              </w:rPr>
              <w:t>December 31, 2017</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EFT Processing</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5"/>
                <w:szCs w:val="15"/>
                <w:color w:val="auto"/>
              </w:rPr>
              <w:t>209,912</w:t>
            </w:r>
          </w:p>
        </w:tc>
        <w:tc>
          <w:tcPr>
            <w:tcW w:w="280" w:type="dxa"/>
            <w:vAlign w:val="bottom"/>
            <w:tcBorders>
              <w:bottom w:val="single" w:sz="8" w:color="CCEEFF"/>
            </w:tcBorders>
            <w:gridSpan w:val="3"/>
            <w:shd w:val="clear" w:color="auto" w:fill="CCEEFF"/>
          </w:tcPr>
          <w:p>
            <w:pPr>
              <w:jc w:val="center"/>
              <w:ind w:left="15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5"/>
                <w:szCs w:val="15"/>
                <w:color w:val="auto"/>
              </w:rPr>
              <w:t>196,451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5"/>
                <w:szCs w:val="15"/>
                <w:color w:val="auto"/>
              </w:rPr>
              <w:t>1,460,848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1,040,135</w:t>
            </w:r>
          </w:p>
        </w:tc>
        <w:tc>
          <w:tcPr>
            <w:tcW w:w="0" w:type="dxa"/>
            <w:vAlign w:val="bottom"/>
          </w:tcPr>
          <w:p>
            <w:pPr>
              <w:spacing w:after="0"/>
              <w:rPr>
                <w:sz w:val="1"/>
                <w:szCs w:val="1"/>
                <w:color w:val="auto"/>
              </w:rPr>
            </w:pPr>
          </w:p>
        </w:tc>
      </w:tr>
      <w:tr>
        <w:trPr>
          <w:trHeight w:val="199"/>
        </w:trPr>
        <w:tc>
          <w:tcPr>
            <w:tcW w:w="4500" w:type="dxa"/>
            <w:vAlign w:val="bottom"/>
            <w:gridSpan w:val="2"/>
          </w:tcPr>
          <w:p>
            <w:pPr>
              <w:ind w:left="40"/>
              <w:spacing w:after="0"/>
              <w:rPr>
                <w:sz w:val="20"/>
                <w:szCs w:val="20"/>
                <w:color w:val="auto"/>
              </w:rPr>
            </w:pPr>
            <w:r>
              <w:rPr>
                <w:rFonts w:ascii="Arial" w:cs="Arial" w:eastAsia="Arial" w:hAnsi="Arial"/>
                <w:sz w:val="15"/>
                <w:szCs w:val="15"/>
                <w:color w:val="auto"/>
              </w:rPr>
              <w:t>epay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Arial" w:cs="Arial" w:eastAsia="Arial" w:hAnsi="Arial"/>
                <w:sz w:val="15"/>
                <w:szCs w:val="15"/>
                <w:color w:val="auto"/>
              </w:rPr>
              <w:t>29,496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5"/>
                <w:szCs w:val="15"/>
                <w:color w:val="auto"/>
              </w:rPr>
              <w:t>28,135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5"/>
                <w:szCs w:val="15"/>
                <w:color w:val="auto"/>
              </w:rPr>
              <w:t>616,406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695,990</w:t>
            </w:r>
          </w:p>
        </w:tc>
        <w:tc>
          <w:tcPr>
            <w:tcW w:w="0" w:type="dxa"/>
            <w:vAlign w:val="bottom"/>
          </w:tcPr>
          <w:p>
            <w:pPr>
              <w:spacing w:after="0"/>
              <w:rPr>
                <w:sz w:val="1"/>
                <w:szCs w:val="1"/>
                <w:color w:val="auto"/>
              </w:rPr>
            </w:pPr>
          </w:p>
        </w:tc>
      </w:tr>
      <w:tr>
        <w:trPr>
          <w:trHeight w:val="23"/>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Money Transfer</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5"/>
                <w:szCs w:val="15"/>
                <w:color w:val="auto"/>
              </w:rPr>
              <w:t>43,684</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5"/>
                <w:szCs w:val="15"/>
                <w:color w:val="auto"/>
              </w:rPr>
              <w:t>43,564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5"/>
                <w:szCs w:val="15"/>
                <w:color w:val="auto"/>
              </w:rPr>
              <w:t>1,366,298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1,255,765</w:t>
            </w:r>
          </w:p>
        </w:tc>
        <w:tc>
          <w:tcPr>
            <w:tcW w:w="0" w:type="dxa"/>
            <w:vAlign w:val="bottom"/>
          </w:tcPr>
          <w:p>
            <w:pPr>
              <w:spacing w:after="0"/>
              <w:rPr>
                <w:sz w:val="1"/>
                <w:szCs w:val="1"/>
                <w:color w:val="auto"/>
              </w:rPr>
            </w:pPr>
          </w:p>
        </w:tc>
      </w:tr>
      <w:tr>
        <w:trPr>
          <w:trHeight w:val="199"/>
        </w:trPr>
        <w:tc>
          <w:tcPr>
            <w:tcW w:w="4500" w:type="dxa"/>
            <w:vAlign w:val="bottom"/>
            <w:gridSpan w:val="2"/>
          </w:tcPr>
          <w:p>
            <w:pPr>
              <w:ind w:left="40"/>
              <w:spacing w:after="0"/>
              <w:rPr>
                <w:sz w:val="20"/>
                <w:szCs w:val="20"/>
                <w:color w:val="auto"/>
              </w:rPr>
            </w:pPr>
            <w:r>
              <w:rPr>
                <w:rFonts w:ascii="Arial" w:cs="Arial" w:eastAsia="Arial" w:hAnsi="Arial"/>
                <w:sz w:val="15"/>
                <w:szCs w:val="15"/>
                <w:color w:val="auto"/>
              </w:rPr>
              <w:t>Corporate Services, Eliminations and 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5"/>
                <w:szCs w:val="15"/>
                <w:color w:val="auto"/>
                <w:w w:val="79"/>
              </w:rPr>
              <w:t>153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5"/>
                <w:szCs w:val="15"/>
                <w:color w:val="auto"/>
              </w:rPr>
              <w:t>17,234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148,139</w:t>
            </w:r>
          </w:p>
        </w:tc>
        <w:tc>
          <w:tcPr>
            <w:tcW w:w="0" w:type="dxa"/>
            <w:vAlign w:val="bottom"/>
          </w:tcPr>
          <w:p>
            <w:pPr>
              <w:spacing w:after="0"/>
              <w:rPr>
                <w:sz w:val="1"/>
                <w:szCs w:val="1"/>
                <w:color w:val="auto"/>
              </w:rPr>
            </w:pPr>
          </w:p>
        </w:tc>
      </w:tr>
      <w:tr>
        <w:trPr>
          <w:trHeight w:val="23"/>
        </w:trPr>
        <w:tc>
          <w:tcPr>
            <w:tcW w:w="45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283,167</w:t>
            </w:r>
          </w:p>
        </w:tc>
        <w:tc>
          <w:tcPr>
            <w:tcW w:w="280" w:type="dxa"/>
            <w:vAlign w:val="bottom"/>
            <w:gridSpan w:val="3"/>
            <w:shd w:val="clear" w:color="auto" w:fill="CCEEFF"/>
          </w:tcPr>
          <w:p>
            <w:pPr>
              <w:jc w:val="center"/>
              <w:ind w:left="151"/>
              <w:spacing w:after="0"/>
              <w:rPr>
                <w:sz w:val="20"/>
                <w:szCs w:val="20"/>
                <w:color w:val="auto"/>
              </w:rPr>
            </w:pPr>
            <w:r>
              <w:rPr>
                <w:rFonts w:ascii="Arial" w:cs="Arial" w:eastAsia="Arial" w:hAnsi="Arial"/>
                <w:sz w:val="15"/>
                <w:szCs w:val="15"/>
                <w:color w:val="auto"/>
                <w:w w:val="71"/>
              </w:rPr>
              <w:t>$</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5"/>
                <w:szCs w:val="15"/>
                <w:color w:val="auto"/>
              </w:rPr>
              <w:t>268,303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5"/>
                <w:szCs w:val="15"/>
                <w:color w:val="auto"/>
              </w:rPr>
              <w:t>3,460,786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3,140,029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INCOME TAXES</w:t>
      </w:r>
    </w:p>
    <w:p>
      <w:pPr>
        <w:spacing w:after="0" w:line="98"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 xml:space="preserve">The Company's effective income tax rate was 25.5% and 27.4% for the three and nine months ended </w:t>
      </w:r>
      <w:r>
        <w:rPr>
          <w:rFonts w:ascii="Arial" w:cs="Arial" w:eastAsia="Arial" w:hAnsi="Arial"/>
          <w:sz w:val="15"/>
          <w:szCs w:val="15"/>
          <w:color w:val="252525"/>
        </w:rPr>
        <w:t>September 30, 2018</w:t>
      </w:r>
      <w:r>
        <w:rPr>
          <w:rFonts w:ascii="Arial" w:cs="Arial" w:eastAsia="Arial" w:hAnsi="Arial"/>
          <w:sz w:val="15"/>
          <w:szCs w:val="15"/>
          <w:color w:val="auto"/>
        </w:rPr>
        <w:t>, respectively, compared to 13.4% and 19.3% for the three and nine months ended September 30, 2017, respectively. The Company's effective income tax rate for the three and nine months ended September 30, 2017 was less than the applicable statutory rate of 35% primarily due to the release of a $16.3 million valuation allowance against certain foreign deferred tax assets and, to a lesser extent, the Company's U.S. tax position. In 2017, the significant year-over-year and year-to-date profitability of ATMs under management in Europe allowed the release of the valuation allowance as the Company believes that certain foreign deferred assets, including net operating loss carryforwards, will more likely than not be realized in future periods. In addition, the Company had significant U.S. federal tax net operating loss carryforwards with no recent history of significant U.S. taxable income; therefore, the Company had recorded a valuation allowance against its net U.S. deferred tax assets. Accordingly, in instances when the Company generated pre-tax U.S. GAAP income, no income tax expense was recognized to the extent there were net operating loss carryforwards to offset the pre-tax U.S. GAAP income.</w:t>
      </w:r>
    </w:p>
    <w:p>
      <w:pPr>
        <w:spacing w:after="0" w:line="72"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The Company's effective income tax rate for the three and nine months ended September 30, 2018 was higher than the applicable statutory income tax rate of 21% as a result of the enactment into law of what is commonly known as the Tax Cuts and Jobs Act of 2017 (the "Act") and the Act's impact on the Company's U.S. income tax positions at the end of 2017.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 As stated above, the Company had recorded a valuation allowance against its net U.S. deferred tax assets. Upon enactment of the Act, the Company expected to utilize its historic U.S. federal tax net operating losses to partially offset the transition tax and released the associated valuation allowance in the fourth quarter of 2017. This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change has created additional U.S. tax expense as the Company now recognizes income tax expense on its pre-tax U.S. GAAP income. In addition, the Act's global intangible low-taxed income ("GILTI") provision has subjected the Company's foreign earnings to additional U.S. tax expense.</w:t>
      </w:r>
    </w:p>
    <w:p>
      <w:pPr>
        <w:spacing w:after="0" w:line="59" w:lineRule="exact"/>
        <w:rPr>
          <w:sz w:val="20"/>
          <w:szCs w:val="20"/>
          <w:color w:val="auto"/>
        </w:rPr>
      </w:pPr>
    </w:p>
    <w:p>
      <w:pPr>
        <w:ind w:right="140"/>
        <w:spacing w:after="0" w:line="300" w:lineRule="auto"/>
        <w:rPr>
          <w:sz w:val="20"/>
          <w:szCs w:val="20"/>
          <w:color w:val="auto"/>
        </w:rPr>
      </w:pPr>
      <w:r>
        <w:rPr>
          <w:rFonts w:ascii="Arial" w:cs="Arial" w:eastAsia="Arial" w:hAnsi="Arial"/>
          <w:sz w:val="13"/>
          <w:szCs w:val="13"/>
          <w:color w:val="auto"/>
        </w:rPr>
        <w:t>The SEC staff issued Staff Accounting Bulletin ("SAB") 118, which provides guidance on accounting for the tax effects of the Act. SAB 118 provides a measurement period of up to one year from the Act's enactment date for companies to complete their accounting. In accordance with SAB 118, the Company provided provisional amounts where appropriate which it believes represent a reasonable estimate based on available information and its interpretations of the Act. Further, the Company is allowed to either recognize deferred taxes for temporary differences expected to reverse as GILTI in future years or recognize such taxes as current period expenses when incurred. Due to the complexity of calculating GILTI, the Company has not determined which method it will apply. The Company will continue to evaluate the Act and adjust the provisional amounts as additional information becomes available.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COMMITMENTS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2018, the Company had $74.3 million of stand-by letters of credit/bank guarantees issued on its behalf, of which $47.9 million are outstanding under the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remaining stand-by letters of credit/bank guarantees are collateralized by $3.7 million of cash deposits held by the respective issuing banks.</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5"/>
          <w:szCs w:val="15"/>
          <w:color w:val="auto"/>
        </w:rPr>
        <w:t>Under certain circumstances, Euronet grants guarantees in support of obligations of subsidiaries. As of September 30, 2018, the Company had granted off balance sheet guarantees for cash in various ATM networks amounting to $23.2 million over the terms of the cash supply agreements and performance guarantees amounting to approximately $29.4 million over the terms of agreements with the customers.</w:t>
      </w:r>
    </w:p>
    <w:p>
      <w:pPr>
        <w:spacing w:after="0" w:line="67" w:lineRule="exact"/>
        <w:rPr>
          <w:sz w:val="20"/>
          <w:szCs w:val="20"/>
          <w:color w:val="auto"/>
        </w:rPr>
      </w:pPr>
    </w:p>
    <w:p>
      <w:pPr>
        <w:spacing w:after="0" w:line="315" w:lineRule="auto"/>
        <w:rPr>
          <w:sz w:val="20"/>
          <w:szCs w:val="20"/>
          <w:color w:val="auto"/>
        </w:rPr>
      </w:pPr>
      <w:r>
        <w:rPr>
          <w:rFonts w:ascii="Arial" w:cs="Arial" w:eastAsia="Arial" w:hAnsi="Arial"/>
          <w:sz w:val="13"/>
          <w:szCs w:val="13"/>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3" w:lineRule="exact"/>
        <w:rPr>
          <w:sz w:val="20"/>
          <w:szCs w:val="20"/>
          <w:color w:val="auto"/>
        </w:rPr>
      </w:pPr>
    </w:p>
    <w:p>
      <w:pPr>
        <w:ind w:left="480" w:right="40" w:hanging="272"/>
        <w:spacing w:after="0" w:line="257"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2018, the balance of cash used in the Company's ATM networks for which the Company was responsible was approximately $318 million. The Company maintains insurance policies to mitigate this exposure;</w:t>
      </w:r>
    </w:p>
    <w:p>
      <w:pPr>
        <w:spacing w:after="0" w:line="67" w:lineRule="exact"/>
        <w:rPr>
          <w:rFonts w:ascii="Arial" w:cs="Arial" w:eastAsia="Arial" w:hAnsi="Arial"/>
          <w:sz w:val="15"/>
          <w:szCs w:val="15"/>
          <w:color w:val="auto"/>
        </w:rPr>
      </w:pPr>
    </w:p>
    <w:p>
      <w:pPr>
        <w:ind w:left="480" w:right="180" w:hanging="272"/>
        <w:spacing w:after="0" w:line="257"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67" w:lineRule="exact"/>
        <w:rPr>
          <w:rFonts w:ascii="Arial" w:cs="Arial" w:eastAsia="Arial" w:hAnsi="Arial"/>
          <w:sz w:val="15"/>
          <w:szCs w:val="15"/>
          <w:color w:val="auto"/>
        </w:rPr>
      </w:pPr>
    </w:p>
    <w:p>
      <w:pPr>
        <w:ind w:left="480" w:right="80" w:hanging="272"/>
        <w:spacing w:after="0" w:line="30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35" w:lineRule="exact"/>
        <w:rPr>
          <w:rFonts w:ascii="Arial" w:cs="Arial" w:eastAsia="Arial" w:hAnsi="Arial"/>
          <w:sz w:val="14"/>
          <w:szCs w:val="14"/>
          <w:color w:val="auto"/>
        </w:rPr>
      </w:pPr>
    </w:p>
    <w:p>
      <w:pPr>
        <w:ind w:left="480" w:right="100" w:hanging="272"/>
        <w:spacing w:after="0" w:line="257"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67" w:lineRule="exact"/>
        <w:rPr>
          <w:rFonts w:ascii="Arial" w:cs="Arial" w:eastAsia="Arial" w:hAnsi="Arial"/>
          <w:sz w:val="15"/>
          <w:szCs w:val="15"/>
          <w:color w:val="auto"/>
        </w:rPr>
      </w:pPr>
    </w:p>
    <w:p>
      <w:pPr>
        <w:ind w:left="480" w:right="80" w:hanging="272"/>
        <w:spacing w:after="0" w:line="274"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20" w:top="129" w:right="2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480" w:right="400" w:hanging="272"/>
        <w:spacing w:after="0" w:line="346" w:lineRule="auto"/>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also required to meet minimum capitalization and cash requirements of various regulatory authorities in the jurisdictions in which the Company has money transfer operations.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obtained surety bonds in compliance with money transfer licensing requirements of the applicable governmental authorities.</w:t>
      </w:r>
    </w:p>
    <w:p>
      <w:pPr>
        <w:spacing w:after="0" w:line="84" w:lineRule="exact"/>
        <w:rPr>
          <w:sz w:val="20"/>
          <w:szCs w:val="20"/>
          <w:color w:val="auto"/>
        </w:rPr>
      </w:pPr>
    </w:p>
    <w:p>
      <w:pPr>
        <w:ind w:right="240"/>
        <w:spacing w:after="0" w:line="268" w:lineRule="auto"/>
        <w:rPr>
          <w:sz w:val="20"/>
          <w:szCs w:val="20"/>
          <w:color w:val="auto"/>
        </w:rPr>
      </w:pPr>
      <w:r>
        <w:rPr>
          <w:rFonts w:ascii="Arial" w:cs="Arial" w:eastAsia="Arial" w:hAnsi="Arial"/>
          <w:sz w:val="15"/>
          <w:szCs w:val="15"/>
          <w:color w:val="auto"/>
        </w:rPr>
        <w:t>To date, the Company is not aware of any significant claims made by the indemnified parties or third parties to guarantee agreements with the Company and, accordingly, no liabilities were recorded as of September 30, 2018 or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LITIGATION AND CONTINGENCIES</w:t>
      </w:r>
    </w:p>
    <w:p>
      <w:pPr>
        <w:spacing w:after="0" w:line="98" w:lineRule="exact"/>
        <w:rPr>
          <w:sz w:val="20"/>
          <w:szCs w:val="20"/>
          <w:color w:val="auto"/>
        </w:rPr>
      </w:pPr>
    </w:p>
    <w:p>
      <w:pPr>
        <w:ind w:right="140"/>
        <w:spacing w:after="0" w:line="305" w:lineRule="auto"/>
        <w:rPr>
          <w:sz w:val="20"/>
          <w:szCs w:val="20"/>
          <w:color w:val="auto"/>
        </w:rPr>
      </w:pPr>
      <w:r>
        <w:rPr>
          <w:rFonts w:ascii="Arial" w:cs="Arial" w:eastAsia="Arial" w:hAnsi="Arial"/>
          <w:sz w:val="13"/>
          <w:szCs w:val="13"/>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SUBSEQUENT EVENT</w:t>
      </w:r>
    </w:p>
    <w:p>
      <w:pPr>
        <w:spacing w:after="0" w:line="1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On October 17, 2018, the Company entered into a new unsecured revolving credit agreement for $1.0 billion that expires on October 17, 2023. Interest on borrowings varies based upon the Company's corporate credit rating and on a margin over LIBOR or a margin over the base rate, as selected by the Company, with the applicable margin ranging from 1.125% to 2.0% or 0.175% to 1.0% for base rate loans. The new credit facility replaced the $675 million senior secured credit facility that was due to expire on April 9, 2019.</w:t>
      </w:r>
    </w:p>
    <w:p>
      <w:pPr>
        <w:spacing w:after="0" w:line="56"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Once each of Euronet's domestic subsidiaries reaches a certain size, it is required under the unsecured revolving credit agreement to provide a guarantee of all the outstanding obligations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00"/>
          </w:cols>
          <w:pgMar w:left="220" w:top="129" w:right="27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The terms "Euronet," the "Company," "we" and "us" as used herein refer to Euronet Worldwide, Inc. and its subsidiaries.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69" w:lineRule="exact"/>
        <w:rPr>
          <w:sz w:val="20"/>
          <w:szCs w:val="20"/>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business plans and financing plans and requirements;</w:t>
      </w:r>
    </w:p>
    <w:p>
      <w:pPr>
        <w:spacing w:after="0" w:line="1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trends affecting our business plans and financing plans and requirements;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trends affecting our business;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adequacy of capital to meet our capital requirements and expansion plans;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assumptions underlying our business plans;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repay indebtedness;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estimated capital expenditures;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potential outcome of loss contingencies;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expectations regarding the closing of any pending acquisitions;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business strategy;</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government regulatory action;</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expected effects of changes in laws or accounting standards;</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technological advances; and</w:t>
      </w:r>
    </w:p>
    <w:p>
      <w:pPr>
        <w:spacing w:after="0" w:line="5" w:lineRule="exact"/>
        <w:rPr>
          <w:rFonts w:ascii="Arial" w:cs="Arial" w:eastAsia="Arial" w:hAnsi="Arial"/>
          <w:sz w:val="15"/>
          <w:szCs w:val="15"/>
          <w:color w:val="auto"/>
        </w:rPr>
      </w:pPr>
    </w:p>
    <w:p>
      <w:pPr>
        <w:ind w:left="800" w:hanging="525"/>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projected costs and revenues.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Although we believe that the expectations reflected in these forward-looking statements are reasonable, we can give no assurance that these expectations will prove to be correct.</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Brexit vote,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Visa's announced rule change to allow our ATMs to provide DCC beginning mid-April of next year; our ability to comply with increasingly stringent regulatory requirements, including anti-money laundering, anti-terrorism, anti-bribery, consumer and data protection requirements, and the E.U. General Data Protection Regulation, or GDPR, and Payment Services Directive 2, or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2017 and in Part II, Item 1A-Risk Factors in our Quarterly Report on Form 10-Q for the quarter ended March 31, 2018.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40"/>
          </w:cols>
          <w:pgMar w:left="220" w:top="129" w:right="2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OVERVIEW</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OVERVIEW, GEOGRAPHIC LOCATIONS AND PRINCIPAL PRODUCTS AND SERVICES</w:t>
      </w:r>
    </w:p>
    <w:p>
      <w:pPr>
        <w:spacing w:after="0" w:line="98"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69" w:lineRule="exact"/>
        <w:rPr>
          <w:sz w:val="20"/>
          <w:szCs w:val="20"/>
          <w:color w:val="auto"/>
        </w:rPr>
      </w:pPr>
    </w:p>
    <w:p>
      <w:pPr>
        <w:ind w:left="800" w:right="20" w:hanging="525"/>
        <w:spacing w:after="0" w:line="277"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EFT Processing Segment, which processes transactions for a network of 41,902 ATMs and approximately 279,000 POS terminals across Europe, the Middle East and Asia Pacific and the United States.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55" w:lineRule="exact"/>
        <w:rPr>
          <w:rFonts w:ascii="Arial" w:cs="Arial" w:eastAsia="Arial" w:hAnsi="Arial"/>
          <w:sz w:val="14"/>
          <w:szCs w:val="14"/>
          <w:color w:val="auto"/>
        </w:rPr>
      </w:pPr>
    </w:p>
    <w:p>
      <w:pPr>
        <w:ind w:left="800" w:right="20" w:hanging="525"/>
        <w:spacing w:after="0" w:line="284"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epay Segment, which provides distribution, processing and collection services for prepaid mobile airtime and other electronic payment products. We operate a network of approximately 687,000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49" w:lineRule="exact"/>
        <w:rPr>
          <w:rFonts w:ascii="Arial" w:cs="Arial" w:eastAsia="Arial" w:hAnsi="Arial"/>
          <w:sz w:val="14"/>
          <w:szCs w:val="14"/>
          <w:color w:val="auto"/>
        </w:rPr>
      </w:pPr>
    </w:p>
    <w:p>
      <w:pPr>
        <w:ind w:left="800" w:right="20" w:hanging="525"/>
        <w:spacing w:after="0" w:line="293" w:lineRule="auto"/>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Ria branded websites (riamoneytransfer.com and imeremit.com), disbursing money transfers through a worldwide correspondent network that includes approximately 361,000 locations. xe is a provider of foreign currency exchange information and offers money transfer services on its currency data websites (xe.com and x-rates.com). We offer services under the brand name HiFX through HiFX branded websites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49" w:lineRule="exact"/>
        <w:rPr>
          <w:sz w:val="20"/>
          <w:szCs w:val="20"/>
          <w:color w:val="auto"/>
        </w:rPr>
      </w:pPr>
    </w:p>
    <w:p>
      <w:pPr>
        <w:ind w:left="60"/>
        <w:spacing w:after="0" w:line="284" w:lineRule="auto"/>
        <w:rPr>
          <w:sz w:val="20"/>
          <w:szCs w:val="20"/>
          <w:color w:val="auto"/>
        </w:rPr>
      </w:pPr>
      <w:r>
        <w:rPr>
          <w:rFonts w:ascii="Arial" w:cs="Arial" w:eastAsia="Arial" w:hAnsi="Arial"/>
          <w:sz w:val="14"/>
          <w:szCs w:val="14"/>
          <w:color w:val="auto"/>
        </w:rPr>
        <w:t>We have six processing centers in Europe, five in Asia Pacific and two in North America. We have 36 principal offices in Europe, 11 in Asia Pacific, nine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SOURCES OF REVENUES AND CASH FLOW</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Euronet primarily earns revenues and income from ATM management fees, transaction fees, commissions and foreign currency exchange margin. Each operating segment’s sources of revenues are described below.</w:t>
      </w:r>
    </w:p>
    <w:p>
      <w:pPr>
        <w:spacing w:after="0" w:line="59"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i w:val="1"/>
          <w:iCs w:val="1"/>
          <w:color w:val="auto"/>
        </w:rPr>
        <w:t xml:space="preserve">EFT Processing Segment </w:t>
      </w:r>
      <w:r>
        <w:rPr>
          <w:rFonts w:ascii="Arial" w:cs="Arial" w:eastAsia="Arial" w:hAnsi="Arial"/>
          <w:sz w:val="13"/>
          <w:szCs w:val="13"/>
          <w:color w:val="auto"/>
        </w:rPr>
        <w:t>— Revenues in the EFT Processing Segment, which represented approximately 37% and 31% of total consolidated revenues for the third quarter and first nine months</w:t>
      </w:r>
      <w:r>
        <w:rPr>
          <w:rFonts w:ascii="Arial" w:cs="Arial" w:eastAsia="Arial" w:hAnsi="Arial"/>
          <w:sz w:val="13"/>
          <w:szCs w:val="13"/>
          <w:i w:val="1"/>
          <w:iCs w:val="1"/>
          <w:color w:val="auto"/>
        </w:rPr>
        <w:t xml:space="preserve"> </w:t>
      </w:r>
      <w:r>
        <w:rPr>
          <w:rFonts w:ascii="Arial" w:cs="Arial" w:eastAsia="Arial" w:hAnsi="Arial"/>
          <w:sz w:val="13"/>
          <w:szCs w:val="13"/>
          <w:color w:val="auto"/>
        </w:rPr>
        <w:t>of 2018,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40"/>
          </w:cols>
          <w:pgMar w:left="220" w:top="129"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spacing w:after="0" w:line="272" w:lineRule="auto"/>
        <w:rPr>
          <w:sz w:val="20"/>
          <w:szCs w:val="20"/>
          <w:color w:val="auto"/>
        </w:rPr>
      </w:pPr>
      <w:r>
        <w:rPr>
          <w:rFonts w:ascii="Arial" w:cs="Arial" w:eastAsia="Arial" w:hAnsi="Arial"/>
          <w:sz w:val="14"/>
          <w:szCs w:val="14"/>
          <w:i w:val="1"/>
          <w:iCs w:val="1"/>
          <w:color w:val="auto"/>
        </w:rPr>
        <w:t xml:space="preserve">epay Segment </w:t>
      </w:r>
      <w:r>
        <w:rPr>
          <w:rFonts w:ascii="Arial" w:cs="Arial" w:eastAsia="Arial" w:hAnsi="Arial"/>
          <w:sz w:val="14"/>
          <w:szCs w:val="14"/>
          <w:color w:val="auto"/>
        </w:rPr>
        <w:t>— Revenues in the epay Segment, which represented approximately 26% and 28% of total consolidated revenues for the third quarter and first nine months of 2018, respectively,</w:t>
      </w:r>
      <w:r>
        <w:rPr>
          <w:rFonts w:ascii="Arial" w:cs="Arial" w:eastAsia="Arial" w:hAnsi="Arial"/>
          <w:sz w:val="14"/>
          <w:szCs w:val="14"/>
          <w:i w:val="1"/>
          <w:iCs w:val="1"/>
          <w:color w:val="auto"/>
        </w:rPr>
        <w:t xml:space="preserve"> </w:t>
      </w:r>
      <w:r>
        <w:rPr>
          <w:rFonts w:ascii="Arial" w:cs="Arial" w:eastAsia="Arial" w:hAnsi="Arial"/>
          <w:sz w:val="14"/>
          <w:szCs w:val="14"/>
          <w:color w:val="auto"/>
        </w:rPr>
        <w:t>are 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approximately 60%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59"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i w:val="1"/>
          <w:iCs w:val="1"/>
          <w:color w:val="auto"/>
        </w:rPr>
        <w:t xml:space="preserve">Money Transfer Segment </w:t>
      </w:r>
      <w:r>
        <w:rPr>
          <w:rFonts w:ascii="Arial" w:cs="Arial" w:eastAsia="Arial" w:hAnsi="Arial"/>
          <w:sz w:val="13"/>
          <w:szCs w:val="13"/>
          <w:color w:val="auto"/>
        </w:rPr>
        <w:t>— Revenues in the Money Transfer Segment, which represented approximately 37% and 41% of total consolidated revenues for the third quarter and first nine months</w:t>
      </w:r>
      <w:r>
        <w:rPr>
          <w:rFonts w:ascii="Arial" w:cs="Arial" w:eastAsia="Arial" w:hAnsi="Arial"/>
          <w:sz w:val="13"/>
          <w:szCs w:val="13"/>
          <w:i w:val="1"/>
          <w:iCs w:val="1"/>
          <w:color w:val="auto"/>
        </w:rPr>
        <w:t xml:space="preserve"> </w:t>
      </w:r>
      <w:r>
        <w:rPr>
          <w:rFonts w:ascii="Arial" w:cs="Arial" w:eastAsia="Arial" w:hAnsi="Arial"/>
          <w:sz w:val="13"/>
          <w:szCs w:val="13"/>
          <w:color w:val="auto"/>
        </w:rPr>
        <w:t>of 2018,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xe and HiFX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4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i w:val="1"/>
          <w:iCs w:val="1"/>
          <w:color w:val="auto"/>
        </w:rPr>
        <w:t xml:space="preserve">Corporate Services, Eliminations and Other </w:t>
      </w:r>
      <w:r>
        <w:rPr>
          <w:rFonts w:ascii="Arial" w:cs="Arial" w:eastAsia="Arial" w:hAnsi="Arial"/>
          <w:sz w:val="15"/>
          <w:szCs w:val="15"/>
          <w:color w:val="auto"/>
        </w:rPr>
        <w:t>- In addition to operating in our principal operating segments described above, our “Corporate Services, Eliminations and Other” category includes</w:t>
      </w:r>
      <w:r>
        <w:rPr>
          <w:rFonts w:ascii="Arial" w:cs="Arial" w:eastAsia="Arial" w:hAnsi="Arial"/>
          <w:sz w:val="15"/>
          <w:szCs w:val="15"/>
          <w:i w:val="1"/>
          <w:iCs w:val="1"/>
          <w:color w:val="auto"/>
        </w:rPr>
        <w:t xml:space="preserve"> </w:t>
      </w:r>
      <w:r>
        <w:rPr>
          <w:rFonts w:ascii="Arial" w:cs="Arial" w:eastAsia="Arial" w:hAnsi="Arial"/>
          <w:sz w:val="15"/>
          <w:szCs w:val="15"/>
          <w:color w:val="auto"/>
        </w:rPr>
        <w:t>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OPPORTUNITIES AND CHALLENGES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Our expansion plans and opportunities are focused on eight primary areas:</w:t>
      </w:r>
    </w:p>
    <w:p>
      <w:pPr>
        <w:spacing w:after="0" w:line="94" w:lineRule="exact"/>
        <w:rPr>
          <w:sz w:val="20"/>
          <w:szCs w:val="20"/>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increasing the number of ATMs and cash deposit terminals in our independent networks;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increasing transactions processed on our network of owned and operated ATMs and POS devices;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signing new outsourced ATM and POS terminal management contracts;</w:t>
      </w:r>
    </w:p>
    <w:p>
      <w:pPr>
        <w:spacing w:after="0" w:line="93" w:lineRule="exact"/>
        <w:rPr>
          <w:rFonts w:ascii="Arial" w:cs="Arial" w:eastAsia="Arial" w:hAnsi="Arial"/>
          <w:sz w:val="15"/>
          <w:szCs w:val="15"/>
          <w:color w:val="auto"/>
        </w:rPr>
      </w:pPr>
    </w:p>
    <w:p>
      <w:pPr>
        <w:ind w:left="800" w:right="300" w:hanging="525"/>
        <w:spacing w:after="0" w:line="268" w:lineRule="auto"/>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expanding value added services and other products offered by our EFT Processing Segment, including the sale of DCC, acquiring and other prepaid card services to banks and retailers;</w:t>
      </w:r>
    </w:p>
    <w:p>
      <w:pPr>
        <w:spacing w:after="0" w:line="58" w:lineRule="exact"/>
        <w:rPr>
          <w:rFonts w:ascii="Arial" w:cs="Arial" w:eastAsia="Arial" w:hAnsi="Arial"/>
          <w:sz w:val="15"/>
          <w:szCs w:val="15"/>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expanding our epay processing network and portfolio of digital content;</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expanding our money transfer services, cross-currency payment products and bill payment network;</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expanding our cash management solutions and foreign currency risk management services; and</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developing our credit and debit card outsourcing business.</w:t>
      </w:r>
    </w:p>
    <w:p>
      <w:pPr>
        <w:spacing w:after="0" w:line="94" w:lineRule="exact"/>
        <w:rPr>
          <w:sz w:val="20"/>
          <w:szCs w:val="20"/>
          <w:color w:val="auto"/>
        </w:rPr>
      </w:pPr>
    </w:p>
    <w:p>
      <w:pPr>
        <w:ind w:right="240"/>
        <w:spacing w:after="0" w:line="268" w:lineRule="auto"/>
        <w:rPr>
          <w:sz w:val="20"/>
          <w:szCs w:val="20"/>
          <w:color w:val="auto"/>
        </w:rPr>
      </w:pPr>
      <w:r>
        <w:rPr>
          <w:rFonts w:ascii="Arial" w:cs="Arial" w:eastAsia="Arial" w:hAnsi="Arial"/>
          <w:sz w:val="15"/>
          <w:szCs w:val="15"/>
          <w:i w:val="1"/>
          <w:iCs w:val="1"/>
          <w:color w:val="auto"/>
        </w:rPr>
        <w:t xml:space="preserve">EFT Processing Segment </w:t>
      </w:r>
      <w:r>
        <w:rPr>
          <w:rFonts w:ascii="Arial" w:cs="Arial" w:eastAsia="Arial" w:hAnsi="Arial"/>
          <w:sz w:val="15"/>
          <w:szCs w:val="15"/>
          <w:color w:val="auto"/>
        </w:rPr>
        <w:t>— The continued expansion and development of our EFT Processing Segment business will depend on various factors including, but not necessarily limited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w:t>
      </w:r>
    </w:p>
    <w:p>
      <w:pPr>
        <w:spacing w:after="0" w:line="59" w:lineRule="exact"/>
        <w:rPr>
          <w:sz w:val="20"/>
          <w:szCs w:val="20"/>
          <w:color w:val="auto"/>
        </w:rPr>
      </w:pPr>
    </w:p>
    <w:p>
      <w:pPr>
        <w:ind w:left="800" w:hanging="525"/>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impact of competition by banks and other ATM operators and service providers in our current target markets;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demand for our ATM outsourcing services in our current target markets;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develop products or services, including value added services, to drive increases in transactions and revenues;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expansion of our various business lines in markets where we operate and in new markets;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40"/>
          </w:cols>
          <w:pgMar w:left="220" w:top="129"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entry into additional card acceptance and ATM management agreements with banks;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obtain required licenses in markets we intend to enter or expand services;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enter into and renew ATM network cash supply agreements with financial institutions;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availability of financing for expansion;</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efficiently to install ATMs contracted under newly awarded outsourcing agreements;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renew existing contracts at profitable rates;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maintain pricing at current levels or mitigate price reductions in certain markets;</w:t>
      </w:r>
    </w:p>
    <w:p>
      <w:pPr>
        <w:spacing w:after="0" w:line="93" w:lineRule="exact"/>
        <w:rPr>
          <w:rFonts w:ascii="Arial" w:cs="Arial" w:eastAsia="Arial" w:hAnsi="Arial"/>
          <w:sz w:val="15"/>
          <w:szCs w:val="15"/>
          <w:color w:val="auto"/>
        </w:rPr>
      </w:pPr>
    </w:p>
    <w:p>
      <w:pPr>
        <w:ind w:left="800" w:right="160" w:hanging="525"/>
        <w:spacing w:after="0" w:line="346" w:lineRule="auto"/>
        <w:tabs>
          <w:tab w:leader="none" w:pos="8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12" w:lineRule="exact"/>
        <w:rPr>
          <w:rFonts w:ascii="Arial" w:cs="Arial" w:eastAsia="Arial" w:hAnsi="Arial"/>
          <w:sz w:val="13"/>
          <w:szCs w:val="13"/>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impact of changes in laws and regulations affecting the profitability of our services, including regulation of DCC transactions by the E.U.;</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expand and sign additional customers for the cross-border merchant processing and acquiring business; and</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continued development and implementation of our software products and their ability to interact with other leading products.</w:t>
      </w:r>
    </w:p>
    <w:p>
      <w:pPr>
        <w:spacing w:after="0" w:line="183"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60" w:lineRule="exact"/>
        <w:rPr>
          <w:sz w:val="20"/>
          <w:szCs w:val="20"/>
          <w:color w:val="auto"/>
        </w:rPr>
      </w:pPr>
    </w:p>
    <w:p>
      <w:pPr>
        <w:ind w:right="440"/>
        <w:spacing w:after="0" w:line="268" w:lineRule="auto"/>
        <w:rPr>
          <w:sz w:val="20"/>
          <w:szCs w:val="20"/>
          <w:color w:val="auto"/>
        </w:rPr>
      </w:pPr>
      <w:r>
        <w:rPr>
          <w:rFonts w:ascii="Arial" w:cs="Arial" w:eastAsia="Arial" w:hAnsi="Arial"/>
          <w:sz w:val="15"/>
          <w:szCs w:val="15"/>
          <w:color w:val="auto"/>
        </w:rPr>
        <w:t>Software products are an integral part of our product lines, and our investment in research, development, delivery and customer support reflects our ongoing commitment to an expanded customer base.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epay Segment </w:t>
      </w:r>
      <w:r>
        <w:rPr>
          <w:rFonts w:ascii="Arial" w:cs="Arial" w:eastAsia="Arial" w:hAnsi="Arial"/>
          <w:sz w:val="14"/>
          <w:szCs w:val="14"/>
          <w:color w:val="auto"/>
        </w:rPr>
        <w:t>— The continued expansion and development of the epay Segment business will depend on various factors, including, but not necessarily limited to, the following:</w:t>
      </w:r>
    </w:p>
    <w:p>
      <w:pPr>
        <w:spacing w:after="0" w:line="105" w:lineRule="exact"/>
        <w:rPr>
          <w:sz w:val="20"/>
          <w:szCs w:val="20"/>
          <w:color w:val="auto"/>
        </w:rPr>
      </w:pPr>
    </w:p>
    <w:p>
      <w:pPr>
        <w:ind w:left="800" w:right="320" w:hanging="525"/>
        <w:spacing w:after="0" w:line="268" w:lineRule="auto"/>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maintain and renew existing agreements, and to negotiate new agreements in additional markets with mobile operators, digital content providers, agent financial institutions and retailers;</w:t>
      </w:r>
    </w:p>
    <w:p>
      <w:pPr>
        <w:spacing w:after="0" w:line="58"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use existing expertise and relationships with mobile operators, digital content providers and retailers to our advantage;</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continued use of third-party providers such as ourselves to supply electronic processing solutions for existing and additional digital content;</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development of mobile phone networks in the markets in which we do business and the increase in the number of mobile phone users;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overall pace of growth in the prepaid mobile phone and digital content market, including consumer shifts between prepaid and postpaid services;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market share of the retail distribution capacity;</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development of new technologies that may compete with POS distribution of prepaid mobile airtime and other products;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level of commission that is paid to the various intermediaries in the electronic payment distribution chain;</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fully recover monies collected by retailers;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add new and differentiated products in addition to those offered by mobile operators;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develop and effectively market additional value added services;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20" w:top="129" w:right="25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ind w:left="800" w:right="400" w:hanging="525"/>
        <w:spacing w:after="0" w:line="268" w:lineRule="auto"/>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take advantage of cross-selling opportunities with our EFT Processing and Money Transfer Segments, including providing money transfer services through our distribution network; and</w:t>
      </w:r>
    </w:p>
    <w:p>
      <w:pPr>
        <w:spacing w:after="0" w:line="58" w:lineRule="exact"/>
        <w:rPr>
          <w:rFonts w:ascii="Arial" w:cs="Arial" w:eastAsia="Arial" w:hAnsi="Arial"/>
          <w:sz w:val="15"/>
          <w:szCs w:val="15"/>
          <w:color w:val="auto"/>
        </w:rPr>
      </w:pPr>
    </w:p>
    <w:p>
      <w:pPr>
        <w:ind w:left="800" w:hanging="525"/>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availability of financing for further expansion.</w:t>
      </w:r>
    </w:p>
    <w:p>
      <w:pPr>
        <w:spacing w:after="0" w:line="271"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71"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i w:val="1"/>
          <w:iCs w:val="1"/>
          <w:color w:val="auto"/>
        </w:rPr>
        <w:t xml:space="preserve">Money Transfer Segment — </w:t>
      </w:r>
      <w:r>
        <w:rPr>
          <w:rFonts w:ascii="Arial" w:cs="Arial" w:eastAsia="Arial" w:hAnsi="Arial"/>
          <w:sz w:val="15"/>
          <w:szCs w:val="15"/>
          <w:color w:val="auto"/>
        </w:rPr>
        <w:t>The continued expansion and development of our Money Transfer Segment business will depend on various factors, including, but not necessarily limited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w:t>
      </w:r>
    </w:p>
    <w:p>
      <w:pPr>
        <w:spacing w:after="0" w:line="59" w:lineRule="exact"/>
        <w:rPr>
          <w:sz w:val="20"/>
          <w:szCs w:val="20"/>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continued growth in worker migration and employment opportunities;</w:t>
      </w:r>
    </w:p>
    <w:p>
      <w:pPr>
        <w:spacing w:after="0" w:line="93" w:lineRule="exact"/>
        <w:rPr>
          <w:rFonts w:ascii="Arial" w:cs="Arial" w:eastAsia="Arial" w:hAnsi="Arial"/>
          <w:sz w:val="15"/>
          <w:szCs w:val="15"/>
          <w:color w:val="auto"/>
        </w:rPr>
      </w:pPr>
    </w:p>
    <w:p>
      <w:pPr>
        <w:ind w:left="800" w:right="200" w:hanging="525"/>
        <w:spacing w:after="0" w:line="268"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58" w:lineRule="exact"/>
        <w:rPr>
          <w:rFonts w:ascii="Arial" w:cs="Arial" w:eastAsia="Arial" w:hAnsi="Arial"/>
          <w:sz w:val="15"/>
          <w:szCs w:val="15"/>
          <w:color w:val="auto"/>
        </w:rPr>
      </w:pPr>
    </w:p>
    <w:p>
      <w:pPr>
        <w:ind w:left="800" w:right="520" w:hanging="525"/>
        <w:spacing w:after="0" w:line="268"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continuation of the trend of increased use of electronic money transfer and bill payment services among high-income individuals, immigrant workers and the unbanked population in our markets;</w:t>
      </w:r>
    </w:p>
    <w:p>
      <w:pPr>
        <w:spacing w:after="0" w:line="58"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our agent and correspondent networks;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offer our products and services or develop new products and services at competitive prices to drive increases in transactions;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development of new technologies that may compete with our money transfer network, and our ability to acquire, develop and implement new technologies;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expansion of our services in markets where we operate and in new markets;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strengthen our brands;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fund working capital requirements;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recover from agents funds collected from customers and our ability to recover advances made to correspondents;</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compliance with the regulatory requirements of the jurisdictions in which we operate or plan to operate;</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take advantage of cross-selling opportunities with the epay Segment, including providing prepaid services through our stores and agents worldwide;</w:t>
      </w:r>
    </w:p>
    <w:p>
      <w:pPr>
        <w:spacing w:after="0" w:line="93" w:lineRule="exact"/>
        <w:rPr>
          <w:rFonts w:ascii="Arial" w:cs="Arial" w:eastAsia="Arial" w:hAnsi="Arial"/>
          <w:sz w:val="15"/>
          <w:szCs w:val="15"/>
          <w:color w:val="auto"/>
        </w:rPr>
      </w:pPr>
    </w:p>
    <w:p>
      <w:pPr>
        <w:ind w:left="800" w:right="160" w:hanging="525"/>
        <w:spacing w:after="0" w:line="268"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leverage our banking and merchant/retailer relationships to expand money transfer corridors to Europe, Asia and Africa, including high growth corridors to Central and Eastern European countries;</w:t>
      </w:r>
    </w:p>
    <w:p>
      <w:pPr>
        <w:spacing w:after="0" w:line="58"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availability of financing for further expansion;</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ability to maintain banking relationships necessary for us to service our customers;</w:t>
      </w:r>
    </w:p>
    <w:p>
      <w:pPr>
        <w:spacing w:after="0" w:line="93" w:lineRule="exact"/>
        <w:rPr>
          <w:rFonts w:ascii="Arial" w:cs="Arial" w:eastAsia="Arial" w:hAnsi="Arial"/>
          <w:sz w:val="15"/>
          <w:szCs w:val="15"/>
          <w:color w:val="auto"/>
        </w:rPr>
      </w:pPr>
    </w:p>
    <w:p>
      <w:pPr>
        <w:ind w:left="800" w:right="440" w:hanging="525"/>
        <w:spacing w:after="0" w:line="268"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successfully expand our agent network in Europe using our payment institution licenses under the Second Payment Services Directive ("PSD2") and using our various licenses in the United States;</w:t>
      </w:r>
    </w:p>
    <w:p>
      <w:pPr>
        <w:spacing w:after="0" w:line="58"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provide additional value-added products under the xe brand, and;</w:t>
      </w:r>
    </w:p>
    <w:p>
      <w:pPr>
        <w:spacing w:after="0" w:line="93" w:lineRule="exact"/>
        <w:rPr>
          <w:rFonts w:ascii="Arial" w:cs="Arial" w:eastAsia="Arial" w:hAnsi="Arial"/>
          <w:sz w:val="15"/>
          <w:szCs w:val="15"/>
          <w:color w:val="auto"/>
        </w:rPr>
      </w:pPr>
    </w:p>
    <w:p>
      <w:pPr>
        <w:ind w:left="800" w:hanging="525"/>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considerations regarding the use of our various trade names within the money transfer business.</w:t>
      </w:r>
    </w:p>
    <w:p>
      <w:pPr>
        <w:spacing w:after="0" w:line="271"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40"/>
          </w:cols>
          <w:pgMar w:left="220" w:top="129" w:right="2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maintain current processing technology and efficiencies, as well as deliver new and innovative services to compete in the marketplace.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SUMMARY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Revenues and operating income by segment for the three and nine months ended September 30, 2018 and 2017 are summarized in the tables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w w:val="92"/>
              </w:rPr>
              <w:t>Revenues for the Three Months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w w:val="91"/>
              </w:rPr>
              <w:t>Revenues for the Nine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2"/>
                <w:szCs w:val="12"/>
                <w:b w:val="1"/>
                <w:bCs w:val="1"/>
                <w:color w:val="auto"/>
              </w:rPr>
              <w:t>September 30,</w:t>
            </w: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rPr>
              <w:t>Year-over-Year Change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w w:val="90"/>
              </w:rPr>
              <w:t>September 30,</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2"/>
                <w:szCs w:val="12"/>
                <w:b w:val="1"/>
                <w:bCs w:val="1"/>
                <w:color w:val="auto"/>
              </w:rPr>
              <w:t>Year-over-Year Change</w:t>
            </w:r>
          </w:p>
        </w:tc>
        <w:tc>
          <w:tcPr>
            <w:tcW w:w="20" w:type="dxa"/>
            <w:vAlign w:val="bottom"/>
          </w:tcPr>
          <w:p>
            <w:pPr>
              <w:spacing w:after="0"/>
              <w:rPr>
                <w:sz w:val="13"/>
                <w:szCs w:val="13"/>
                <w:color w:val="auto"/>
              </w:rPr>
            </w:pPr>
          </w:p>
        </w:tc>
      </w:tr>
      <w:tr>
        <w:trPr>
          <w:trHeight w:val="123"/>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140"/>
              <w:spacing w:after="0" w:line="123" w:lineRule="exact"/>
              <w:rPr>
                <w:sz w:val="20"/>
                <w:szCs w:val="20"/>
                <w:color w:val="auto"/>
              </w:rPr>
            </w:pPr>
            <w:r>
              <w:rPr>
                <w:rFonts w:ascii="Arial" w:cs="Arial" w:eastAsia="Arial" w:hAnsi="Arial"/>
                <w:sz w:val="12"/>
                <w:szCs w:val="12"/>
                <w:b w:val="1"/>
                <w:bCs w:val="1"/>
                <w:color w:val="auto"/>
              </w:rPr>
              <w:t>Increase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23" w:lineRule="exact"/>
              <w:rPr>
                <w:sz w:val="20"/>
                <w:szCs w:val="20"/>
                <w:color w:val="auto"/>
              </w:rPr>
            </w:pPr>
            <w:r>
              <w:rPr>
                <w:rFonts w:ascii="Arial" w:cs="Arial" w:eastAsia="Arial" w:hAnsi="Arial"/>
                <w:sz w:val="12"/>
                <w:szCs w:val="12"/>
                <w:b w:val="1"/>
                <w:bCs w:val="1"/>
                <w:color w:val="auto"/>
                <w:w w:val="86"/>
              </w:rPr>
              <w:t>Increase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100"/>
              <w:spacing w:after="0" w:line="122" w:lineRule="exact"/>
              <w:rPr>
                <w:sz w:val="20"/>
                <w:szCs w:val="20"/>
                <w:color w:val="auto"/>
              </w:rPr>
            </w:pPr>
            <w:r>
              <w:rPr>
                <w:rFonts w:ascii="Arial" w:cs="Arial" w:eastAsia="Arial" w:hAnsi="Arial"/>
                <w:sz w:val="12"/>
                <w:szCs w:val="12"/>
                <w:b w:val="1"/>
                <w:bCs w:val="1"/>
                <w:color w:val="auto"/>
              </w:rPr>
              <w:t>(Decrease)</w:t>
            </w: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Arial" w:cs="Arial" w:eastAsia="Arial" w:hAnsi="Arial"/>
                <w:sz w:val="12"/>
                <w:szCs w:val="12"/>
                <w:b w:val="1"/>
                <w:bCs w:val="1"/>
                <w:color w:val="auto"/>
              </w:rPr>
              <w:t>Increase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4"/>
              </w:rPr>
              <w:t>(Decrease)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6"/>
              </w:rPr>
              <w:t>Increase</w:t>
            </w:r>
          </w:p>
        </w:tc>
        <w:tc>
          <w:tcPr>
            <w:tcW w:w="20" w:type="dxa"/>
            <w:vAlign w:val="bottom"/>
          </w:tcPr>
          <w:p>
            <w:pPr>
              <w:spacing w:after="0"/>
              <w:rPr>
                <w:sz w:val="10"/>
                <w:szCs w:val="10"/>
                <w:color w:val="auto"/>
              </w:rPr>
            </w:pPr>
          </w:p>
        </w:tc>
      </w:tr>
      <w:tr>
        <w:trPr>
          <w:trHeight w:val="157"/>
        </w:trPr>
        <w:tc>
          <w:tcPr>
            <w:tcW w:w="22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(dollar amounts in thousands)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Percent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Percent</w:t>
            </w:r>
          </w:p>
        </w:tc>
        <w:tc>
          <w:tcPr>
            <w:tcW w:w="20" w:type="dxa"/>
            <w:vAlign w:val="bottom"/>
          </w:tcPr>
          <w:p>
            <w:pPr>
              <w:spacing w:after="0"/>
              <w:rPr>
                <w:sz w:val="13"/>
                <w:szCs w:val="13"/>
                <w:color w:val="auto"/>
              </w:rPr>
            </w:pPr>
          </w:p>
        </w:tc>
      </w:tr>
      <w:tr>
        <w:trPr>
          <w:trHeight w:val="198"/>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EFT Processing</w:t>
            </w:r>
          </w:p>
        </w:tc>
        <w:tc>
          <w:tcPr>
            <w:tcW w:w="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261,736</w:t>
            </w:r>
          </w:p>
        </w:tc>
        <w:tc>
          <w:tcPr>
            <w:tcW w:w="36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226,321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35,415</w:t>
            </w:r>
          </w:p>
        </w:tc>
        <w:tc>
          <w:tcPr>
            <w:tcW w:w="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16%</w:t>
            </w:r>
          </w:p>
        </w:tc>
        <w:tc>
          <w:tcPr>
            <w:tcW w:w="28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592,333</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488,030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104,303</w:t>
            </w: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r>
      <w:tr>
        <w:trPr>
          <w:trHeight w:val="199"/>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epay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185,431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184,234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1,197</w:t>
            </w:r>
          </w:p>
        </w:tc>
        <w:tc>
          <w:tcPr>
            <w:tcW w:w="2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5"/>
                <w:szCs w:val="15"/>
                <w:color w:val="auto"/>
              </w:rPr>
              <w:t>528,739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512,531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5"/>
                <w:szCs w:val="15"/>
                <w:color w:val="auto"/>
              </w:rPr>
              <w:t>16,208</w:t>
            </w:r>
          </w:p>
        </w:tc>
        <w:tc>
          <w:tcPr>
            <w:tcW w:w="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3"/>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Money Transfer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268,291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228,105</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40,186</w:t>
            </w: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768,943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649,205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119,738</w:t>
            </w:r>
          </w:p>
        </w:tc>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9"/>
                <w:szCs w:val="19"/>
                <w:color w:val="auto"/>
              </w:rPr>
            </w:pPr>
          </w:p>
        </w:tc>
      </w:tr>
      <w:tr>
        <w:trPr>
          <w:trHeight w:val="190"/>
        </w:trPr>
        <w:tc>
          <w:tcPr>
            <w:tcW w:w="226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715,458</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638,660</w:t>
            </w: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76,798</w:t>
            </w:r>
          </w:p>
        </w:tc>
        <w:tc>
          <w:tcPr>
            <w:tcW w:w="20" w:type="dxa"/>
            <w:vAlign w:val="bottom"/>
            <w:tcBorders>
              <w:top w:val="single" w:sz="8" w:color="auto"/>
            </w:tcBorders>
          </w:tcPr>
          <w:p>
            <w:pPr>
              <w:spacing w:after="0"/>
              <w:rPr>
                <w:sz w:val="16"/>
                <w:szCs w:val="16"/>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5"/>
                <w:szCs w:val="15"/>
                <w:color w:val="auto"/>
              </w:rPr>
              <w:t>1,890,015</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5"/>
              </w:rPr>
              <w:t>1,649,766</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5"/>
                <w:szCs w:val="15"/>
                <w:color w:val="auto"/>
              </w:rPr>
              <w:t>240,249</w:t>
            </w:r>
          </w:p>
        </w:tc>
        <w:tc>
          <w:tcPr>
            <w:tcW w:w="20" w:type="dxa"/>
            <w:vAlign w:val="bottom"/>
            <w:tcBorders>
              <w:top w:val="single" w:sz="8" w:color="auto"/>
            </w:tcBorders>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6"/>
                <w:szCs w:val="16"/>
                <w:color w:val="auto"/>
              </w:rPr>
            </w:pPr>
          </w:p>
        </w:tc>
      </w:tr>
      <w:tr>
        <w:trPr>
          <w:trHeight w:val="23"/>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0"/>
              </w:rPr>
              <w:t>Corporate services, eliminations and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(953)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(826)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(127)</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(1,989)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20" w:type="dxa"/>
            <w:vAlign w:val="bottom"/>
          </w:tcPr>
          <w:p>
            <w:pPr>
              <w:spacing w:after="0"/>
              <w:rPr>
                <w:sz w:val="18"/>
                <w:szCs w:val="18"/>
                <w:color w:val="auto"/>
              </w:rPr>
            </w:pPr>
          </w:p>
        </w:tc>
      </w:tr>
      <w:tr>
        <w:trPr>
          <w:trHeight w:val="207"/>
        </w:trPr>
        <w:tc>
          <w:tcPr>
            <w:tcW w:w="2260" w:type="dxa"/>
            <w:vAlign w:val="bottom"/>
            <w:gridSpan w:val="2"/>
          </w:tcPr>
          <w:p>
            <w:pPr>
              <w:ind w:left="240"/>
              <w:spacing w:after="0"/>
              <w:rPr>
                <w:sz w:val="20"/>
                <w:szCs w:val="20"/>
                <w:color w:val="auto"/>
              </w:rPr>
            </w:pPr>
            <w:r>
              <w:rPr>
                <w:rFonts w:ascii="Arial" w:cs="Arial" w:eastAsia="Arial" w:hAnsi="Arial"/>
                <w:sz w:val="15"/>
                <w:szCs w:val="15"/>
                <w:color w:val="auto"/>
              </w:rPr>
              <w:t>Total</w:t>
            </w:r>
          </w:p>
        </w:tc>
        <w:tc>
          <w:tcPr>
            <w:tcW w:w="14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714,505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637,834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76,671</w:t>
            </w: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5"/>
                <w:szCs w:val="15"/>
                <w:color w:val="auto"/>
              </w:rPr>
              <w:t>12%</w:t>
            </w:r>
          </w:p>
        </w:tc>
        <w:tc>
          <w:tcPr>
            <w:tcW w:w="1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rPr>
              <w:t>1,887,244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5"/>
              </w:rPr>
              <w:t>1,647,777</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5"/>
                <w:szCs w:val="15"/>
                <w:color w:val="auto"/>
              </w:rPr>
              <w:t>239,467</w:t>
            </w:r>
          </w:p>
        </w:tc>
        <w:tc>
          <w:tcPr>
            <w:tcW w:w="20" w:type="dxa"/>
            <w:vAlign w:val="bottom"/>
            <w:tcBorders>
              <w:top w:val="single" w:sz="8" w:color="auto"/>
              <w:bottom w:val="single" w:sz="8" w:color="auto"/>
            </w:tcBorders>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8"/>
          </w:tcPr>
          <w:p>
            <w:pPr>
              <w:ind w:left="20"/>
              <w:spacing w:after="0"/>
              <w:rPr>
                <w:sz w:val="20"/>
                <w:szCs w:val="20"/>
                <w:color w:val="auto"/>
              </w:rPr>
            </w:pPr>
            <w:r>
              <w:rPr>
                <w:rFonts w:ascii="Arial" w:cs="Arial" w:eastAsia="Arial" w:hAnsi="Arial"/>
                <w:sz w:val="12"/>
                <w:szCs w:val="12"/>
                <w:b w:val="1"/>
                <w:bCs w:val="1"/>
                <w:color w:val="auto"/>
              </w:rPr>
              <w:t>Operating Income (Expense) for the Three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8"/>
          </w:tcPr>
          <w:p>
            <w:pPr>
              <w:jc w:val="right"/>
              <w:ind w:right="180"/>
              <w:spacing w:after="0"/>
              <w:rPr>
                <w:sz w:val="20"/>
                <w:szCs w:val="20"/>
                <w:color w:val="auto"/>
              </w:rPr>
            </w:pPr>
            <w:r>
              <w:rPr>
                <w:rFonts w:ascii="Arial" w:cs="Arial" w:eastAsia="Arial" w:hAnsi="Arial"/>
                <w:sz w:val="12"/>
                <w:szCs w:val="12"/>
                <w:b w:val="1"/>
                <w:bCs w:val="1"/>
                <w:color w:val="auto"/>
                <w:w w:val="91"/>
              </w:rPr>
              <w:t>Operating Income (Expense) for the Nine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7"/>
          </w:tcPr>
          <w:p>
            <w:pPr>
              <w:jc w:val="right"/>
              <w:ind w:right="580"/>
              <w:spacing w:after="0"/>
              <w:rPr>
                <w:sz w:val="20"/>
                <w:szCs w:val="20"/>
                <w:color w:val="auto"/>
              </w:rPr>
            </w:pPr>
            <w:r>
              <w:rPr>
                <w:rFonts w:ascii="Arial" w:cs="Arial" w:eastAsia="Arial" w:hAnsi="Arial"/>
                <w:sz w:val="12"/>
                <w:szCs w:val="12"/>
                <w:b w:val="1"/>
                <w:bCs w:val="1"/>
                <w:color w:val="auto"/>
                <w:w w:val="98"/>
              </w:rPr>
              <w:t>Months Ended September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ind w:left="160"/>
              <w:spacing w:after="0"/>
              <w:rPr>
                <w:sz w:val="20"/>
                <w:szCs w:val="20"/>
                <w:color w:val="auto"/>
              </w:rPr>
            </w:pPr>
            <w:r>
              <w:rPr>
                <w:rFonts w:ascii="Arial" w:cs="Arial" w:eastAsia="Arial" w:hAnsi="Arial"/>
                <w:sz w:val="12"/>
                <w:szCs w:val="12"/>
                <w:b w:val="1"/>
                <w:bCs w:val="1"/>
                <w:color w:val="auto"/>
              </w:rPr>
              <w:t>Year-over-Year Change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7"/>
          </w:tcPr>
          <w:p>
            <w:pPr>
              <w:jc w:val="right"/>
              <w:ind w:right="480"/>
              <w:spacing w:after="0"/>
              <w:rPr>
                <w:sz w:val="20"/>
                <w:szCs w:val="20"/>
                <w:color w:val="auto"/>
              </w:rPr>
            </w:pPr>
            <w:r>
              <w:rPr>
                <w:rFonts w:ascii="Arial" w:cs="Arial" w:eastAsia="Arial" w:hAnsi="Arial"/>
                <w:sz w:val="12"/>
                <w:szCs w:val="12"/>
                <w:b w:val="1"/>
                <w:bCs w:val="1"/>
                <w:color w:val="auto"/>
                <w:w w:val="98"/>
              </w:rPr>
              <w:t>Months Ended 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right"/>
              <w:ind w:right="361"/>
              <w:spacing w:after="0"/>
              <w:rPr>
                <w:sz w:val="20"/>
                <w:szCs w:val="20"/>
                <w:color w:val="auto"/>
              </w:rPr>
            </w:pPr>
            <w:r>
              <w:rPr>
                <w:rFonts w:ascii="Arial" w:cs="Arial" w:eastAsia="Arial" w:hAnsi="Arial"/>
                <w:sz w:val="12"/>
                <w:szCs w:val="12"/>
                <w:b w:val="1"/>
                <w:bCs w:val="1"/>
                <w:color w:val="auto"/>
              </w:rPr>
              <w:t>Year-over-Year Change</w:t>
            </w:r>
          </w:p>
        </w:tc>
        <w:tc>
          <w:tcPr>
            <w:tcW w:w="20" w:type="dxa"/>
            <w:vAlign w:val="bottom"/>
          </w:tcPr>
          <w:p>
            <w:pPr>
              <w:spacing w:after="0"/>
              <w:rPr>
                <w:sz w:val="13"/>
                <w:szCs w:val="13"/>
                <w:color w:val="auto"/>
              </w:rPr>
            </w:pPr>
          </w:p>
        </w:tc>
      </w:tr>
      <w:tr>
        <w:trPr>
          <w:trHeight w:val="123"/>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4"/>
          </w:tcPr>
          <w:p>
            <w:pPr>
              <w:jc w:val="center"/>
              <w:ind w:right="300"/>
              <w:spacing w:after="0" w:line="123" w:lineRule="exact"/>
              <w:rPr>
                <w:sz w:val="20"/>
                <w:szCs w:val="20"/>
                <w:color w:val="auto"/>
              </w:rPr>
            </w:pPr>
            <w:r>
              <w:rPr>
                <w:rFonts w:ascii="Arial" w:cs="Arial" w:eastAsia="Arial" w:hAnsi="Arial"/>
                <w:sz w:val="12"/>
                <w:szCs w:val="12"/>
                <w:b w:val="1"/>
                <w:bCs w:val="1"/>
                <w:color w:val="auto"/>
                <w:w w:val="86"/>
              </w:rPr>
              <w:t>Increase</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86"/>
              </w:rPr>
              <w:t>Increase</w:t>
            </w:r>
          </w:p>
        </w:tc>
        <w:tc>
          <w:tcPr>
            <w:tcW w:w="20" w:type="dxa"/>
            <w:vAlign w:val="bottom"/>
            <w:tcBorders>
              <w:top w:val="single" w:sz="8" w:color="auto"/>
            </w:tcBorders>
          </w:tcPr>
          <w:p>
            <w:pPr>
              <w:spacing w:after="0"/>
              <w:rPr>
                <w:sz w:val="10"/>
                <w:szCs w:val="10"/>
                <w:color w:val="auto"/>
              </w:rPr>
            </w:pPr>
          </w:p>
        </w:tc>
      </w:tr>
      <w:tr>
        <w:trPr>
          <w:trHeight w:val="122"/>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tcPr>
          <w:p>
            <w:pPr>
              <w:jc w:val="center"/>
              <w:ind w:right="280"/>
              <w:spacing w:after="0" w:line="122" w:lineRule="exact"/>
              <w:rPr>
                <w:sz w:val="20"/>
                <w:szCs w:val="20"/>
                <w:color w:val="auto"/>
              </w:rPr>
            </w:pPr>
            <w:r>
              <w:rPr>
                <w:rFonts w:ascii="Arial" w:cs="Arial" w:eastAsia="Arial" w:hAnsi="Arial"/>
                <w:sz w:val="12"/>
                <w:szCs w:val="12"/>
                <w:b w:val="1"/>
                <w:bCs w:val="1"/>
                <w:color w:val="auto"/>
                <w:w w:val="84"/>
              </w:rPr>
              <w:t>(Decrease)</w:t>
            </w: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Arial" w:cs="Arial" w:eastAsia="Arial" w:hAnsi="Arial"/>
                <w:sz w:val="12"/>
                <w:szCs w:val="12"/>
                <w:b w:val="1"/>
                <w:bCs w:val="1"/>
                <w:color w:val="auto"/>
              </w:rPr>
              <w:t>Increase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(Decrease)</w:t>
            </w:r>
          </w:p>
        </w:tc>
        <w:tc>
          <w:tcPr>
            <w:tcW w:w="20" w:type="dxa"/>
            <w:vAlign w:val="bottom"/>
          </w:tcPr>
          <w:p>
            <w:pPr>
              <w:spacing w:after="0"/>
              <w:rPr>
                <w:sz w:val="10"/>
                <w:szCs w:val="10"/>
                <w:color w:val="auto"/>
              </w:rPr>
            </w:pPr>
          </w:p>
        </w:tc>
      </w:tr>
      <w:tr>
        <w:trPr>
          <w:trHeight w:val="157"/>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 amounts in thousands)</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71"/>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Percent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Percent</w:t>
            </w:r>
          </w:p>
        </w:tc>
        <w:tc>
          <w:tcPr>
            <w:tcW w:w="20" w:type="dxa"/>
            <w:vAlign w:val="bottom"/>
            <w:tcBorders>
              <w:bottom w:val="single" w:sz="8" w:color="auto"/>
            </w:tcBorders>
          </w:tcPr>
          <w:p>
            <w:pPr>
              <w:spacing w:after="0"/>
              <w:rPr>
                <w:sz w:val="13"/>
                <w:szCs w:val="13"/>
                <w:color w:val="auto"/>
              </w:rPr>
            </w:pPr>
          </w:p>
        </w:tc>
      </w:tr>
      <w:tr>
        <w:trPr>
          <w:trHeight w:val="198"/>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EFT Processing</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110,399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86,797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23,602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174,868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137,090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37,778</w:t>
            </w: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9"/>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epay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16,426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15,650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31"/>
              <w:spacing w:after="0"/>
              <w:rPr>
                <w:sz w:val="20"/>
                <w:szCs w:val="20"/>
                <w:color w:val="auto"/>
              </w:rPr>
            </w:pPr>
            <w:r>
              <w:rPr>
                <w:rFonts w:ascii="Arial" w:cs="Arial" w:eastAsia="Arial" w:hAnsi="Arial"/>
                <w:sz w:val="15"/>
                <w:szCs w:val="15"/>
                <w:color w:val="auto"/>
              </w:rPr>
              <w:t>776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
              <w:spacing w:after="0"/>
              <w:rPr>
                <w:sz w:val="20"/>
                <w:szCs w:val="20"/>
                <w:color w:val="auto"/>
              </w:rPr>
            </w:pPr>
            <w:r>
              <w:rPr>
                <w:rFonts w:ascii="Arial" w:cs="Arial" w:eastAsia="Arial" w:hAnsi="Arial"/>
                <w:sz w:val="15"/>
                <w:szCs w:val="15"/>
                <w:color w:val="auto"/>
              </w:rPr>
              <w:t>49,650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5"/>
                <w:szCs w:val="15"/>
                <w:color w:val="auto"/>
              </w:rPr>
              <w:t>44,361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5"/>
                <w:szCs w:val="15"/>
                <w:color w:val="auto"/>
              </w:rPr>
              <w:t>5,289</w:t>
            </w:r>
          </w:p>
        </w:tc>
        <w:tc>
          <w:tcPr>
            <w:tcW w:w="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12 %</w:t>
            </w:r>
          </w:p>
        </w:tc>
        <w:tc>
          <w:tcPr>
            <w:tcW w:w="20" w:type="dxa"/>
            <w:vAlign w:val="bottom"/>
          </w:tcPr>
          <w:p>
            <w:pPr>
              <w:spacing w:after="0"/>
              <w:rPr>
                <w:sz w:val="17"/>
                <w:szCs w:val="17"/>
                <w:color w:val="auto"/>
              </w:rPr>
            </w:pPr>
          </w:p>
        </w:tc>
      </w:tr>
      <w:tr>
        <w:trPr>
          <w:trHeight w:val="23"/>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Money Transfer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34,251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24,356</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9,895</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93,316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75,355</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17,961</w:t>
            </w:r>
          </w:p>
        </w:tc>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90"/>
        </w:trPr>
        <w:tc>
          <w:tcPr>
            <w:tcW w:w="226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5"/>
                <w:szCs w:val="15"/>
                <w:color w:val="auto"/>
              </w:rPr>
              <w:t>161,076</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126,803</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5"/>
                <w:szCs w:val="15"/>
                <w:color w:val="auto"/>
              </w:rPr>
              <w:t>34,273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5"/>
                <w:szCs w:val="15"/>
                <w:color w:val="auto"/>
              </w:rPr>
              <w:t>317,834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95"/>
              </w:rPr>
              <w:t>256,806</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5"/>
                <w:szCs w:val="15"/>
                <w:color w:val="auto"/>
              </w:rPr>
              <w:t>61,028</w:t>
            </w:r>
          </w:p>
        </w:tc>
        <w:tc>
          <w:tcPr>
            <w:tcW w:w="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24 %</w:t>
            </w:r>
          </w:p>
        </w:tc>
        <w:tc>
          <w:tcPr>
            <w:tcW w:w="20" w:type="dxa"/>
            <w:vAlign w:val="bottom"/>
          </w:tcPr>
          <w:p>
            <w:pPr>
              <w:spacing w:after="0"/>
              <w:rPr>
                <w:sz w:val="16"/>
                <w:szCs w:val="16"/>
                <w:color w:val="auto"/>
              </w:rPr>
            </w:pPr>
          </w:p>
        </w:tc>
      </w:tr>
      <w:tr>
        <w:trPr>
          <w:trHeight w:val="23"/>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Corporate services, eliminations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0"/>
        </w:trPr>
        <w:tc>
          <w:tcPr>
            <w:tcW w:w="2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and other</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(10,163)</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(9,902)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(31,081)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(31,928)</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847</w:t>
            </w: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7"/>
        </w:trPr>
        <w:tc>
          <w:tcPr>
            <w:tcW w:w="2260" w:type="dxa"/>
            <w:vAlign w:val="bottom"/>
            <w:gridSpan w:val="2"/>
          </w:tcPr>
          <w:p>
            <w:pPr>
              <w:ind w:left="24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rPr>
              <w:t>150,913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116,901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5"/>
                <w:szCs w:val="15"/>
                <w:color w:val="auto"/>
              </w:rPr>
              <w:t>34,012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rPr>
              <w:t>286,753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95"/>
              </w:rPr>
              <w:t>224,878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5"/>
                <w:szCs w:val="15"/>
                <w:color w:val="auto"/>
              </w:rPr>
              <w:t>61,875</w:t>
            </w:r>
          </w:p>
        </w:tc>
        <w:tc>
          <w:tcPr>
            <w:tcW w:w="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28 %</w:t>
            </w:r>
          </w:p>
        </w:tc>
        <w:tc>
          <w:tcPr>
            <w:tcW w:w="20" w:type="dxa"/>
            <w:vAlign w:val="bottom"/>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2"/>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20" w:top="129" w:right="29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Impact of changes in foreign currency exchange rates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third quarter and first nine months of 2018 was 1% less and 3% more, respectively, due to the changes in foreign currency exchange rates when compared to the same periods of 2017.</w:t>
      </w:r>
    </w:p>
    <w:p>
      <w:pPr>
        <w:spacing w:after="0" w:line="69"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3"/>
          </w:tcPr>
          <w:p>
            <w:pPr>
              <w:jc w:val="right"/>
              <w:ind w:right="208"/>
              <w:spacing w:after="0"/>
              <w:rPr>
                <w:sz w:val="20"/>
                <w:szCs w:val="20"/>
                <w:color w:val="auto"/>
              </w:rPr>
            </w:pPr>
            <w:r>
              <w:rPr>
                <w:rFonts w:ascii="Arial" w:cs="Arial" w:eastAsia="Arial" w:hAnsi="Arial"/>
                <w:sz w:val="12"/>
                <w:szCs w:val="12"/>
                <w:b w:val="1"/>
                <w:bCs w:val="1"/>
                <w:color w:val="auto"/>
                <w:w w:val="88"/>
              </w:rPr>
              <w:t>Average Translation Rate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6"/>
              </w:rPr>
              <w:t>Increase</w:t>
            </w:r>
          </w:p>
        </w:tc>
        <w:tc>
          <w:tcPr>
            <w:tcW w:w="340" w:type="dxa"/>
            <w:vAlign w:val="bottom"/>
          </w:tcPr>
          <w:p>
            <w:pPr>
              <w:spacing w:after="0"/>
              <w:rPr>
                <w:sz w:val="12"/>
                <w:szCs w:val="12"/>
                <w:color w:val="auto"/>
              </w:rPr>
            </w:pPr>
          </w:p>
        </w:tc>
        <w:tc>
          <w:tcPr>
            <w:tcW w:w="2580" w:type="dxa"/>
            <w:vAlign w:val="bottom"/>
            <w:gridSpan w:val="4"/>
          </w:tcPr>
          <w:p>
            <w:pPr>
              <w:jc w:val="right"/>
              <w:ind w:right="728"/>
              <w:spacing w:after="0"/>
              <w:rPr>
                <w:sz w:val="20"/>
                <w:szCs w:val="20"/>
                <w:color w:val="auto"/>
              </w:rPr>
            </w:pPr>
            <w:r>
              <w:rPr>
                <w:rFonts w:ascii="Arial" w:cs="Arial" w:eastAsia="Arial" w:hAnsi="Arial"/>
                <w:sz w:val="12"/>
                <w:szCs w:val="12"/>
                <w:b w:val="1"/>
                <w:bCs w:val="1"/>
                <w:color w:val="auto"/>
              </w:rPr>
              <w:t>Average Translation Rate</w:t>
            </w: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Increase</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tcPr>
          <w:p>
            <w:pPr>
              <w:jc w:val="right"/>
              <w:spacing w:after="0" w:line="118" w:lineRule="exact"/>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2580" w:type="dxa"/>
            <w:vAlign w:val="bottom"/>
            <w:gridSpan w:val="4"/>
          </w:tcPr>
          <w:p>
            <w:pPr>
              <w:ind w:left="240"/>
              <w:spacing w:after="0" w:line="118" w:lineRule="exact"/>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restart"/>
          </w:tcPr>
          <w:p>
            <w:pPr>
              <w:jc w:val="center"/>
              <w:ind w:right="220"/>
              <w:spacing w:after="0" w:line="116" w:lineRule="exact"/>
              <w:rPr>
                <w:sz w:val="20"/>
                <w:szCs w:val="20"/>
                <w:color w:val="auto"/>
              </w:rPr>
            </w:pPr>
            <w:r>
              <w:rPr>
                <w:rFonts w:ascii="Arial" w:cs="Arial" w:eastAsia="Arial" w:hAnsi="Arial"/>
                <w:sz w:val="12"/>
                <w:szCs w:val="12"/>
                <w:b w:val="1"/>
                <w:bCs w:val="1"/>
                <w:color w:val="auto"/>
                <w:w w:val="84"/>
              </w:rPr>
              <w:t>(Decrease)</w:t>
            </w: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vMerge w:val="restart"/>
          </w:tcPr>
          <w:p>
            <w:pPr>
              <w:jc w:val="center"/>
              <w:spacing w:after="0" w:line="116" w:lineRule="exact"/>
              <w:rPr>
                <w:sz w:val="20"/>
                <w:szCs w:val="20"/>
                <w:color w:val="auto"/>
              </w:rPr>
            </w:pPr>
            <w:r>
              <w:rPr>
                <w:rFonts w:ascii="Arial" w:cs="Arial" w:eastAsia="Arial" w:hAnsi="Arial"/>
                <w:sz w:val="12"/>
                <w:szCs w:val="12"/>
                <w:b w:val="1"/>
                <w:bCs w:val="1"/>
                <w:color w:val="auto"/>
                <w:w w:val="84"/>
              </w:rPr>
              <w:t>(Decrease)</w:t>
            </w:r>
          </w:p>
        </w:tc>
        <w:tc>
          <w:tcPr>
            <w:tcW w:w="0" w:type="dxa"/>
            <w:vAlign w:val="bottom"/>
          </w:tcPr>
          <w:p>
            <w:pPr>
              <w:spacing w:after="0"/>
              <w:rPr>
                <w:sz w:val="1"/>
                <w:szCs w:val="1"/>
                <w:color w:val="auto"/>
              </w:rPr>
            </w:pPr>
          </w:p>
        </w:tc>
      </w:tr>
      <w:tr>
        <w:trPr>
          <w:trHeight w:val="51"/>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Currency (dollars per foreign currency)</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Percent</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Percent</w:t>
            </w:r>
          </w:p>
        </w:tc>
        <w:tc>
          <w:tcPr>
            <w:tcW w:w="0" w:type="dxa"/>
            <w:vAlign w:val="bottom"/>
          </w:tcPr>
          <w:p>
            <w:pPr>
              <w:spacing w:after="0"/>
              <w:rPr>
                <w:sz w:val="1"/>
                <w:szCs w:val="1"/>
                <w:color w:val="auto"/>
              </w:rPr>
            </w:pPr>
          </w:p>
        </w:tc>
      </w:tr>
      <w:tr>
        <w:trPr>
          <w:trHeight w:val="198"/>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Australian dollar</w:t>
            </w:r>
          </w:p>
        </w:tc>
        <w:tc>
          <w:tcPr>
            <w:tcW w:w="82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0.7311</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87"/>
              </w:rPr>
              <w:t>0.7896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0.7579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0.7661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2880" w:type="dxa"/>
            <w:vAlign w:val="bottom"/>
            <w:gridSpan w:val="2"/>
          </w:tcPr>
          <w:p>
            <w:pPr>
              <w:ind w:left="40"/>
              <w:spacing w:after="0"/>
              <w:rPr>
                <w:sz w:val="20"/>
                <w:szCs w:val="20"/>
                <w:color w:val="auto"/>
              </w:rPr>
            </w:pPr>
            <w:r>
              <w:rPr>
                <w:rFonts w:ascii="Arial" w:cs="Arial" w:eastAsia="Arial" w:hAnsi="Arial"/>
                <w:sz w:val="15"/>
                <w:szCs w:val="15"/>
                <w:color w:val="auto"/>
              </w:rPr>
              <w:t>British pound</w:t>
            </w:r>
          </w:p>
        </w:tc>
        <w:tc>
          <w:tcPr>
            <w:tcW w:w="820" w:type="dxa"/>
            <w:vAlign w:val="bottom"/>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1.3027</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26"/>
              <w:spacing w:after="0"/>
              <w:rPr>
                <w:sz w:val="20"/>
                <w:szCs w:val="20"/>
                <w:color w:val="auto"/>
              </w:rPr>
            </w:pPr>
            <w:r>
              <w:rPr>
                <w:rFonts w:ascii="Arial" w:cs="Arial" w:eastAsia="Arial" w:hAnsi="Arial"/>
                <w:sz w:val="15"/>
                <w:szCs w:val="15"/>
                <w:color w:val="auto"/>
                <w:w w:val="87"/>
              </w:rPr>
              <w:t>1.3091</w:t>
            </w:r>
          </w:p>
        </w:tc>
        <w:tc>
          <w:tcPr>
            <w:tcW w:w="100" w:type="dxa"/>
            <w:vAlign w:val="bottom"/>
          </w:tcPr>
          <w:p>
            <w:pPr>
              <w:spacing w:after="0"/>
              <w:rPr>
                <w:sz w:val="17"/>
                <w:szCs w:val="17"/>
                <w:color w:val="auto"/>
              </w:rPr>
            </w:pPr>
          </w:p>
        </w:tc>
        <w:tc>
          <w:tcPr>
            <w:tcW w:w="1180" w:type="dxa"/>
            <w:vAlign w:val="bottom"/>
            <w:gridSpan w:val="2"/>
          </w:tcPr>
          <w:p>
            <w:pPr>
              <w:ind w:left="620"/>
              <w:spacing w:after="0"/>
              <w:rPr>
                <w:sz w:val="20"/>
                <w:szCs w:val="20"/>
                <w:color w:val="auto"/>
              </w:rPr>
            </w:pPr>
            <w:r>
              <w:rPr>
                <w:rFonts w:ascii="Arial" w:cs="Arial" w:eastAsia="Arial" w:hAnsi="Arial"/>
                <w:sz w:val="15"/>
                <w:szCs w:val="15"/>
                <w:color w:val="auto"/>
              </w:rPr>
              <w:t>— %</w:t>
            </w: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0"/>
              <w:spacing w:after="0"/>
              <w:rPr>
                <w:sz w:val="20"/>
                <w:szCs w:val="20"/>
                <w:color w:val="auto"/>
              </w:rPr>
            </w:pPr>
            <w:r>
              <w:rPr>
                <w:rFonts w:ascii="Arial" w:cs="Arial" w:eastAsia="Arial" w:hAnsi="Arial"/>
                <w:sz w:val="15"/>
                <w:szCs w:val="15"/>
                <w:color w:val="auto"/>
              </w:rPr>
              <w:t>1.3516</w:t>
            </w:r>
          </w:p>
        </w:tc>
        <w:tc>
          <w:tcPr>
            <w:tcW w:w="10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1.2756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euro</w:t>
            </w:r>
          </w:p>
        </w:tc>
        <w:tc>
          <w:tcPr>
            <w:tcW w:w="82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1.1624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87"/>
              </w:rPr>
              <w:t>1.1754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1.1944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1.1136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7 %</w:t>
            </w:r>
          </w:p>
        </w:tc>
        <w:tc>
          <w:tcPr>
            <w:tcW w:w="0" w:type="dxa"/>
            <w:vAlign w:val="bottom"/>
          </w:tcPr>
          <w:p>
            <w:pPr>
              <w:spacing w:after="0"/>
              <w:rPr>
                <w:sz w:val="1"/>
                <w:szCs w:val="1"/>
                <w:color w:val="auto"/>
              </w:rPr>
            </w:pPr>
          </w:p>
        </w:tc>
      </w:tr>
      <w:tr>
        <w:trPr>
          <w:trHeight w:val="199"/>
        </w:trPr>
        <w:tc>
          <w:tcPr>
            <w:tcW w:w="2880" w:type="dxa"/>
            <w:vAlign w:val="bottom"/>
            <w:gridSpan w:val="2"/>
          </w:tcPr>
          <w:p>
            <w:pPr>
              <w:ind w:left="40"/>
              <w:spacing w:after="0"/>
              <w:rPr>
                <w:sz w:val="20"/>
                <w:szCs w:val="20"/>
                <w:color w:val="auto"/>
              </w:rPr>
            </w:pPr>
            <w:r>
              <w:rPr>
                <w:rFonts w:ascii="Arial" w:cs="Arial" w:eastAsia="Arial" w:hAnsi="Arial"/>
                <w:sz w:val="15"/>
                <w:szCs w:val="15"/>
                <w:color w:val="auto"/>
              </w:rPr>
              <w:t>Hungarian forint</w:t>
            </w:r>
          </w:p>
        </w:tc>
        <w:tc>
          <w:tcPr>
            <w:tcW w:w="820" w:type="dxa"/>
            <w:vAlign w:val="bottom"/>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0.0036</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26"/>
              <w:spacing w:after="0"/>
              <w:rPr>
                <w:sz w:val="20"/>
                <w:szCs w:val="20"/>
                <w:color w:val="auto"/>
              </w:rPr>
            </w:pPr>
            <w:r>
              <w:rPr>
                <w:rFonts w:ascii="Arial" w:cs="Arial" w:eastAsia="Arial" w:hAnsi="Arial"/>
                <w:sz w:val="15"/>
                <w:szCs w:val="15"/>
                <w:color w:val="auto"/>
                <w:w w:val="87"/>
              </w:rPr>
              <w:t>0.0038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0"/>
              <w:spacing w:after="0"/>
              <w:rPr>
                <w:sz w:val="20"/>
                <w:szCs w:val="20"/>
                <w:color w:val="auto"/>
              </w:rPr>
            </w:pPr>
            <w:r>
              <w:rPr>
                <w:rFonts w:ascii="Arial" w:cs="Arial" w:eastAsia="Arial" w:hAnsi="Arial"/>
                <w:sz w:val="15"/>
                <w:szCs w:val="15"/>
                <w:color w:val="auto"/>
              </w:rPr>
              <w:t>0.0038</w:t>
            </w:r>
          </w:p>
        </w:tc>
        <w:tc>
          <w:tcPr>
            <w:tcW w:w="10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0.0036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Indian rupee</w:t>
            </w:r>
          </w:p>
        </w:tc>
        <w:tc>
          <w:tcPr>
            <w:tcW w:w="82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0.0143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87"/>
              </w:rPr>
              <w:t>0.0156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0.0149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0.0153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2880" w:type="dxa"/>
            <w:vAlign w:val="bottom"/>
            <w:gridSpan w:val="2"/>
          </w:tcPr>
          <w:p>
            <w:pPr>
              <w:ind w:left="40"/>
              <w:spacing w:after="0"/>
              <w:rPr>
                <w:sz w:val="20"/>
                <w:szCs w:val="20"/>
                <w:color w:val="auto"/>
              </w:rPr>
            </w:pPr>
            <w:r>
              <w:rPr>
                <w:rFonts w:ascii="Arial" w:cs="Arial" w:eastAsia="Arial" w:hAnsi="Arial"/>
                <w:sz w:val="15"/>
                <w:szCs w:val="15"/>
                <w:color w:val="auto"/>
              </w:rPr>
              <w:t>Malaysian ringgit</w:t>
            </w:r>
          </w:p>
        </w:tc>
        <w:tc>
          <w:tcPr>
            <w:tcW w:w="820" w:type="dxa"/>
            <w:vAlign w:val="bottom"/>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0.2444</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26"/>
              <w:spacing w:after="0"/>
              <w:rPr>
                <w:sz w:val="20"/>
                <w:szCs w:val="20"/>
                <w:color w:val="auto"/>
              </w:rPr>
            </w:pPr>
            <w:r>
              <w:rPr>
                <w:rFonts w:ascii="Arial" w:cs="Arial" w:eastAsia="Arial" w:hAnsi="Arial"/>
                <w:sz w:val="15"/>
                <w:szCs w:val="15"/>
                <w:color w:val="auto"/>
                <w:w w:val="87"/>
              </w:rPr>
              <w:t>0.2347</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4 %</w:t>
            </w:r>
          </w:p>
        </w:tc>
        <w:tc>
          <w:tcPr>
            <w:tcW w:w="22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0"/>
              <w:spacing w:after="0"/>
              <w:rPr>
                <w:sz w:val="20"/>
                <w:szCs w:val="20"/>
                <w:color w:val="auto"/>
              </w:rPr>
            </w:pPr>
            <w:r>
              <w:rPr>
                <w:rFonts w:ascii="Arial" w:cs="Arial" w:eastAsia="Arial" w:hAnsi="Arial"/>
                <w:sz w:val="15"/>
                <w:szCs w:val="15"/>
                <w:color w:val="auto"/>
              </w:rPr>
              <w:t>0.2509</w:t>
            </w:r>
          </w:p>
        </w:tc>
        <w:tc>
          <w:tcPr>
            <w:tcW w:w="10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0.2302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9 %</w:t>
            </w: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New Zealand dollar</w:t>
            </w:r>
          </w:p>
        </w:tc>
        <w:tc>
          <w:tcPr>
            <w:tcW w:w="82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0.6684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87"/>
              </w:rPr>
              <w:t>0.7309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0.6999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0.7156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2880" w:type="dxa"/>
            <w:vAlign w:val="bottom"/>
            <w:gridSpan w:val="2"/>
          </w:tcPr>
          <w:p>
            <w:pPr>
              <w:ind w:left="40"/>
              <w:spacing w:after="0"/>
              <w:rPr>
                <w:sz w:val="20"/>
                <w:szCs w:val="20"/>
                <w:color w:val="auto"/>
              </w:rPr>
            </w:pPr>
            <w:r>
              <w:rPr>
                <w:rFonts w:ascii="Arial" w:cs="Arial" w:eastAsia="Arial" w:hAnsi="Arial"/>
                <w:sz w:val="15"/>
                <w:szCs w:val="15"/>
                <w:color w:val="auto"/>
              </w:rPr>
              <w:t>Polish zloty</w:t>
            </w:r>
          </w:p>
        </w:tc>
        <w:tc>
          <w:tcPr>
            <w:tcW w:w="820" w:type="dxa"/>
            <w:vAlign w:val="bottom"/>
          </w:tcPr>
          <w:p>
            <w:pPr>
              <w:jc w:val="right"/>
              <w:ind w:right="649"/>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0.2702</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26"/>
              <w:spacing w:after="0"/>
              <w:rPr>
                <w:sz w:val="20"/>
                <w:szCs w:val="20"/>
                <w:color w:val="auto"/>
              </w:rPr>
            </w:pPr>
            <w:r>
              <w:rPr>
                <w:rFonts w:ascii="Arial" w:cs="Arial" w:eastAsia="Arial" w:hAnsi="Arial"/>
                <w:sz w:val="15"/>
                <w:szCs w:val="15"/>
                <w:color w:val="auto"/>
                <w:w w:val="87"/>
              </w:rPr>
              <w:t>0.2762</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0"/>
              <w:spacing w:after="0"/>
              <w:rPr>
                <w:sz w:val="20"/>
                <w:szCs w:val="20"/>
                <w:color w:val="auto"/>
              </w:rPr>
            </w:pPr>
            <w:r>
              <w:rPr>
                <w:rFonts w:ascii="Arial" w:cs="Arial" w:eastAsia="Arial" w:hAnsi="Arial"/>
                <w:sz w:val="15"/>
                <w:szCs w:val="15"/>
                <w:color w:val="auto"/>
              </w:rPr>
              <w:t>0.2814</w:t>
            </w:r>
          </w:p>
        </w:tc>
        <w:tc>
          <w:tcPr>
            <w:tcW w:w="10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0.2613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8 %</w:t>
            </w:r>
          </w:p>
        </w:tc>
        <w:tc>
          <w:tcPr>
            <w:tcW w:w="0" w:type="dxa"/>
            <w:vAlign w:val="bottom"/>
          </w:tcPr>
          <w:p>
            <w:pPr>
              <w:spacing w:after="0"/>
              <w:rPr>
                <w:sz w:val="1"/>
                <w:szCs w:val="1"/>
                <w:color w:val="auto"/>
              </w:rPr>
            </w:pPr>
          </w:p>
        </w:tc>
      </w:tr>
      <w:tr>
        <w:trPr>
          <w:trHeight w:val="488"/>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27</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129" w:right="25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OPERATING RESULTS FOR THE THREE AND NINE MONTHS ENDED SEPTEMBER 30, 2018 AND 2017</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EFT PROCESSING SEGMENT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results of operations for the three and nine months ended September 30, 2018 and 2017 for our EFT Processing Segment: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5"/>
          </w:tcPr>
          <w:p>
            <w:pPr>
              <w:ind w:left="340"/>
              <w:spacing w:after="0"/>
              <w:rPr>
                <w:sz w:val="20"/>
                <w:szCs w:val="20"/>
                <w:color w:val="auto"/>
              </w:rPr>
            </w:pPr>
            <w:r>
              <w:rPr>
                <w:rFonts w:ascii="Arial" w:cs="Arial" w:eastAsia="Arial" w:hAnsi="Arial"/>
                <w:sz w:val="12"/>
                <w:szCs w:val="12"/>
                <w:b w:val="1"/>
                <w:bCs w:val="1"/>
                <w:color w:val="auto"/>
              </w:rPr>
              <w:t>Nine Months Ended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7"/>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4"/>
          </w:tcPr>
          <w:p>
            <w:pPr>
              <w:ind w:left="220"/>
              <w:spacing w:after="0"/>
              <w:rPr>
                <w:sz w:val="20"/>
                <w:szCs w:val="20"/>
                <w:color w:val="auto"/>
              </w:rPr>
            </w:pPr>
            <w:r>
              <w:rPr>
                <w:rFonts w:ascii="Arial" w:cs="Arial" w:eastAsia="Arial" w:hAnsi="Arial"/>
                <w:sz w:val="12"/>
                <w:szCs w:val="12"/>
                <w:b w:val="1"/>
                <w:bCs w:val="1"/>
                <w:color w:val="auto"/>
              </w:rPr>
              <w:t>Year-over-Year Change</w:t>
            </w:r>
          </w:p>
        </w:tc>
        <w:tc>
          <w:tcPr>
            <w:tcW w:w="2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rPr>
              <w:t>Year-over-Year Change</w:t>
            </w:r>
          </w:p>
        </w:tc>
      </w:tr>
      <w:tr>
        <w:trPr>
          <w:trHeight w:val="123"/>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3" w:lineRule="exact"/>
              <w:rPr>
                <w:sz w:val="20"/>
                <w:szCs w:val="20"/>
                <w:color w:val="auto"/>
              </w:rPr>
            </w:pPr>
            <w:r>
              <w:rPr>
                <w:rFonts w:ascii="Arial" w:cs="Arial" w:eastAsia="Arial" w:hAnsi="Arial"/>
                <w:sz w:val="12"/>
                <w:szCs w:val="12"/>
                <w:b w:val="1"/>
                <w:bCs w:val="1"/>
                <w:color w:val="auto"/>
                <w:w w:val="86"/>
              </w:rPr>
              <w:t>Increase</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122"/>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69"/>
              <w:spacing w:after="0" w:line="122" w:lineRule="exact"/>
              <w:rPr>
                <w:sz w:val="20"/>
                <w:szCs w:val="20"/>
                <w:color w:val="auto"/>
              </w:rPr>
            </w:pPr>
            <w:r>
              <w:rPr>
                <w:rFonts w:ascii="Arial" w:cs="Arial" w:eastAsia="Arial" w:hAnsi="Arial"/>
                <w:sz w:val="12"/>
                <w:szCs w:val="12"/>
                <w:b w:val="1"/>
                <w:bCs w:val="1"/>
                <w:color w:val="auto"/>
                <w:w w:val="94"/>
              </w:rPr>
              <w:t>Increase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90"/>
              <w:spacing w:after="0" w:line="122" w:lineRule="exact"/>
              <w:rPr>
                <w:sz w:val="20"/>
                <w:szCs w:val="20"/>
                <w:color w:val="auto"/>
              </w:rPr>
            </w:pPr>
            <w:r>
              <w:rPr>
                <w:rFonts w:ascii="Arial" w:cs="Arial" w:eastAsia="Arial" w:hAnsi="Arial"/>
                <w:sz w:val="12"/>
                <w:szCs w:val="12"/>
                <w:b w:val="1"/>
                <w:bCs w:val="1"/>
                <w:color w:val="auto"/>
                <w:w w:val="84"/>
              </w:rPr>
              <w:t>(Decrease)</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57"/>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 amounts in thousands)</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Increase Percent</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Increase Percent</w:t>
            </w:r>
          </w:p>
        </w:tc>
      </w:tr>
      <w:tr>
        <w:trPr>
          <w:trHeight w:val="218"/>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261,736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9"/>
              </w:rPr>
              <w:t>226,321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35,415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592,333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488,030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104,303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90"/>
        </w:trPr>
        <w:tc>
          <w:tcPr>
            <w:tcW w:w="278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2"/>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101,763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99,024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2,739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279,927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238,753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41,174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199"/>
        </w:trPr>
        <w:tc>
          <w:tcPr>
            <w:tcW w:w="278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24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5"/>
                <w:szCs w:val="15"/>
                <w:color w:val="auto"/>
              </w:rPr>
              <w:t>21,653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16,817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
              <w:spacing w:after="0"/>
              <w:rPr>
                <w:sz w:val="20"/>
                <w:szCs w:val="20"/>
                <w:color w:val="auto"/>
              </w:rPr>
            </w:pPr>
            <w:r>
              <w:rPr>
                <w:rFonts w:ascii="Arial" w:cs="Arial" w:eastAsia="Arial" w:hAnsi="Arial"/>
                <w:sz w:val="15"/>
                <w:szCs w:val="15"/>
                <w:color w:val="auto"/>
              </w:rPr>
              <w:t>4,836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57,704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46,125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11,579</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25%</w:t>
            </w: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2"/>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11,227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8,878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2,349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30,557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23,960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6,597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99"/>
        </w:trPr>
        <w:tc>
          <w:tcPr>
            <w:tcW w:w="2780" w:type="dxa"/>
            <w:vAlign w:val="bottom"/>
            <w:gridSpan w:val="2"/>
          </w:tcPr>
          <w:p>
            <w:pPr>
              <w:ind w:left="140"/>
              <w:spacing w:after="0"/>
              <w:rPr>
                <w:sz w:val="20"/>
                <w:szCs w:val="20"/>
                <w:color w:val="auto"/>
              </w:rPr>
            </w:pPr>
            <w:r>
              <w:rPr>
                <w:rFonts w:ascii="Arial" w:cs="Arial" w:eastAsia="Arial" w:hAnsi="Arial"/>
                <w:sz w:val="15"/>
                <w:szCs w:val="15"/>
                <w:color w:val="auto"/>
              </w:rPr>
              <w:t>Acquired intangible assets impairment</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ind w:left="560"/>
              <w:spacing w:after="0"/>
              <w:rPr>
                <w:sz w:val="20"/>
                <w:szCs w:val="20"/>
                <w:color w:val="auto"/>
              </w:rPr>
            </w:pPr>
            <w:r>
              <w:rPr>
                <w:rFonts w:ascii="Arial" w:cs="Arial" w:eastAsia="Arial" w:hAnsi="Arial"/>
                <w:sz w:val="15"/>
                <w:szCs w:val="15"/>
                <w:color w:val="auto"/>
              </w:rPr>
              <w:t>n/m</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2,286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(2,286)</w:t>
            </w:r>
          </w:p>
        </w:tc>
        <w:tc>
          <w:tcPr>
            <w:tcW w:w="100" w:type="dxa"/>
            <w:vAlign w:val="bottom"/>
          </w:tcPr>
          <w:p>
            <w:pPr>
              <w:spacing w:after="0"/>
              <w:rPr>
                <w:sz w:val="17"/>
                <w:szCs w:val="17"/>
                <w:color w:val="auto"/>
              </w:rPr>
            </w:pPr>
          </w:p>
        </w:tc>
        <w:tc>
          <w:tcPr>
            <w:tcW w:w="960" w:type="dxa"/>
            <w:vAlign w:val="bottom"/>
          </w:tcPr>
          <w:p>
            <w:pPr>
              <w:jc w:val="right"/>
              <w:ind w:right="93"/>
              <w:spacing w:after="0"/>
              <w:rPr>
                <w:sz w:val="20"/>
                <w:szCs w:val="20"/>
                <w:color w:val="auto"/>
              </w:rPr>
            </w:pPr>
            <w:r>
              <w:rPr>
                <w:rFonts w:ascii="Arial" w:cs="Arial" w:eastAsia="Arial" w:hAnsi="Arial"/>
                <w:sz w:val="15"/>
                <w:szCs w:val="15"/>
                <w:color w:val="auto"/>
              </w:rPr>
              <w:t>n/m</w:t>
            </w: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16,694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14,805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1,889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49,277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39,816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9,461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90"/>
        </w:trPr>
        <w:tc>
          <w:tcPr>
            <w:tcW w:w="2780" w:type="dxa"/>
            <w:vAlign w:val="bottom"/>
            <w:gridSpan w:val="2"/>
          </w:tcPr>
          <w:p>
            <w:pPr>
              <w:ind w:left="3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5"/>
                <w:szCs w:val="15"/>
                <w:color w:val="auto"/>
              </w:rPr>
              <w:t>151,337</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99"/>
              </w:rPr>
              <w:t>139,524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
              <w:spacing w:after="0"/>
              <w:rPr>
                <w:sz w:val="20"/>
                <w:szCs w:val="20"/>
                <w:color w:val="auto"/>
              </w:rPr>
            </w:pPr>
            <w:r>
              <w:rPr>
                <w:rFonts w:ascii="Arial" w:cs="Arial" w:eastAsia="Arial" w:hAnsi="Arial"/>
                <w:sz w:val="15"/>
                <w:szCs w:val="15"/>
                <w:color w:val="auto"/>
              </w:rPr>
              <w:t>11,813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417,465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9"/>
              </w:rPr>
              <w:t>350,940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5"/>
                <w:szCs w:val="15"/>
                <w:color w:val="auto"/>
              </w:rPr>
              <w:t>66,525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3"/>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07"/>
        </w:trPr>
        <w:tc>
          <w:tcPr>
            <w:tcW w:w="2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Operating income</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110,399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86,797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23,602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174,868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137,090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37,778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8"/>
        </w:trPr>
        <w:tc>
          <w:tcPr>
            <w:tcW w:w="2780" w:type="dxa"/>
            <w:vAlign w:val="bottom"/>
            <w:gridSpan w:val="2"/>
          </w:tcPr>
          <w:p>
            <w:pPr>
              <w:ind w:left="140"/>
              <w:spacing w:after="0"/>
              <w:rPr>
                <w:sz w:val="20"/>
                <w:szCs w:val="20"/>
                <w:color w:val="auto"/>
              </w:rPr>
            </w:pPr>
            <w:r>
              <w:rPr>
                <w:rFonts w:ascii="Arial" w:cs="Arial" w:eastAsia="Arial" w:hAnsi="Arial"/>
                <w:sz w:val="15"/>
                <w:szCs w:val="15"/>
                <w:color w:val="auto"/>
              </w:rPr>
              <w:t>Transactions processed (millions)</w:t>
            </w:r>
          </w:p>
        </w:tc>
        <w:tc>
          <w:tcPr>
            <w:tcW w:w="24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5"/>
                <w:szCs w:val="15"/>
                <w:color w:val="auto"/>
              </w:rPr>
              <w:t>711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5"/>
                <w:szCs w:val="15"/>
                <w:color w:val="auto"/>
              </w:rPr>
              <w:t>96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2,010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1,726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284</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2"/>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ATMs as of September 30,</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41,902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38,105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3,797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41,902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38,105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3,797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9"/>
        </w:trPr>
        <w:tc>
          <w:tcPr>
            <w:tcW w:w="2780" w:type="dxa"/>
            <w:vAlign w:val="bottom"/>
            <w:gridSpan w:val="2"/>
          </w:tcPr>
          <w:p>
            <w:pPr>
              <w:ind w:left="140"/>
              <w:spacing w:after="0"/>
              <w:rPr>
                <w:sz w:val="20"/>
                <w:szCs w:val="20"/>
                <w:color w:val="auto"/>
              </w:rPr>
            </w:pPr>
            <w:r>
              <w:rPr>
                <w:rFonts w:ascii="Arial" w:cs="Arial" w:eastAsia="Arial" w:hAnsi="Arial"/>
                <w:sz w:val="15"/>
                <w:szCs w:val="15"/>
                <w:color w:val="auto"/>
              </w:rPr>
              <w:t>Average ATMs</w:t>
            </w:r>
          </w:p>
        </w:tc>
        <w:tc>
          <w:tcPr>
            <w:tcW w:w="24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5"/>
                <w:szCs w:val="15"/>
                <w:color w:val="auto"/>
              </w:rPr>
              <w:t>41,761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47"/>
              <w:spacing w:after="0"/>
              <w:rPr>
                <w:sz w:val="20"/>
                <w:szCs w:val="20"/>
                <w:color w:val="auto"/>
              </w:rPr>
            </w:pPr>
            <w:r>
              <w:rPr>
                <w:rFonts w:ascii="Arial" w:cs="Arial" w:eastAsia="Arial" w:hAnsi="Arial"/>
                <w:sz w:val="15"/>
                <w:szCs w:val="15"/>
                <w:color w:val="auto"/>
              </w:rPr>
              <w:t>38,123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
              <w:spacing w:after="0"/>
              <w:rPr>
                <w:sz w:val="20"/>
                <w:szCs w:val="20"/>
                <w:color w:val="auto"/>
              </w:rPr>
            </w:pPr>
            <w:r>
              <w:rPr>
                <w:rFonts w:ascii="Arial" w:cs="Arial" w:eastAsia="Arial" w:hAnsi="Arial"/>
                <w:sz w:val="15"/>
                <w:szCs w:val="15"/>
                <w:color w:val="auto"/>
              </w:rPr>
              <w:t>3,638</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39,975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36,524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3,451</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9%</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EFT Processing Segment total revenues for the three and nine months ended September 30, 2018 were $261.7 million and $592.3 million, respectively, an increase of $35.4 million or 16% and $104.3 million or 21% as compared to the same periods in 2017. The increase in total revenues for the three and nine months ended September 30, 2018 were primarily due to an increase in the number of ATMs under management in Europe. Specifically, the increase in the number of ATMs contributed to increases in the number of transactions processed. The transaction growth includes an increase in value-added transactions on the ATMs and point-of-sale terminals, including dynamic currency conversion, domestic and international surcharge, and foreign currency dispensing. The increases for the first nine months of 2018 were also impacted by the recovery from a cash shortage in India due to the demonetization initiated in the fourth quarter of 2016, which carried over into the first half of 2017. In the second half of 2017, the India cash supply returned to near pre-demonetization levels. Foreign currency exchange rate movements increased total revenues by approximately $20.3 million for the first nine months of 2018 as compared to the same period in 2017 and decreased total revenues by approximately $4.8 million for the third quarter of 2018 as compared to the same period in 2017.</w:t>
      </w:r>
    </w:p>
    <w:p>
      <w:pPr>
        <w:spacing w:after="0" w:line="60"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color w:val="auto"/>
        </w:rPr>
        <w:t>Average monthly revenues per ATM were $2,089 and $1,646 for the three and nine months ended September 30, 2018, respectively, compared to $1,979 and $1,485 for the three and nine months ended September 30, 2017, respectively. Revenues per transaction were $0.37 for the third quarter and $0.29 for the first nine months of 2018, respectively, compared to $0.37 for the third quarter and and $0.28 for the first nine months of 2017, respectively. The increase in average monthly revenues per ATM for the first nine months of 2018 was primarily the result of the impact of the weakening of the U.S. dollar against key foreign currencies.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operating costs</w:t>
      </w:r>
    </w:p>
    <w:p>
      <w:pPr>
        <w:spacing w:after="0" w:line="94"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EFT Processing Segment direct operating costs were $101.8 million and $279.9 million for the three and nine months ended September 30, 2018, respectively, an increase of $2.7 million or 3% and $41.2 million or 17% as compared to the same periods in 2017.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nine months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ind w:right="620"/>
        <w:spacing w:after="0" w:line="268" w:lineRule="auto"/>
        <w:rPr>
          <w:sz w:val="20"/>
          <w:szCs w:val="20"/>
          <w:color w:val="auto"/>
        </w:rPr>
      </w:pPr>
      <w:r>
        <w:rPr>
          <w:rFonts w:ascii="Arial" w:cs="Arial" w:eastAsia="Arial" w:hAnsi="Arial"/>
          <w:sz w:val="15"/>
          <w:szCs w:val="15"/>
          <w:color w:val="auto"/>
        </w:rPr>
        <w:t>ended September 30, 2018 were primarily due to an increase in the number of ATMs under management, particularly our independent ATM network which has more seasonal revenue generation.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w:t>
      </w:r>
    </w:p>
    <w:p>
      <w:pPr>
        <w:spacing w:after="0" w:line="94"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Gross profit, which is calculated as revenues less direct operating costs, was $160.0 million and $312.4 million for the three and nine months ended September 30, 2018, respectively, compared to $127.3 million and $249.3 million for the three and nine months ended September 30, 2017, respectively. The increases in gross profit were primarily due to the growth in revenues from the increases in ATMs under management, DCC transactions, domestic and international surcharge, and foreign currency dispensing. The net impact of the U.S. dollar weakening against key foreign currencies also contributed to the increase in gross profit for the first nine months of 2018. Gross profit as a percentage of revenues (“gross margin”) was 61.1% and 52.7% for the three and nine months ended September 30, 2018, respectively, as compared to 56.2% and 51.1% for the three and nine months ended September 30, 2017. For the three and nine months ended September 30, 2018, the increases in gross margins were attributable to the increases in DCC transactions, domestic and international surcharge, foreign currency dispensing, and also a higher volume of sales of POS devices in Greece on which we earned a lower margin in the third quarter of 2017 which did not occur in the current period.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Salaries and benefits</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Salaries and benefits expense increased $4.8 million or 29% and $11.6 million or 25% for the three and nine months ended September 30, 2018, respectively, compared to the same periods in 2017. The increases in salaries and benefits were primarily attributable to higher bonus expense resulting from operating income growth and additional headcount to support an increase in the number of ATMs and POS devices under management. As a percentage of revenues, these costs increased to 8.3% and 9.7% for the third quarter and first nine months of 2018, respectively, compared to 7.4% and 9.5% for the third quarter and first nine months of 2017, respectively. The increases were primarily due to additional headcount to support an increase in the number of ATMs and POS devices under management.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Selling, general and administrative expenses for the three and nine months ended September 30, 2018 were $11.2 million and $30.6 million, respectively, an increase of $2.3 million or 26% and $6.6 million or 28% as compared to the same periods in 2017. The increases in selling, general and administrative expenses were primarily due to an increase in costs to support the growth in the business. As a percentage of revenues, selling, general and administrative expenses were 4.3% and 5.2% for the three and nine months ended September 30, 2018, respectively, compared to 3.9% and 4.9% for the three and nine months ended September 30,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Depreciation and amortization expense increased $1.9 million and $9.5 million for the three and nine months ended September 30, 2018, respectively, compared to the same periods in 2017. The increases were primarily attributable to the deployment of additional ATMs under management and software assets. As a percentage of revenues, depreciation and amortization expense was 6.4% and 8.3% for the third quarter and first nine months of 2018, respectively, as compared to 6.5% and 8.2% for the same periods of 2017.</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income</w:t>
      </w:r>
    </w:p>
    <w:p>
      <w:pPr>
        <w:spacing w:after="0" w:line="94" w:lineRule="exact"/>
        <w:rPr>
          <w:sz w:val="20"/>
          <w:szCs w:val="20"/>
          <w:color w:val="auto"/>
        </w:rPr>
      </w:pPr>
    </w:p>
    <w:p>
      <w:pPr>
        <w:ind w:right="20"/>
        <w:spacing w:after="0" w:line="315" w:lineRule="auto"/>
        <w:rPr>
          <w:sz w:val="20"/>
          <w:szCs w:val="20"/>
          <w:color w:val="auto"/>
        </w:rPr>
      </w:pPr>
      <w:r>
        <w:rPr>
          <w:rFonts w:ascii="Arial" w:cs="Arial" w:eastAsia="Arial" w:hAnsi="Arial"/>
          <w:sz w:val="13"/>
          <w:szCs w:val="13"/>
          <w:color w:val="auto"/>
        </w:rPr>
        <w:t>EFT Processing Segment operating income for the three and nine months ended September 30, 2018 was $110.4 million and $174.9 million, respectively, an increase of $23.6 million or 27% and $37.8 million or 28% as compared to the same periods in 2017. EFT Processing Segment operating income for the three and nine months ended September 30, 2018 increased primarily due to the increases in the number of DCC transactions, domestic and international surcharge, and foreign currency dispensing as a result of the increased number of ATMs.</w:t>
      </w:r>
    </w:p>
    <w:p>
      <w:pPr>
        <w:spacing w:after="0" w:line="33"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Operating income as a percentage of revenues (“operating margin”) was 42.2% for the third quarter and 29.5% for the first nine months of 2018 compared to 38.4% for the third quarter and 28.1% for the first nine months of 2017. The increases in operating margins were primarily due to higher operating revenues partially offset by expenses incurred to support the increased revenues and additional ATMs under management. Operating income per transaction was $0.16 for the third quarter and $0.09 for the first nine months of 2018 as compared to $0.14 and $0.08 for the same periods of 2017.</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0"/>
          </w:cols>
          <w:pgMar w:left="220" w:top="129"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EPAY SEGMENT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results of operations for the three and nine months ended September 30, 2018 and 2017 for our epay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5"/>
          </w:tcPr>
          <w:p>
            <w:pPr>
              <w:ind w:left="320"/>
              <w:spacing w:after="0"/>
              <w:rPr>
                <w:sz w:val="20"/>
                <w:szCs w:val="20"/>
                <w:color w:val="auto"/>
              </w:rPr>
            </w:pPr>
            <w:r>
              <w:rPr>
                <w:rFonts w:ascii="Arial" w:cs="Arial" w:eastAsia="Arial" w:hAnsi="Arial"/>
                <w:sz w:val="12"/>
                <w:szCs w:val="12"/>
                <w:b w:val="1"/>
                <w:bCs w:val="1"/>
                <w:color w:val="auto"/>
              </w:rPr>
              <w:t>Nine Months Ended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7"/>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2"/>
                <w:szCs w:val="12"/>
                <w:b w:val="1"/>
                <w:bCs w:val="1"/>
                <w:color w:val="auto"/>
              </w:rPr>
              <w:t>Year-over-Year Change</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2"/>
                <w:szCs w:val="12"/>
                <w:b w:val="1"/>
                <w:bCs w:val="1"/>
                <w:color w:val="auto"/>
              </w:rPr>
              <w:t>Year-over-Year Change</w:t>
            </w:r>
          </w:p>
        </w:tc>
      </w:tr>
      <w:tr>
        <w:trPr>
          <w:trHeight w:val="123"/>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1"/>
              <w:spacing w:after="0" w:line="123" w:lineRule="exact"/>
              <w:rPr>
                <w:sz w:val="20"/>
                <w:szCs w:val="20"/>
                <w:color w:val="auto"/>
              </w:rPr>
            </w:pPr>
            <w:r>
              <w:rPr>
                <w:rFonts w:ascii="Arial" w:cs="Arial" w:eastAsia="Arial" w:hAnsi="Arial"/>
                <w:sz w:val="12"/>
                <w:szCs w:val="12"/>
                <w:b w:val="1"/>
                <w:bCs w:val="1"/>
                <w:color w:val="auto"/>
                <w:w w:val="86"/>
              </w:rPr>
              <w:t>Increase</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3" w:lineRule="exact"/>
              <w:rPr>
                <w:sz w:val="20"/>
                <w:szCs w:val="20"/>
                <w:color w:val="auto"/>
              </w:rPr>
            </w:pPr>
            <w:r>
              <w:rPr>
                <w:rFonts w:ascii="Arial" w:cs="Arial" w:eastAsia="Arial" w:hAnsi="Arial"/>
                <w:sz w:val="12"/>
                <w:szCs w:val="12"/>
                <w:b w:val="1"/>
                <w:bCs w:val="1"/>
                <w:color w:val="auto"/>
                <w:w w:val="90"/>
              </w:rPr>
              <w:t>Increase</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22"/>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1"/>
              <w:spacing w:after="0" w:line="122" w:lineRule="exact"/>
              <w:rPr>
                <w:sz w:val="20"/>
                <w:szCs w:val="20"/>
                <w:color w:val="auto"/>
              </w:rPr>
            </w:pPr>
            <w:r>
              <w:rPr>
                <w:rFonts w:ascii="Arial" w:cs="Arial" w:eastAsia="Arial" w:hAnsi="Arial"/>
                <w:sz w:val="12"/>
                <w:szCs w:val="12"/>
                <w:b w:val="1"/>
                <w:bCs w:val="1"/>
                <w:color w:val="auto"/>
                <w:w w:val="87"/>
              </w:rPr>
              <w:t>(Decrease)</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84"/>
              </w:rPr>
              <w:t>(Decrease)</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09"/>
              <w:spacing w:after="0" w:line="122" w:lineRule="exact"/>
              <w:rPr>
                <w:sz w:val="20"/>
                <w:szCs w:val="20"/>
                <w:color w:val="auto"/>
              </w:rPr>
            </w:pPr>
            <w:r>
              <w:rPr>
                <w:rFonts w:ascii="Arial" w:cs="Arial" w:eastAsia="Arial" w:hAnsi="Arial"/>
                <w:sz w:val="12"/>
                <w:szCs w:val="12"/>
                <w:b w:val="1"/>
                <w:bCs w:val="1"/>
                <w:color w:val="auto"/>
              </w:rPr>
              <w:t>Increase</w:t>
            </w:r>
          </w:p>
        </w:tc>
        <w:tc>
          <w:tcPr>
            <w:tcW w:w="120" w:type="dxa"/>
            <w:vAlign w:val="bottom"/>
          </w:tcPr>
          <w:p>
            <w:pPr>
              <w:spacing w:after="0"/>
              <w:rPr>
                <w:sz w:val="10"/>
                <w:szCs w:val="10"/>
                <w:color w:val="auto"/>
              </w:rPr>
            </w:pPr>
          </w:p>
        </w:tc>
        <w:tc>
          <w:tcPr>
            <w:tcW w:w="1040" w:type="dxa"/>
            <w:vAlign w:val="bottom"/>
          </w:tcPr>
          <w:p>
            <w:pPr>
              <w:jc w:val="right"/>
              <w:ind w:right="241"/>
              <w:spacing w:after="0" w:line="122" w:lineRule="exact"/>
              <w:rPr>
                <w:sz w:val="20"/>
                <w:szCs w:val="20"/>
                <w:color w:val="auto"/>
              </w:rPr>
            </w:pPr>
            <w:r>
              <w:rPr>
                <w:rFonts w:ascii="Arial" w:cs="Arial" w:eastAsia="Arial" w:hAnsi="Arial"/>
                <w:sz w:val="12"/>
                <w:szCs w:val="12"/>
                <w:b w:val="1"/>
                <w:bCs w:val="1"/>
                <w:color w:val="auto"/>
              </w:rPr>
              <w:t>Increase</w:t>
            </w:r>
          </w:p>
        </w:tc>
      </w:tr>
      <w:tr>
        <w:trPr>
          <w:trHeight w:val="157"/>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 amounts in thousands)</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Percent</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8"/>
              </w:rPr>
              <w:t>(Decrease)Amount</w:t>
            </w:r>
          </w:p>
        </w:tc>
        <w:tc>
          <w:tcPr>
            <w:tcW w:w="1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1"/>
              </w:rPr>
              <w:t>(Decrease)Percent</w:t>
            </w:r>
          </w:p>
        </w:tc>
      </w:tr>
      <w:tr>
        <w:trPr>
          <w:trHeight w:val="218"/>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185,431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95"/>
              </w:rPr>
              <w:t>184,234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1,197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528,739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9"/>
              </w:rPr>
              <w:t>512,531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16,208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3 %</w:t>
            </w:r>
          </w:p>
        </w:tc>
      </w:tr>
      <w:tr>
        <w:trPr>
          <w:trHeight w:val="190"/>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2"/>
        </w:trPr>
        <w:tc>
          <w:tcPr>
            <w:tcW w:w="2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142,665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95"/>
              </w:rPr>
              <w:t>143,023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403,010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9"/>
              </w:rPr>
              <w:t>393,269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9,741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r>
      <w:tr>
        <w:trPr>
          <w:trHeight w:val="199"/>
        </w:trPr>
        <w:tc>
          <w:tcPr>
            <w:tcW w:w="264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240" w:type="dxa"/>
            <w:vAlign w:val="bottom"/>
          </w:tcPr>
          <w:p>
            <w:pPr>
              <w:spacing w:after="0"/>
              <w:rPr>
                <w:sz w:val="17"/>
                <w:szCs w:val="17"/>
                <w:color w:val="auto"/>
              </w:rPr>
            </w:pP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14,491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13,955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1"/>
              <w:spacing w:after="0"/>
              <w:rPr>
                <w:sz w:val="20"/>
                <w:szCs w:val="20"/>
                <w:color w:val="auto"/>
              </w:rPr>
            </w:pPr>
            <w:r>
              <w:rPr>
                <w:rFonts w:ascii="Arial" w:cs="Arial" w:eastAsia="Arial" w:hAnsi="Arial"/>
                <w:sz w:val="15"/>
                <w:szCs w:val="15"/>
                <w:color w:val="auto"/>
              </w:rPr>
              <w:t>536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4 %</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Arial" w:cs="Arial" w:eastAsia="Arial" w:hAnsi="Arial"/>
                <w:sz w:val="15"/>
                <w:szCs w:val="15"/>
                <w:color w:val="auto"/>
              </w:rPr>
              <w:t>43,235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39,606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5"/>
                <w:szCs w:val="15"/>
                <w:color w:val="auto"/>
              </w:rPr>
              <w:t>3,629</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9 %</w:t>
            </w:r>
          </w:p>
        </w:tc>
      </w:tr>
      <w:tr>
        <w:trPr>
          <w:trHeight w:val="23"/>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2"/>
        </w:trPr>
        <w:tc>
          <w:tcPr>
            <w:tcW w:w="2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9,968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9,145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823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27,191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27,628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99"/>
        </w:trPr>
        <w:tc>
          <w:tcPr>
            <w:tcW w:w="2640" w:type="dxa"/>
            <w:vAlign w:val="bottom"/>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760" w:type="dxa"/>
            <w:vAlign w:val="bottom"/>
          </w:tcPr>
          <w:p>
            <w:pPr>
              <w:jc w:val="right"/>
              <w:ind w:right="50"/>
              <w:spacing w:after="0"/>
              <w:rPr>
                <w:sz w:val="20"/>
                <w:szCs w:val="20"/>
                <w:color w:val="auto"/>
              </w:rPr>
            </w:pPr>
            <w:r>
              <w:rPr>
                <w:rFonts w:ascii="Arial" w:cs="Arial" w:eastAsia="Arial" w:hAnsi="Arial"/>
                <w:sz w:val="15"/>
                <w:szCs w:val="15"/>
                <w:color w:val="auto"/>
              </w:rPr>
              <w:t>1,881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2,461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Arial" w:cs="Arial" w:eastAsia="Arial" w:hAnsi="Arial"/>
                <w:sz w:val="15"/>
                <w:szCs w:val="15"/>
                <w:color w:val="auto"/>
              </w:rPr>
              <w:t>5,653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7,667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(2,014)</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23"/>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13"/>
        </w:trPr>
        <w:tc>
          <w:tcPr>
            <w:tcW w:w="26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169,005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95"/>
              </w:rPr>
              <w:t>168,584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479,089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9"/>
              </w:rPr>
              <w:t>468,170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10,919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r>
      <w:tr>
        <w:trPr>
          <w:trHeight w:val="247"/>
        </w:trPr>
        <w:tc>
          <w:tcPr>
            <w:tcW w:w="2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5"/>
                <w:szCs w:val="15"/>
                <w:color w:val="auto"/>
              </w:rPr>
              <w:t>Operating income</w:t>
            </w: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16,426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15,650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776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5 %</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rPr>
              <w:t>49,650</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44,361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5,289</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12 %</w:t>
            </w:r>
          </w:p>
        </w:tc>
      </w:tr>
      <w:tr>
        <w:trPr>
          <w:trHeight w:val="178"/>
        </w:trPr>
        <w:tc>
          <w:tcPr>
            <w:tcW w:w="26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Transactions processed (millions)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805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901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3"/>
        </w:trPr>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epay Segment total revenues for the three and nine months ended September 30, 2018 were $185.4 million and $528.7 million, respectively, an increase of $1.2 million or 1% and $16.2 million or 3% as compared to the same periods in 2017. The total revenues for the third quarter of 2018 was consistent with the same period in 2017. The increases in total revenues for the first nine months of 2018 was primarily due to an increase in the number of non-mobile transactions and the impact of the U.S. dollar weakening against key foreign currencies. The increase in total revenues was partially offset by the ASC 606 adjustment and a decrease in prepaid mobile transactions processed in the U.S., the U.K. and Australia due to competitive pressures on prepaid mobile carriers. Foreign currency exchange rate movements decreased total revenues by approximately $3.8 million for the third quarter of 2018 and increased total revenues by $18.2 million for the first nine months of 2018, compared to the same periods in 2017.</w:t>
      </w:r>
    </w:p>
    <w:p>
      <w:pPr>
        <w:spacing w:after="0" w:line="59" w:lineRule="exact"/>
        <w:rPr>
          <w:sz w:val="20"/>
          <w:szCs w:val="20"/>
          <w:color w:val="auto"/>
        </w:rPr>
      </w:pPr>
    </w:p>
    <w:p>
      <w:pPr>
        <w:ind w:right="180"/>
        <w:spacing w:after="0" w:line="346" w:lineRule="auto"/>
        <w:rPr>
          <w:sz w:val="20"/>
          <w:szCs w:val="20"/>
          <w:color w:val="auto"/>
        </w:rPr>
      </w:pPr>
      <w:r>
        <w:rPr>
          <w:rFonts w:ascii="Arial" w:cs="Arial" w:eastAsia="Arial" w:hAnsi="Arial"/>
          <w:sz w:val="13"/>
          <w:szCs w:val="13"/>
          <w:color w:val="auto"/>
        </w:rPr>
        <w:t>Revenues per transaction were $0.65 for the third quarter and $0.66 for the first nine months of 2018 compared to $0.63 and $0.57 for the same periods in 2017. The increases in revenues per transaction were primarily driven by the revenue growth from non-mobile transactions processed, for which we generally earn higher revenues per transaction than mobile transactions.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operating costs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epay Segment direct operating costs were $142.7 million and $403.0 million for the three and nine months ended September 30, 2018, respectively, a decrease of $0.4 million and an increase of $9.7 million as compared to the same periods in 2017.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 in direct operating costs for the first nine months of 2018 was primarily due to the ASC 606 adjustment and net impact of the U.S. dollar weakening against key foreign currencies.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w:t>
      </w:r>
    </w:p>
    <w:p>
      <w:pPr>
        <w:spacing w:after="0" w:line="94" w:lineRule="exact"/>
        <w:rPr>
          <w:sz w:val="20"/>
          <w:szCs w:val="20"/>
          <w:color w:val="auto"/>
        </w:rPr>
      </w:pPr>
    </w:p>
    <w:p>
      <w:pPr>
        <w:jc w:val="both"/>
        <w:ind w:right="60"/>
        <w:spacing w:after="0" w:line="257" w:lineRule="auto"/>
        <w:rPr>
          <w:sz w:val="20"/>
          <w:szCs w:val="20"/>
          <w:color w:val="auto"/>
        </w:rPr>
      </w:pPr>
      <w:r>
        <w:rPr>
          <w:rFonts w:ascii="Arial" w:cs="Arial" w:eastAsia="Arial" w:hAnsi="Arial"/>
          <w:sz w:val="15"/>
          <w:szCs w:val="15"/>
          <w:color w:val="auto"/>
        </w:rPr>
        <w:t>Gross profit was $42.8 million and $125.7 million for the three and nine months ended September 30, 2018, respectively, as compared to $41.2 million and $119.3 million for the three and nine months ended September 30, 2017, respectively. The increases were primarily due to the growth in non-mobile transactions processed, partly offset by a decrease in prepaid mobile transactions processed in certain markets.</w:t>
      </w:r>
    </w:p>
    <w:p>
      <w:pPr>
        <w:spacing w:after="0" w:line="67" w:lineRule="exact"/>
        <w:rPr>
          <w:sz w:val="20"/>
          <w:szCs w:val="20"/>
          <w:color w:val="auto"/>
        </w:rPr>
      </w:pPr>
    </w:p>
    <w:p>
      <w:pPr>
        <w:ind w:right="200"/>
        <w:spacing w:after="0" w:line="268" w:lineRule="auto"/>
        <w:rPr>
          <w:sz w:val="20"/>
          <w:szCs w:val="20"/>
          <w:color w:val="auto"/>
        </w:rPr>
      </w:pPr>
      <w:r>
        <w:rPr>
          <w:rFonts w:ascii="Arial" w:cs="Arial" w:eastAsia="Arial" w:hAnsi="Arial"/>
          <w:sz w:val="15"/>
          <w:szCs w:val="15"/>
          <w:color w:val="auto"/>
        </w:rPr>
        <w:t>During the three and nine months ended September 30, 2018, the gross margin was essentially flat compared to the same periods in the prior year. Gross margin was 23.1% and 23.8% for the three and nine months ended September 30, 2018, respectively, as compared to 22.4% and 23.3% for the same periods in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Salaries and benefits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Salaries and benefits expense increased $0.5 million or 4% and $3.6 million or 9% for the three and nine months ended September 30, 2018, respectively, compared to the same periods in 2017. The increases were mainly driven by the higher headcount in an effort to grow the segment. As a percentage of revenues, salaries and benefits were 7.8% and 8.2% for the three and nine months ended September 30, 2018, respectively, as compared to 7.6% and 7.7% for the same periods in 2017.</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Selling, general and administrative expenses were $10.0 million and $27.2 million for the three and nine months ended September 30, 2018, an increase of 9% and a decrease of 2% as compared to the same periods in 2017. The increase for the third quarter of 2018 was mainly due to increased promotional cost for our non-mobile products. The decrease in selling, general and administrative expenses first nine months of 2018 for the was mainly due to cost control efforts. As a percentage of revenues, selling, general and administrative expenses were 5.4% and 5.1% for the three and nine months ended September 30, 2018 compared to 5.0% and 5.4% for the same periods in 2017.</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Depreciation and amortization expense primarily represents depreciation of POS terminals we place in retail stores and the amortization of acquired intangible assets. Depreciation and amortization expense was $1.9 million and $5.7 million for the three and nine months ended September 30, 2018, respectively, a decrease of 24% and 26% as compared to the same periods in 2017. The decreases were largely due to certain intangible assets becoming fully amortized for the three and nine months ended September 30, 2017. As a percentage of revenues, depreciation and amortization expense was 1.0% and 1.1% for the three and nine months ended September 30, 2018, respectively, and 1.3% and 1.5% for both the three and nine months ended September 30, 2017,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income</w:t>
      </w:r>
    </w:p>
    <w:p>
      <w:pPr>
        <w:spacing w:after="0" w:line="94" w:lineRule="exact"/>
        <w:rPr>
          <w:sz w:val="20"/>
          <w:szCs w:val="20"/>
          <w:color w:val="auto"/>
        </w:rPr>
      </w:pPr>
    </w:p>
    <w:p>
      <w:pPr>
        <w:jc w:val="both"/>
        <w:ind w:right="320"/>
        <w:spacing w:after="0" w:line="257" w:lineRule="auto"/>
        <w:rPr>
          <w:sz w:val="20"/>
          <w:szCs w:val="20"/>
          <w:color w:val="auto"/>
        </w:rPr>
      </w:pPr>
      <w:r>
        <w:rPr>
          <w:rFonts w:ascii="Arial" w:cs="Arial" w:eastAsia="Arial" w:hAnsi="Arial"/>
          <w:sz w:val="15"/>
          <w:szCs w:val="15"/>
          <w:color w:val="auto"/>
        </w:rPr>
        <w:t>epay Segment operating income for the three and nine months ended September 30, 2018 was $16.4 million and $49.7 million, respectively, an increase of $0.8 million and $5.3 million as compared to the same periods in 2017. Operating income for the three and nine months ended September 30, 2018 improved as a result of the increased gross profit from the distribution of more non-mobile products, along with operating cost controls.</w:t>
      </w:r>
    </w:p>
    <w:p>
      <w:pPr>
        <w:spacing w:after="0" w:line="67"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Operating margin increased to 8.9% and 9.4% for the three and nine months ended September 30, 2018, respectively, from 8.5% and 8.7% for the same periods in 2017, respectively. The increases were mainly due to an increase in the percentage of revenues from non-mobile products which earn a higher margin than mobile transactions. Operating income per transaction increased to $0.06 for both the three and nine months ended September 30, 2018 from $0.05 for the same periods in 2017. The increases were primarily due to the loss of a high-volume, low-margin customer in the Middle East.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40"/>
          </w:cols>
          <w:pgMar w:left="220" w:top="129"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MONEY TRANSFER SEGMENT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results of operations for the three and nine months ended September 30, 2018 and 2017 for the Money Transfer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5"/>
          </w:tcPr>
          <w:p>
            <w:pPr>
              <w:ind w:left="340"/>
              <w:spacing w:after="0"/>
              <w:rPr>
                <w:sz w:val="20"/>
                <w:szCs w:val="20"/>
                <w:color w:val="auto"/>
              </w:rPr>
            </w:pPr>
            <w:r>
              <w:rPr>
                <w:rFonts w:ascii="Arial" w:cs="Arial" w:eastAsia="Arial" w:hAnsi="Arial"/>
                <w:sz w:val="12"/>
                <w:szCs w:val="12"/>
                <w:b w:val="1"/>
                <w:bCs w:val="1"/>
                <w:color w:val="auto"/>
              </w:rPr>
              <w:t>Nine Months Ended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7"/>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4"/>
          </w:tcPr>
          <w:p>
            <w:pPr>
              <w:ind w:left="220"/>
              <w:spacing w:after="0"/>
              <w:rPr>
                <w:sz w:val="20"/>
                <w:szCs w:val="20"/>
                <w:color w:val="auto"/>
              </w:rPr>
            </w:pPr>
            <w:r>
              <w:rPr>
                <w:rFonts w:ascii="Arial" w:cs="Arial" w:eastAsia="Arial" w:hAnsi="Arial"/>
                <w:sz w:val="12"/>
                <w:szCs w:val="12"/>
                <w:b w:val="1"/>
                <w:bCs w:val="1"/>
                <w:color w:val="auto"/>
              </w:rPr>
              <w:t>Year-over-Year Change</w:t>
            </w:r>
          </w:p>
        </w:tc>
        <w:tc>
          <w:tcPr>
            <w:tcW w:w="2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right"/>
              <w:ind w:right="321"/>
              <w:spacing w:after="0"/>
              <w:rPr>
                <w:sz w:val="20"/>
                <w:szCs w:val="20"/>
                <w:color w:val="auto"/>
              </w:rPr>
            </w:pPr>
            <w:r>
              <w:rPr>
                <w:rFonts w:ascii="Arial" w:cs="Arial" w:eastAsia="Arial" w:hAnsi="Arial"/>
                <w:sz w:val="12"/>
                <w:szCs w:val="12"/>
                <w:b w:val="1"/>
                <w:bCs w:val="1"/>
                <w:color w:val="auto"/>
              </w:rPr>
              <w:t>Year-over-Year Change</w:t>
            </w:r>
          </w:p>
        </w:tc>
      </w:tr>
      <w:tr>
        <w:trPr>
          <w:trHeight w:val="123"/>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0"/>
              <w:spacing w:after="0" w:line="123" w:lineRule="exact"/>
              <w:rPr>
                <w:sz w:val="20"/>
                <w:szCs w:val="20"/>
                <w:color w:val="auto"/>
              </w:rPr>
            </w:pPr>
            <w:r>
              <w:rPr>
                <w:rFonts w:ascii="Arial" w:cs="Arial" w:eastAsia="Arial" w:hAnsi="Arial"/>
                <w:sz w:val="12"/>
                <w:szCs w:val="12"/>
                <w:b w:val="1"/>
                <w:bCs w:val="1"/>
                <w:color w:val="auto"/>
                <w:w w:val="94"/>
              </w:rPr>
              <w:t>Increase</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70"/>
              <w:spacing w:after="0" w:line="123" w:lineRule="exact"/>
              <w:rPr>
                <w:sz w:val="20"/>
                <w:szCs w:val="20"/>
                <w:color w:val="auto"/>
              </w:rPr>
            </w:pPr>
            <w:r>
              <w:rPr>
                <w:rFonts w:ascii="Arial" w:cs="Arial" w:eastAsia="Arial" w:hAnsi="Arial"/>
                <w:sz w:val="12"/>
                <w:szCs w:val="12"/>
                <w:b w:val="1"/>
                <w:bCs w:val="1"/>
                <w:color w:val="auto"/>
                <w:w w:val="98"/>
              </w:rPr>
              <w:t>Increase</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157"/>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 amounts in thousands)</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Increase Percent</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1"/>
              </w:rPr>
              <w:t>Increase Percent</w:t>
            </w:r>
          </w:p>
        </w:tc>
      </w:tr>
      <w:tr>
        <w:trPr>
          <w:trHeight w:val="218"/>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268,291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99"/>
              </w:rPr>
              <w:t>228,105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40,186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768,943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9"/>
              </w:rPr>
              <w:t>649,205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119,738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90"/>
        </w:trPr>
        <w:tc>
          <w:tcPr>
            <w:tcW w:w="2780" w:type="dxa"/>
            <w:vAlign w:val="bottom"/>
            <w:gridSpan w:val="2"/>
          </w:tcPr>
          <w:p>
            <w:pPr>
              <w:ind w:left="40"/>
              <w:spacing w:after="0"/>
              <w:rPr>
                <w:sz w:val="20"/>
                <w:szCs w:val="20"/>
                <w:color w:val="auto"/>
              </w:rPr>
            </w:pPr>
            <w:r>
              <w:rPr>
                <w:rFonts w:ascii="Arial" w:cs="Arial" w:eastAsia="Arial" w:hAnsi="Arial"/>
                <w:sz w:val="15"/>
                <w:szCs w:val="15"/>
                <w:color w:val="auto"/>
              </w:rPr>
              <w:t>Operating expenses: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2"/>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Direct operating costs</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144,758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99"/>
              </w:rPr>
              <w:t>123,588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21,170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412,895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9"/>
              </w:rPr>
              <w:t>348,724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64,171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99"/>
        </w:trPr>
        <w:tc>
          <w:tcPr>
            <w:tcW w:w="2780" w:type="dxa"/>
            <w:vAlign w:val="bottom"/>
            <w:gridSpan w:val="2"/>
          </w:tcPr>
          <w:p>
            <w:pPr>
              <w:ind w:left="140"/>
              <w:spacing w:after="0"/>
              <w:rPr>
                <w:sz w:val="20"/>
                <w:szCs w:val="20"/>
                <w:color w:val="auto"/>
              </w:rPr>
            </w:pPr>
            <w:r>
              <w:rPr>
                <w:rFonts w:ascii="Arial" w:cs="Arial" w:eastAsia="Arial" w:hAnsi="Arial"/>
                <w:sz w:val="15"/>
                <w:szCs w:val="15"/>
                <w:color w:val="auto"/>
              </w:rPr>
              <w:t>Salaries and benefits</w:t>
            </w:r>
          </w:p>
        </w:tc>
        <w:tc>
          <w:tcPr>
            <w:tcW w:w="240" w:type="dxa"/>
            <w:vAlign w:val="bottom"/>
          </w:tcPr>
          <w:p>
            <w:pPr>
              <w:spacing w:after="0"/>
              <w:rPr>
                <w:sz w:val="17"/>
                <w:szCs w:val="17"/>
                <w:color w:val="auto"/>
              </w:rPr>
            </w:pPr>
          </w:p>
        </w:tc>
        <w:tc>
          <w:tcPr>
            <w:tcW w:w="780" w:type="dxa"/>
            <w:vAlign w:val="bottom"/>
          </w:tcPr>
          <w:p>
            <w:pPr>
              <w:jc w:val="right"/>
              <w:ind w:right="30"/>
              <w:spacing w:after="0"/>
              <w:rPr>
                <w:sz w:val="20"/>
                <w:szCs w:val="20"/>
                <w:color w:val="auto"/>
              </w:rPr>
            </w:pPr>
            <w:r>
              <w:rPr>
                <w:rFonts w:ascii="Arial" w:cs="Arial" w:eastAsia="Arial" w:hAnsi="Arial"/>
                <w:sz w:val="15"/>
                <w:szCs w:val="15"/>
                <w:color w:val="auto"/>
              </w:rPr>
              <w:t>48,945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44,110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5"/>
                <w:szCs w:val="15"/>
                <w:color w:val="auto"/>
              </w:rPr>
              <w:t>4,835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50"/>
              <w:spacing w:after="0"/>
              <w:rPr>
                <w:sz w:val="20"/>
                <w:szCs w:val="20"/>
                <w:color w:val="auto"/>
              </w:rPr>
            </w:pPr>
            <w:r>
              <w:rPr>
                <w:rFonts w:ascii="Arial" w:cs="Arial" w:eastAsia="Arial" w:hAnsi="Arial"/>
                <w:sz w:val="15"/>
                <w:szCs w:val="15"/>
                <w:color w:val="auto"/>
              </w:rPr>
              <w:t>145,420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5"/>
                <w:szCs w:val="15"/>
                <w:color w:val="auto"/>
                <w:w w:val="99"/>
              </w:rPr>
              <w:t>125,273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50"/>
              <w:spacing w:after="0"/>
              <w:rPr>
                <w:sz w:val="20"/>
                <w:szCs w:val="20"/>
                <w:color w:val="auto"/>
              </w:rPr>
            </w:pPr>
            <w:r>
              <w:rPr>
                <w:rFonts w:ascii="Arial" w:cs="Arial" w:eastAsia="Arial" w:hAnsi="Arial"/>
                <w:sz w:val="15"/>
                <w:szCs w:val="15"/>
                <w:color w:val="auto"/>
              </w:rPr>
              <w:t>20,147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2"/>
        </w:trPr>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32,483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28,648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3,835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93,610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77,912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15,698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99"/>
        </w:trPr>
        <w:tc>
          <w:tcPr>
            <w:tcW w:w="2780" w:type="dxa"/>
            <w:vAlign w:val="bottom"/>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780" w:type="dxa"/>
            <w:vAlign w:val="bottom"/>
          </w:tcPr>
          <w:p>
            <w:pPr>
              <w:jc w:val="right"/>
              <w:ind w:right="30"/>
              <w:spacing w:after="0"/>
              <w:rPr>
                <w:sz w:val="20"/>
                <w:szCs w:val="20"/>
                <w:color w:val="auto"/>
              </w:rPr>
            </w:pPr>
            <w:r>
              <w:rPr>
                <w:rFonts w:ascii="Arial" w:cs="Arial" w:eastAsia="Arial" w:hAnsi="Arial"/>
                <w:sz w:val="15"/>
                <w:szCs w:val="15"/>
                <w:color w:val="auto"/>
              </w:rPr>
              <w:t>7,854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7,403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5"/>
                <w:szCs w:val="15"/>
                <w:color w:val="auto"/>
              </w:rPr>
              <w:t>451</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50"/>
              <w:spacing w:after="0"/>
              <w:rPr>
                <w:sz w:val="20"/>
                <w:szCs w:val="20"/>
                <w:color w:val="auto"/>
              </w:rPr>
            </w:pPr>
            <w:r>
              <w:rPr>
                <w:rFonts w:ascii="Arial" w:cs="Arial" w:eastAsia="Arial" w:hAnsi="Arial"/>
                <w:sz w:val="15"/>
                <w:szCs w:val="15"/>
                <w:color w:val="auto"/>
              </w:rPr>
              <w:t>23,702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21,941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50"/>
              <w:spacing w:after="0"/>
              <w:rPr>
                <w:sz w:val="20"/>
                <w:szCs w:val="20"/>
                <w:color w:val="auto"/>
              </w:rPr>
            </w:pPr>
            <w:r>
              <w:rPr>
                <w:rFonts w:ascii="Arial" w:cs="Arial" w:eastAsia="Arial" w:hAnsi="Arial"/>
                <w:sz w:val="15"/>
                <w:szCs w:val="15"/>
                <w:color w:val="auto"/>
              </w:rPr>
              <w:t>1,761</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23"/>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13"/>
        </w:trPr>
        <w:tc>
          <w:tcPr>
            <w:tcW w:w="27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234,040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99"/>
              </w:rPr>
              <w:t>203,749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5"/>
                <w:szCs w:val="15"/>
                <w:color w:val="auto"/>
              </w:rPr>
              <w:t>30,291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675,627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9"/>
              </w:rPr>
              <w:t>573,850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101,777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47"/>
        </w:trPr>
        <w:tc>
          <w:tcPr>
            <w:tcW w:w="2780" w:type="dxa"/>
            <w:vAlign w:val="bottom"/>
            <w:tcBorders>
              <w:bottom w:val="single" w:sz="8" w:color="CCEEFF"/>
            </w:tcBorders>
            <w:gridSpan w:val="2"/>
          </w:tcPr>
          <w:p>
            <w:pPr>
              <w:ind w:left="500"/>
              <w:spacing w:after="0"/>
              <w:rPr>
                <w:sz w:val="20"/>
                <w:szCs w:val="20"/>
                <w:color w:val="auto"/>
              </w:rPr>
            </w:pPr>
            <w:r>
              <w:rPr>
                <w:rFonts w:ascii="Arial" w:cs="Arial" w:eastAsia="Arial" w:hAnsi="Arial"/>
                <w:sz w:val="15"/>
                <w:szCs w:val="15"/>
                <w:color w:val="auto"/>
              </w:rPr>
              <w:t>Operating income</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rPr>
              <w:t>34,251</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24,356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rPr>
              <w:t>9,895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41%</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93,316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75,355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17,961</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w:t>
            </w:r>
          </w:p>
        </w:tc>
      </w:tr>
      <w:tr>
        <w:trPr>
          <w:trHeight w:val="178"/>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Transactions processed (millions)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27.8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79.0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3"/>
        </w:trPr>
        <w:tc>
          <w:tcPr>
            <w:tcW w:w="2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94" w:lineRule="exact"/>
        <w:rPr>
          <w:sz w:val="20"/>
          <w:szCs w:val="20"/>
          <w:color w:val="auto"/>
        </w:rPr>
      </w:pPr>
    </w:p>
    <w:p>
      <w:pPr>
        <w:jc w:val="both"/>
        <w:ind w:right="80"/>
        <w:spacing w:after="0" w:line="257" w:lineRule="auto"/>
        <w:rPr>
          <w:sz w:val="20"/>
          <w:szCs w:val="20"/>
          <w:color w:val="auto"/>
        </w:rPr>
      </w:pPr>
      <w:r>
        <w:rPr>
          <w:rFonts w:ascii="Arial" w:cs="Arial" w:eastAsia="Arial" w:hAnsi="Arial"/>
          <w:sz w:val="15"/>
          <w:szCs w:val="15"/>
          <w:color w:val="auto"/>
        </w:rPr>
        <w:t>Money Transfer Segment total revenues for the three and nine months ended September 30, 2018 were $268.3 million and $768.9 million, respectively, an increase of $40.2 million or 18% and $119.7 million or 18% as compared to the same periods in 2017. The increases in total revenues for the three and nine months ended September 30, 2018 were primarily due to increases in the number of money transfers processed, driven by growth in the U.S. and foreign agent and correspondent payout networks.</w:t>
      </w:r>
    </w:p>
    <w:p>
      <w:pPr>
        <w:spacing w:after="0" w:line="67"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Revenues per transaction increased slightly compared to the same periods in the prior year. Revenues per transaction increased to $9.65 and $9.73 for the third quarter and first nine months of 2018, respectively, from $9.54 and $9.63 for the same periods in 2017.</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operating costs</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5"/>
          <w:szCs w:val="15"/>
          <w:color w:val="auto"/>
        </w:rPr>
        <w:t>Money Transfer Segment direct operating costs were $144.8 million and $412.9 million for the three and nine months ended September 30, 2018, respectively, an increase of $21.2 million or 17% and $64.2 million or 18% as compared to the same periods in 2017.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nine months of 2018 were primarily due to growth in the number of money transfer transactions processed in both the U.S. and foreign markets.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Gross profit was $123.5 million and $356.0 million for the three and nine months ended September 30, 2018, respectively, as compared to $104.5 million and $300.5 million for the three and nine months ended September 30, 2017, respectively. The increases in gross profit were primarily due to growth in the number of money transfer transactions processed in both the U.S. and foreign markets.</w:t>
      </w:r>
    </w:p>
    <w:p>
      <w:pPr>
        <w:spacing w:after="0" w:line="67"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During the three and nine months ended September 30, 2018, gross margin remained flat at 46.0% and 46.3%, respectively, as compared to 45.8% and 46.3% for the three and nine months ended September 30, 2017,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Salaries and benefits</w:t>
      </w:r>
    </w:p>
    <w:p>
      <w:pPr>
        <w:spacing w:after="0" w:line="94"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Salaries and benefits expense increased $4.8 million or 11% and $20.1 million or 16% for the three and nine months ended September 30, 2018, respectively, as compared to the same periods in 2017. The increases in salaries and benefits were primarily due to the expansion of our operations in the U.S. and foreign markets. As a percentage of revenues, salaries and benefits were 18.2% and 18.9% for the three and nine months ended September 30, 2018, respectively, as compared to 19.3% for the same periods in 2017.</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Selling, general and administrative expenses for the three and nine months ended September 30, 2018 were $32.5 million and $93.6 million, respectively, an increase of $3.8 million or 13%, and $15.7 million or 20% as compared to the same periods in 2017. The increases were primarily due to expenses incurred to support the growth of our money transfer services in both the U.S. and foreign markets.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As a percentage of revenues, selling, general and administrative expenses were 12.1% and 12.2% for the three and nine months ended September 30, 2018, respectively, as compared to 12.6% and 12.0% for the same periods in 2017. For the third quarter of 2018, this was primarily due to increases in the number of money transfers processed, which did not require similar increases in support costs. For the first nine months of 2018, the increase in selling, general and administrative expenses as a percentage of revenues was primarily attributable to the increased support costs to expand the business.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w:t>
      </w:r>
    </w:p>
    <w:p>
      <w:pPr>
        <w:spacing w:after="0" w:line="94" w:lineRule="exact"/>
        <w:rPr>
          <w:sz w:val="20"/>
          <w:szCs w:val="20"/>
          <w:color w:val="auto"/>
        </w:rPr>
      </w:pPr>
    </w:p>
    <w:p>
      <w:pPr>
        <w:jc w:val="both"/>
        <w:ind w:right="180"/>
        <w:spacing w:after="0" w:line="257" w:lineRule="auto"/>
        <w:rPr>
          <w:sz w:val="20"/>
          <w:szCs w:val="20"/>
          <w:color w:val="auto"/>
        </w:rPr>
      </w:pPr>
      <w:r>
        <w:rPr>
          <w:rFonts w:ascii="Arial" w:cs="Arial" w:eastAsia="Arial" w:hAnsi="Arial"/>
          <w:sz w:val="15"/>
          <w:szCs w:val="15"/>
          <w:color w:val="auto"/>
        </w:rPr>
        <w:t>Depreciation and amortization primarily represents amortization of acquired intangible assets and depreciation of money transfer terminals, computers and software, leasehold improvements and office equipment. Depreciation and amortization expense increased $0.5 million or 6% and $1.8 million or 8%, for the three and nine months ended September 30, 2018, respectively, as compared to the same periods in 2017, largely due to the increased capital additions as a result of business growth.</w:t>
      </w:r>
    </w:p>
    <w:p>
      <w:pPr>
        <w:spacing w:after="0" w:line="67"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As a percentage of revenues, depreciation and amortization expense was 2.9% for the third quarter and 3.1% for the first nine months of 2018 as compared to 3.2% and 3.4% for the same periods of 2017. The decreases were primarily due to certain intangible assets becoming fully amortized.</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income</w:t>
      </w:r>
    </w:p>
    <w:p>
      <w:pPr>
        <w:spacing w:after="0" w:line="94" w:lineRule="exact"/>
        <w:rPr>
          <w:sz w:val="20"/>
          <w:szCs w:val="20"/>
          <w:color w:val="auto"/>
        </w:rPr>
      </w:pPr>
    </w:p>
    <w:p>
      <w:pPr>
        <w:jc w:val="both"/>
        <w:ind w:right="20"/>
        <w:spacing w:after="0" w:line="257" w:lineRule="auto"/>
        <w:rPr>
          <w:sz w:val="20"/>
          <w:szCs w:val="20"/>
          <w:color w:val="auto"/>
        </w:rPr>
      </w:pPr>
      <w:r>
        <w:rPr>
          <w:rFonts w:ascii="Arial" w:cs="Arial" w:eastAsia="Arial" w:hAnsi="Arial"/>
          <w:sz w:val="15"/>
          <w:szCs w:val="15"/>
          <w:color w:val="auto"/>
        </w:rPr>
        <w:t>Money Transfer Segment operating income for the three and nine months ended September 30, 2018 was $34.3 million and $93.3 million, respectively, an increase of $9.9 million or 41% and $18.0 million or 24% as compared to the same periods of 2017. Operating income for the three and nine months ended September 30, 2018 increased primarily due to the growth in the number of money transfers processed partly offset by the additional salaries and benefits and other costs incurred.</w:t>
      </w:r>
    </w:p>
    <w:p>
      <w:pPr>
        <w:spacing w:after="0" w:line="67" w:lineRule="exact"/>
        <w:rPr>
          <w:sz w:val="20"/>
          <w:szCs w:val="20"/>
          <w:color w:val="auto"/>
        </w:rPr>
      </w:pPr>
    </w:p>
    <w:p>
      <w:pPr>
        <w:ind w:right="240"/>
        <w:spacing w:after="0" w:line="254" w:lineRule="auto"/>
        <w:rPr>
          <w:sz w:val="20"/>
          <w:szCs w:val="20"/>
          <w:color w:val="auto"/>
        </w:rPr>
      </w:pPr>
      <w:r>
        <w:rPr>
          <w:rFonts w:ascii="Arial" w:cs="Arial" w:eastAsia="Arial" w:hAnsi="Arial"/>
          <w:sz w:val="15"/>
          <w:szCs w:val="15"/>
          <w:color w:val="auto"/>
        </w:rPr>
        <w:t>As a percentage of revenues, operating margin was 12.8% and 12.1% for the three and nine months ended September 30, 2018, respectively, as compared to 10.7% and 11.6% for the same periods in 2017. Operating income per transaction increased to $1.23 and $1.18 for the three and nine months ended September 30, 2018, respectively, from $1.02 and $1.12 for the same periods in 2017. The increases in operating margin and operating income per transaction were primarily due to the growth in the number of money transfers processed which did not require similar increases in support costs.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00"/>
          </w:cols>
          <w:pgMar w:left="220" w:top="129" w:right="27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SERVICES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operating expenses for the three and nine months ended September 30, 2018 and 2017 for Corporate Services: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5"/>
          </w:tcPr>
          <w:p>
            <w:pPr>
              <w:ind w:left="320"/>
              <w:spacing w:after="0"/>
              <w:rPr>
                <w:sz w:val="20"/>
                <w:szCs w:val="20"/>
                <w:color w:val="auto"/>
              </w:rPr>
            </w:pPr>
            <w:r>
              <w:rPr>
                <w:rFonts w:ascii="Arial" w:cs="Arial" w:eastAsia="Arial" w:hAnsi="Arial"/>
                <w:sz w:val="12"/>
                <w:szCs w:val="12"/>
                <w:b w:val="1"/>
                <w:bCs w:val="1"/>
                <w:color w:val="auto"/>
              </w:rPr>
              <w:t>Nine Months Ended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7"/>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4"/>
          </w:tcPr>
          <w:p>
            <w:pPr>
              <w:ind w:left="280"/>
              <w:spacing w:after="0"/>
              <w:rPr>
                <w:sz w:val="20"/>
                <w:szCs w:val="20"/>
                <w:color w:val="auto"/>
              </w:rPr>
            </w:pPr>
            <w:r>
              <w:rPr>
                <w:rFonts w:ascii="Arial" w:cs="Arial" w:eastAsia="Arial" w:hAnsi="Arial"/>
                <w:sz w:val="12"/>
                <w:szCs w:val="12"/>
                <w:b w:val="1"/>
                <w:bCs w:val="1"/>
                <w:color w:val="auto"/>
              </w:rPr>
              <w:t>Year-over-Year Change</w:t>
            </w:r>
          </w:p>
        </w:tc>
        <w:tc>
          <w:tcPr>
            <w:tcW w:w="2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3"/>
          </w:tcPr>
          <w:p>
            <w:pPr>
              <w:jc w:val="right"/>
              <w:ind w:right="361"/>
              <w:spacing w:after="0"/>
              <w:rPr>
                <w:sz w:val="20"/>
                <w:szCs w:val="20"/>
                <w:color w:val="auto"/>
              </w:rPr>
            </w:pPr>
            <w:r>
              <w:rPr>
                <w:rFonts w:ascii="Arial" w:cs="Arial" w:eastAsia="Arial" w:hAnsi="Arial"/>
                <w:sz w:val="12"/>
                <w:szCs w:val="12"/>
                <w:b w:val="1"/>
                <w:bCs w:val="1"/>
                <w:color w:val="auto"/>
              </w:rPr>
              <w:t>Year-over-Year Change</w:t>
            </w:r>
          </w:p>
        </w:tc>
      </w:tr>
      <w:tr>
        <w:trPr>
          <w:trHeight w:val="123"/>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3"/>
              <w:spacing w:after="0" w:line="123" w:lineRule="exact"/>
              <w:rPr>
                <w:sz w:val="20"/>
                <w:szCs w:val="20"/>
                <w:color w:val="auto"/>
              </w:rPr>
            </w:pPr>
            <w:r>
              <w:rPr>
                <w:rFonts w:ascii="Arial" w:cs="Arial" w:eastAsia="Arial" w:hAnsi="Arial"/>
                <w:sz w:val="12"/>
                <w:szCs w:val="12"/>
                <w:b w:val="1"/>
                <w:bCs w:val="1"/>
                <w:color w:val="auto"/>
                <w:w w:val="86"/>
              </w:rPr>
              <w:t>Increase</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73"/>
              <w:spacing w:after="0" w:line="123" w:lineRule="exact"/>
              <w:rPr>
                <w:sz w:val="20"/>
                <w:szCs w:val="20"/>
                <w:color w:val="auto"/>
              </w:rPr>
            </w:pPr>
            <w:r>
              <w:rPr>
                <w:rFonts w:ascii="Arial" w:cs="Arial" w:eastAsia="Arial" w:hAnsi="Arial"/>
                <w:sz w:val="12"/>
                <w:szCs w:val="12"/>
                <w:b w:val="1"/>
                <w:bCs w:val="1"/>
                <w:color w:val="auto"/>
                <w:w w:val="90"/>
              </w:rPr>
              <w:t>Increase</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r>
        <w:trPr>
          <w:trHeight w:val="122"/>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3"/>
              <w:spacing w:after="0" w:line="122" w:lineRule="exact"/>
              <w:rPr>
                <w:sz w:val="20"/>
                <w:szCs w:val="20"/>
                <w:color w:val="auto"/>
              </w:rPr>
            </w:pPr>
            <w:r>
              <w:rPr>
                <w:rFonts w:ascii="Arial" w:cs="Arial" w:eastAsia="Arial" w:hAnsi="Arial"/>
                <w:sz w:val="12"/>
                <w:szCs w:val="12"/>
                <w:b w:val="1"/>
                <w:bCs w:val="1"/>
                <w:color w:val="auto"/>
                <w:w w:val="87"/>
              </w:rPr>
              <w:t>(Decrease)</w:t>
            </w:r>
          </w:p>
        </w:tc>
        <w:tc>
          <w:tcPr>
            <w:tcW w:w="100" w:type="dxa"/>
            <w:vAlign w:val="bottom"/>
          </w:tcPr>
          <w:p>
            <w:pPr>
              <w:spacing w:after="0"/>
              <w:rPr>
                <w:sz w:val="10"/>
                <w:szCs w:val="10"/>
                <w:color w:val="auto"/>
              </w:rPr>
            </w:pPr>
          </w:p>
        </w:tc>
        <w:tc>
          <w:tcPr>
            <w:tcW w:w="1220" w:type="dxa"/>
            <w:vAlign w:val="bottom"/>
            <w:gridSpan w:val="2"/>
          </w:tcPr>
          <w:p>
            <w:pPr>
              <w:ind w:left="300"/>
              <w:spacing w:after="0" w:line="122" w:lineRule="exact"/>
              <w:rPr>
                <w:sz w:val="20"/>
                <w:szCs w:val="20"/>
                <w:color w:val="auto"/>
              </w:rPr>
            </w:pPr>
            <w:r>
              <w:rPr>
                <w:rFonts w:ascii="Arial" w:cs="Arial" w:eastAsia="Arial" w:hAnsi="Arial"/>
                <w:sz w:val="12"/>
                <w:szCs w:val="12"/>
                <w:b w:val="1"/>
                <w:bCs w:val="1"/>
                <w:color w:val="auto"/>
              </w:rPr>
              <w:t>Increase</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3"/>
              <w:spacing w:after="0" w:line="122" w:lineRule="exact"/>
              <w:rPr>
                <w:sz w:val="20"/>
                <w:szCs w:val="20"/>
                <w:color w:val="auto"/>
              </w:rPr>
            </w:pPr>
            <w:r>
              <w:rPr>
                <w:rFonts w:ascii="Arial" w:cs="Arial" w:eastAsia="Arial" w:hAnsi="Arial"/>
                <w:sz w:val="12"/>
                <w:szCs w:val="12"/>
                <w:b w:val="1"/>
                <w:bCs w:val="1"/>
                <w:color w:val="auto"/>
                <w:w w:val="84"/>
              </w:rPr>
              <w:t>(Decrease)</w:t>
            </w:r>
          </w:p>
        </w:tc>
        <w:tc>
          <w:tcPr>
            <w:tcW w:w="120" w:type="dxa"/>
            <w:vAlign w:val="bottom"/>
          </w:tcPr>
          <w:p>
            <w:pPr>
              <w:spacing w:after="0"/>
              <w:rPr>
                <w:sz w:val="10"/>
                <w:szCs w:val="10"/>
                <w:color w:val="auto"/>
              </w:rPr>
            </w:pPr>
          </w:p>
        </w:tc>
        <w:tc>
          <w:tcPr>
            <w:tcW w:w="1000" w:type="dxa"/>
            <w:vAlign w:val="bottom"/>
          </w:tcPr>
          <w:p>
            <w:pPr>
              <w:jc w:val="right"/>
              <w:ind w:right="221"/>
              <w:spacing w:after="0" w:line="122" w:lineRule="exact"/>
              <w:rPr>
                <w:sz w:val="20"/>
                <w:szCs w:val="20"/>
                <w:color w:val="auto"/>
              </w:rPr>
            </w:pPr>
            <w:r>
              <w:rPr>
                <w:rFonts w:ascii="Arial" w:cs="Arial" w:eastAsia="Arial" w:hAnsi="Arial"/>
                <w:sz w:val="12"/>
                <w:szCs w:val="12"/>
                <w:b w:val="1"/>
                <w:bCs w:val="1"/>
                <w:color w:val="auto"/>
              </w:rPr>
              <w:t>Increase</w:t>
            </w:r>
          </w:p>
        </w:tc>
      </w:tr>
      <w:tr>
        <w:trPr>
          <w:trHeight w:val="15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 amounts in thousands)</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(Decrease) Percent</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2"/>
                <w:szCs w:val="12"/>
                <w:b w:val="1"/>
                <w:bCs w:val="1"/>
                <w:color w:val="auto"/>
                <w:w w:val="88"/>
              </w:rPr>
              <w:t>Amount</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(Decrease) Percent</w:t>
            </w:r>
          </w:p>
        </w:tc>
      </w:tr>
      <w:tr>
        <w:trPr>
          <w:trHeight w:val="198"/>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Salaries and benefits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8,019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7,252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5"/>
                <w:szCs w:val="15"/>
                <w:color w:val="auto"/>
              </w:rPr>
              <w:t>767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24,178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21,613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5"/>
                <w:szCs w:val="15"/>
                <w:color w:val="auto"/>
              </w:rPr>
              <w:t>2,565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12 %</w:t>
            </w:r>
          </w:p>
        </w:tc>
      </w:tr>
      <w:tr>
        <w:trPr>
          <w:trHeight w:val="199"/>
        </w:trPr>
        <w:tc>
          <w:tcPr>
            <w:tcW w:w="2700" w:type="dxa"/>
            <w:vAlign w:val="bottom"/>
            <w:gridSpan w:val="2"/>
          </w:tcPr>
          <w:p>
            <w:pPr>
              <w:ind w:left="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5"/>
                <w:szCs w:val="15"/>
                <w:color w:val="auto"/>
              </w:rPr>
              <w:t>2,112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5"/>
                <w:szCs w:val="15"/>
                <w:color w:val="auto"/>
              </w:rPr>
              <w:t>2,614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32"/>
              <w:spacing w:after="0"/>
              <w:rPr>
                <w:sz w:val="20"/>
                <w:szCs w:val="20"/>
                <w:color w:val="auto"/>
              </w:rPr>
            </w:pPr>
            <w:r>
              <w:rPr>
                <w:rFonts w:ascii="Arial" w:cs="Arial" w:eastAsia="Arial" w:hAnsi="Arial"/>
                <w:sz w:val="15"/>
                <w:szCs w:val="15"/>
                <w:color w:val="auto"/>
              </w:rPr>
              <w:t>6,809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49"/>
              <w:spacing w:after="0"/>
              <w:rPr>
                <w:sz w:val="20"/>
                <w:szCs w:val="20"/>
                <w:color w:val="auto"/>
              </w:rPr>
            </w:pPr>
            <w:r>
              <w:rPr>
                <w:rFonts w:ascii="Arial" w:cs="Arial" w:eastAsia="Arial" w:hAnsi="Arial"/>
                <w:sz w:val="15"/>
                <w:szCs w:val="15"/>
                <w:color w:val="auto"/>
              </w:rPr>
              <w:t>10,219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(3,410)</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w:t>
            </w:r>
          </w:p>
        </w:tc>
      </w:tr>
      <w:tr>
        <w:trPr>
          <w:trHeight w:val="23"/>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2700" w:type="dxa"/>
            <w:vAlign w:val="bottom"/>
            <w:gridSpan w:val="2"/>
          </w:tcPr>
          <w:p>
            <w:pPr>
              <w:ind w:left="14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5"/>
                <w:szCs w:val="15"/>
                <w:color w:val="auto"/>
              </w:rPr>
              <w:t>10,163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rPr>
              <w:t>9,902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5"/>
                <w:szCs w:val="15"/>
                <w:color w:val="auto"/>
              </w:rPr>
              <w:t>261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3 %</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5"/>
                <w:szCs w:val="15"/>
                <w:color w:val="auto"/>
              </w:rPr>
              <w:t>31,081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31,928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w:t>
            </w: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operating expenses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Overall, operating expenses for Corporate Services were $10.2 million and $31.1 million for the three and nine months ended September 30, 2018, respectively, an increase of 3% and a decrease of 3% as compared to the same periods in 2017. The operating expenses for the three months ended September 30, 2018 increased primarily due to an increase in bonus expenses resulting from our improved operating results partly offset by a decrease in professional services fees. The operating expenses for the first nine months of 2018 decreased primarily due to a decrease in professional services fees and other costs incurred in connection with the proposed acquisition of MoneyGram International Inc. that occurred in the prior year but not in the current period.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 NET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1"/>
              </w:rPr>
              <w:t>Nine Months Ended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7"/>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4"/>
          </w:tcPr>
          <w:p>
            <w:pPr>
              <w:ind w:left="280"/>
              <w:spacing w:after="0"/>
              <w:rPr>
                <w:sz w:val="20"/>
                <w:szCs w:val="20"/>
                <w:color w:val="auto"/>
              </w:rPr>
            </w:pPr>
            <w:r>
              <w:rPr>
                <w:rFonts w:ascii="Arial" w:cs="Arial" w:eastAsia="Arial" w:hAnsi="Arial"/>
                <w:sz w:val="12"/>
                <w:szCs w:val="12"/>
                <w:b w:val="1"/>
                <w:bCs w:val="1"/>
                <w:color w:val="auto"/>
              </w:rPr>
              <w:t>Year-over-Year Change</w:t>
            </w:r>
          </w:p>
        </w:tc>
        <w:tc>
          <w:tcPr>
            <w:tcW w:w="260" w:type="dxa"/>
            <w:vAlign w:val="bottom"/>
          </w:tcPr>
          <w:p>
            <w:pPr>
              <w:spacing w:after="0"/>
              <w:rPr>
                <w:sz w:val="13"/>
                <w:szCs w:val="13"/>
                <w:color w:val="auto"/>
              </w:rPr>
            </w:pPr>
          </w:p>
        </w:tc>
        <w:tc>
          <w:tcPr>
            <w:tcW w:w="1240" w:type="dxa"/>
            <w:vAlign w:val="bottom"/>
            <w:gridSpan w:val="3"/>
          </w:tcPr>
          <w:p>
            <w:pPr>
              <w:jc w:val="center"/>
              <w:ind w:left="371"/>
              <w:spacing w:after="0"/>
              <w:rPr>
                <w:sz w:val="20"/>
                <w:szCs w:val="20"/>
                <w:color w:val="auto"/>
              </w:rPr>
            </w:pPr>
            <w:r>
              <w:rPr>
                <w:rFonts w:ascii="Arial" w:cs="Arial" w:eastAsia="Arial" w:hAnsi="Arial"/>
                <w:sz w:val="12"/>
                <w:szCs w:val="12"/>
                <w:b w:val="1"/>
                <w:bCs w:val="1"/>
                <w:color w:val="auto"/>
                <w:w w:val="87"/>
              </w:rPr>
              <w:t>September 30,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3"/>
          </w:tcPr>
          <w:p>
            <w:pPr>
              <w:jc w:val="right"/>
              <w:ind w:right="351"/>
              <w:spacing w:after="0"/>
              <w:rPr>
                <w:sz w:val="20"/>
                <w:szCs w:val="20"/>
                <w:color w:val="auto"/>
              </w:rPr>
            </w:pPr>
            <w:r>
              <w:rPr>
                <w:rFonts w:ascii="Arial" w:cs="Arial" w:eastAsia="Arial" w:hAnsi="Arial"/>
                <w:sz w:val="12"/>
                <w:szCs w:val="12"/>
                <w:b w:val="1"/>
                <w:bCs w:val="1"/>
                <w:color w:val="auto"/>
              </w:rPr>
              <w:t>Year-over-Year Change</w:t>
            </w:r>
          </w:p>
        </w:tc>
      </w:tr>
      <w:tr>
        <w:trPr>
          <w:trHeight w:val="123"/>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2"/>
              <w:spacing w:after="0" w:line="123" w:lineRule="exact"/>
              <w:rPr>
                <w:sz w:val="20"/>
                <w:szCs w:val="20"/>
                <w:color w:val="auto"/>
              </w:rPr>
            </w:pPr>
            <w:r>
              <w:rPr>
                <w:rFonts w:ascii="Arial" w:cs="Arial" w:eastAsia="Arial" w:hAnsi="Arial"/>
                <w:sz w:val="12"/>
                <w:szCs w:val="12"/>
                <w:b w:val="1"/>
                <w:bCs w:val="1"/>
                <w:color w:val="auto"/>
                <w:w w:val="86"/>
              </w:rPr>
              <w:t>Increase</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72"/>
              <w:spacing w:after="0" w:line="123" w:lineRule="exact"/>
              <w:rPr>
                <w:sz w:val="20"/>
                <w:szCs w:val="20"/>
                <w:color w:val="auto"/>
              </w:rPr>
            </w:pPr>
            <w:r>
              <w:rPr>
                <w:rFonts w:ascii="Arial" w:cs="Arial" w:eastAsia="Arial" w:hAnsi="Arial"/>
                <w:sz w:val="12"/>
                <w:szCs w:val="12"/>
                <w:b w:val="1"/>
                <w:bCs w:val="1"/>
                <w:color w:val="auto"/>
                <w:w w:val="90"/>
              </w:rPr>
              <w:t>Increase</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r>
        <w:trPr>
          <w:trHeight w:val="122"/>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2"/>
              <w:spacing w:after="0" w:line="122" w:lineRule="exact"/>
              <w:rPr>
                <w:sz w:val="20"/>
                <w:szCs w:val="20"/>
                <w:color w:val="auto"/>
              </w:rPr>
            </w:pPr>
            <w:r>
              <w:rPr>
                <w:rFonts w:ascii="Arial" w:cs="Arial" w:eastAsia="Arial" w:hAnsi="Arial"/>
                <w:sz w:val="12"/>
                <w:szCs w:val="12"/>
                <w:b w:val="1"/>
                <w:bCs w:val="1"/>
                <w:color w:val="auto"/>
                <w:w w:val="87"/>
              </w:rPr>
              <w:t>(Decrease)</w:t>
            </w: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0"/>
              </w:rPr>
              <w:t>Increase</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2"/>
              <w:spacing w:after="0" w:line="122" w:lineRule="exact"/>
              <w:rPr>
                <w:sz w:val="20"/>
                <w:szCs w:val="20"/>
                <w:color w:val="auto"/>
              </w:rPr>
            </w:pPr>
            <w:r>
              <w:rPr>
                <w:rFonts w:ascii="Arial" w:cs="Arial" w:eastAsia="Arial" w:hAnsi="Arial"/>
                <w:sz w:val="12"/>
                <w:szCs w:val="12"/>
                <w:b w:val="1"/>
                <w:bCs w:val="1"/>
                <w:color w:val="auto"/>
                <w:w w:val="84"/>
              </w:rPr>
              <w:t>(Decrease)</w:t>
            </w:r>
          </w:p>
        </w:tc>
        <w:tc>
          <w:tcPr>
            <w:tcW w:w="120" w:type="dxa"/>
            <w:vAlign w:val="bottom"/>
          </w:tcPr>
          <w:p>
            <w:pPr>
              <w:spacing w:after="0"/>
              <w:rPr>
                <w:sz w:val="10"/>
                <w:szCs w:val="10"/>
                <w:color w:val="auto"/>
              </w:rPr>
            </w:pPr>
          </w:p>
        </w:tc>
        <w:tc>
          <w:tcPr>
            <w:tcW w:w="1000" w:type="dxa"/>
            <w:vAlign w:val="bottom"/>
          </w:tcPr>
          <w:p>
            <w:pPr>
              <w:jc w:val="right"/>
              <w:ind w:right="211"/>
              <w:spacing w:after="0" w:line="122" w:lineRule="exact"/>
              <w:rPr>
                <w:sz w:val="20"/>
                <w:szCs w:val="20"/>
                <w:color w:val="auto"/>
              </w:rPr>
            </w:pPr>
            <w:r>
              <w:rPr>
                <w:rFonts w:ascii="Arial" w:cs="Arial" w:eastAsia="Arial" w:hAnsi="Arial"/>
                <w:sz w:val="12"/>
                <w:szCs w:val="12"/>
                <w:b w:val="1"/>
                <w:bCs w:val="1"/>
                <w:color w:val="auto"/>
              </w:rPr>
              <w:t>Increase</w:t>
            </w:r>
          </w:p>
        </w:tc>
      </w:tr>
      <w:tr>
        <w:trPr>
          <w:trHeight w:val="157"/>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 amounts in thousands)</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(Decrease) Percent</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88"/>
              </w:rPr>
              <w:t>Amount</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(Decrease) Percent</w:t>
            </w:r>
          </w:p>
        </w:tc>
      </w:tr>
      <w:tr>
        <w:trPr>
          <w:trHeight w:val="198"/>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Interest income</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380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2,009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99"/>
        </w:trPr>
        <w:tc>
          <w:tcPr>
            <w:tcW w:w="2700" w:type="dxa"/>
            <w:vAlign w:val="bottom"/>
            <w:gridSpan w:val="2"/>
          </w:tcPr>
          <w:p>
            <w:pPr>
              <w:ind w:left="40"/>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(9,534)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(1,735)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18 %</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(28,936)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(25,058)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(3,878)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15 %</w:t>
            </w:r>
          </w:p>
        </w:tc>
      </w:tr>
      <w:tr>
        <w:trPr>
          <w:trHeight w:val="23"/>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2"/>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Loss from unconsolidated affiliates</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5"/>
                <w:szCs w:val="15"/>
                <w:color w:val="auto"/>
              </w:rPr>
              <w:t>n/m</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5"/>
                <w:szCs w:val="15"/>
                <w:color w:val="auto"/>
              </w:rPr>
              <w:t>n/m</w:t>
            </w:r>
          </w:p>
        </w:tc>
      </w:tr>
      <w:tr>
        <w:trPr>
          <w:trHeight w:val="199"/>
        </w:trPr>
        <w:tc>
          <w:tcPr>
            <w:tcW w:w="2700" w:type="dxa"/>
            <w:vAlign w:val="bottom"/>
            <w:gridSpan w:val="2"/>
          </w:tcPr>
          <w:p>
            <w:pPr>
              <w:ind w:left="40"/>
              <w:spacing w:after="0"/>
              <w:rPr>
                <w:sz w:val="20"/>
                <w:szCs w:val="20"/>
                <w:color w:val="auto"/>
              </w:rPr>
            </w:pPr>
            <w:r>
              <w:rPr>
                <w:rFonts w:ascii="Arial" w:cs="Arial" w:eastAsia="Arial" w:hAnsi="Arial"/>
                <w:sz w:val="15"/>
                <w:szCs w:val="15"/>
                <w:color w:val="auto"/>
                <w:w w:val="92"/>
              </w:rPr>
              <w:t>Foreign currency exchange (loss) gain,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8,179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(10,883)</w:t>
            </w:r>
          </w:p>
        </w:tc>
        <w:tc>
          <w:tcPr>
            <w:tcW w:w="100" w:type="dxa"/>
            <w:vAlign w:val="bottom"/>
          </w:tcPr>
          <w:p>
            <w:pPr>
              <w:spacing w:after="0"/>
              <w:rPr>
                <w:sz w:val="17"/>
                <w:szCs w:val="17"/>
                <w:color w:val="auto"/>
              </w:rPr>
            </w:pPr>
          </w:p>
        </w:tc>
        <w:tc>
          <w:tcPr>
            <w:tcW w:w="1220" w:type="dxa"/>
            <w:vAlign w:val="bottom"/>
            <w:gridSpan w:val="2"/>
          </w:tcPr>
          <w:p>
            <w:pPr>
              <w:ind w:left="580"/>
              <w:spacing w:after="0"/>
              <w:rPr>
                <w:sz w:val="20"/>
                <w:szCs w:val="20"/>
                <w:color w:val="auto"/>
              </w:rPr>
            </w:pPr>
            <w:r>
              <w:rPr>
                <w:rFonts w:ascii="Arial" w:cs="Arial" w:eastAsia="Arial" w:hAnsi="Arial"/>
                <w:sz w:val="15"/>
                <w:szCs w:val="15"/>
                <w:color w:val="auto"/>
              </w:rPr>
              <w:t>n/m</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5"/>
                <w:szCs w:val="15"/>
                <w:color w:val="auto"/>
              </w:rPr>
              <w:t>21,035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(42,494)</w:t>
            </w:r>
          </w:p>
        </w:tc>
        <w:tc>
          <w:tcPr>
            <w:tcW w:w="120" w:type="dxa"/>
            <w:vAlign w:val="bottom"/>
          </w:tcPr>
          <w:p>
            <w:pPr>
              <w:spacing w:after="0"/>
              <w:rPr>
                <w:sz w:val="17"/>
                <w:szCs w:val="17"/>
                <w:color w:val="auto"/>
              </w:rPr>
            </w:pPr>
          </w:p>
        </w:tc>
        <w:tc>
          <w:tcPr>
            <w:tcW w:w="1000" w:type="dxa"/>
            <w:vAlign w:val="bottom"/>
          </w:tcPr>
          <w:p>
            <w:pPr>
              <w:jc w:val="right"/>
              <w:ind w:right="131"/>
              <w:spacing w:after="0"/>
              <w:rPr>
                <w:sz w:val="20"/>
                <w:szCs w:val="20"/>
                <w:color w:val="auto"/>
              </w:rPr>
            </w:pPr>
            <w:r>
              <w:rPr>
                <w:rFonts w:ascii="Arial" w:cs="Arial" w:eastAsia="Arial" w:hAnsi="Arial"/>
                <w:sz w:val="15"/>
                <w:szCs w:val="15"/>
                <w:color w:val="auto"/>
              </w:rPr>
              <w:t>n/m</w:t>
            </w:r>
          </w:p>
        </w:tc>
      </w:tr>
      <w:tr>
        <w:trPr>
          <w:trHeight w:val="23"/>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Other (loss) gains</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5"/>
                <w:szCs w:val="15"/>
                <w:color w:val="auto"/>
              </w:rPr>
              <w:t>n/m</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5"/>
                <w:szCs w:val="15"/>
                <w:color w:val="auto"/>
              </w:rPr>
              <w:t>n/m</w:t>
            </w:r>
          </w:p>
        </w:tc>
      </w:tr>
      <w:tr>
        <w:trPr>
          <w:trHeight w:val="207"/>
        </w:trPr>
        <w:tc>
          <w:tcPr>
            <w:tcW w:w="2700" w:type="dxa"/>
            <w:vAlign w:val="bottom"/>
            <w:gridSpan w:val="2"/>
          </w:tcPr>
          <w:p>
            <w:pPr>
              <w:ind w:left="280"/>
              <w:spacing w:after="0"/>
              <w:rPr>
                <w:sz w:val="20"/>
                <w:szCs w:val="20"/>
                <w:color w:val="auto"/>
              </w:rPr>
            </w:pPr>
            <w:r>
              <w:rPr>
                <w:rFonts w:ascii="Arial" w:cs="Arial" w:eastAsia="Arial" w:hAnsi="Arial"/>
                <w:sz w:val="15"/>
                <w:szCs w:val="15"/>
                <w:color w:val="auto"/>
              </w:rPr>
              <w:t>Other expense, net</w:t>
            </w: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(13,719)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(12,744)</w:t>
            </w:r>
          </w:p>
        </w:tc>
        <w:tc>
          <w:tcPr>
            <w:tcW w:w="10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5"/>
                <w:szCs w:val="15"/>
                <w:color w:val="auto"/>
              </w:rPr>
              <w:t>n/m</w:t>
            </w: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(49,486)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(47,507)</w:t>
            </w:r>
          </w:p>
        </w:tc>
        <w:tc>
          <w:tcPr>
            <w:tcW w:w="12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5"/>
                <w:szCs w:val="15"/>
                <w:color w:val="auto"/>
              </w:rPr>
              <w:t>n/m</w:t>
            </w: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n/m — Not meaningful</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income</w:t>
      </w:r>
    </w:p>
    <w:p>
      <w:pPr>
        <w:spacing w:after="0" w:line="94"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The decrease in interest income for the first nine months of September 30, 2018 compared to the same period in 2017 was primarily due to the interest earned on a tax refund received in India in the first quarter of 2017 which did not occur in the current period.</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w:t>
      </w:r>
    </w:p>
    <w:p>
      <w:pPr>
        <w:spacing w:after="0" w:line="94"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The increases in interest expense for the three and nine months ended September 30, 2018 compared to the same periods in 2017 were primarily related to additional borrowings throughout the third quarter of 2018 to fund the operating cash for our Independent ATM Deployed (“IAD”) networks and higher interest rates as compared to the same periods in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60"/>
          </w:cols>
          <w:pgMar w:left="220" w:top="129"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(loss) gain, net</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60" w:lineRule="exact"/>
        <w:rPr>
          <w:sz w:val="20"/>
          <w:szCs w:val="20"/>
          <w:color w:val="auto"/>
        </w:rPr>
      </w:pPr>
    </w:p>
    <w:p>
      <w:pPr>
        <w:jc w:val="both"/>
        <w:ind w:right="100"/>
        <w:spacing w:after="0" w:line="257" w:lineRule="auto"/>
        <w:rPr>
          <w:sz w:val="20"/>
          <w:szCs w:val="20"/>
          <w:color w:val="auto"/>
        </w:rPr>
      </w:pPr>
      <w:r>
        <w:rPr>
          <w:rFonts w:ascii="Arial" w:cs="Arial" w:eastAsia="Arial" w:hAnsi="Arial"/>
          <w:sz w:val="15"/>
          <w:szCs w:val="15"/>
          <w:color w:val="auto"/>
        </w:rPr>
        <w:t>We recorded net foreign currency exchange losses of $2.7 million and $21.5 million for the three and nine months ended September 30, 2018, respectively, as compared to net foreign currency exchange gains of $8.2 million and $21.0 million for the same periods in 2017. These realized and unrealized foreign currency exchange losses and gains reflect the fluctuation in the value of the U.S. dollar against the currencies of the countries in which we operated during the respective periods.</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 EXPENSE</w:t>
      </w:r>
    </w:p>
    <w:p>
      <w:pPr>
        <w:spacing w:after="0" w:line="98"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 xml:space="preserve">The Company's effective income tax rate was 25.5% and 27.4% for the three and nine months ended </w:t>
      </w:r>
      <w:r>
        <w:rPr>
          <w:rFonts w:ascii="Arial" w:cs="Arial" w:eastAsia="Arial" w:hAnsi="Arial"/>
          <w:sz w:val="13"/>
          <w:szCs w:val="13"/>
          <w:color w:val="252525"/>
        </w:rPr>
        <w:t>September 30, 2018</w:t>
      </w:r>
      <w:r>
        <w:rPr>
          <w:rFonts w:ascii="Arial" w:cs="Arial" w:eastAsia="Arial" w:hAnsi="Arial"/>
          <w:sz w:val="13"/>
          <w:szCs w:val="13"/>
          <w:color w:val="auto"/>
        </w:rPr>
        <w:t>, respectively, as compared to 13.4% and 19.3% for the same periods in 2017. The Company's effective income tax rate for the three and nine months ended September 30, 2017 was less than the applicable statutory income tax rate of 35% primarily due to the release of a $16.3 million valuation allowance against certain foreign deferred tax assets and, to a lesser extent, the Company's U.S. tax position. In 2017, the significant year-over-year and year-to-date profitability of ATMs under management in Europe allowed the release of the valuation allowance as the Company believes that certain foreign deferred assets, including net operating loss carryforwards, will more likely than not be realized in future periods. In addition, the Company had significant U.S. federal tax net operating loss carryforwards with no recent history of significant U.S. taxable income; therefore, the Company had recorded a valuation allowance against its net U.S. deferred tax assets. Accordingly, in instances when the Company generated pre-tax U.S. GAAP income, no income tax expense was recognized to the extent there were net operating loss carryforwards to offset the income. The Company's effective income tax rate for the three and nine months ended September 30, 2018 was higher than the applicable statutory income tax rate of 21% as a result of the enactment of the Tax Cuts and Jobs Act of 2017 (the "Act") and its impact on the Company's U.S. income tax positions at the end of 2017.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 As stated above, the Company had recorded a valuation allowance against its net U.S. deferred tax assets. After enactment of the Act, the Company expected to utilize its U.S. federal net operating losses to partially offset the transition tax and released the associated valuation allowance in the prior year. This change has created additional U.S. tax expense as the Company will now recognize income tax expense on its pre-tax U.S. GAAP income. In addition, the Act's GILTI provision has created additional U.S. tax expense on foreign earnings. The increase in the effective tax rate for the first nine months of 2018 compared to the same period in 2017 is largely due to the 2017 release of valuation allowance and to a certain extent, the Act's impact on the Company's U.S. income tax positions. See Note 10 to the financial statements included in Part I, Item 1 of this report for additional information related to income taxes.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NONCONTROLLING INTERESTS</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Noncontrolling interests represents the elimination of net income or loss attributable to the minority shareholders’ portion of the following consolidated subsidiaries that are not wholly owned: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Percent</w:t>
            </w:r>
          </w:p>
        </w:tc>
        <w:tc>
          <w:tcPr>
            <w:tcW w:w="2180" w:type="dxa"/>
            <w:vAlign w:val="bottom"/>
          </w:tcPr>
          <w:p>
            <w:pPr>
              <w:spacing w:after="0"/>
              <w:rPr>
                <w:sz w:val="12"/>
                <w:szCs w:val="12"/>
                <w:color w:val="auto"/>
              </w:rPr>
            </w:pPr>
          </w:p>
        </w:tc>
      </w:tr>
      <w:tr>
        <w:trPr>
          <w:trHeight w:val="157"/>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Subsidiary</w:t>
            </w:r>
          </w:p>
        </w:tc>
        <w:tc>
          <w:tcPr>
            <w:tcW w:w="42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Owned</w:t>
            </w:r>
          </w:p>
        </w:tc>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Segment - Country</w:t>
            </w:r>
          </w:p>
        </w:tc>
      </w:tr>
      <w:tr>
        <w:trPr>
          <w:trHeight w:val="198"/>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Movilcarga</w:t>
            </w:r>
          </w:p>
        </w:tc>
        <w:tc>
          <w:tcPr>
            <w:tcW w:w="5480" w:type="dxa"/>
            <w:vAlign w:val="bottom"/>
            <w:tcBorders>
              <w:bottom w:val="single" w:sz="8" w:color="CCEEFF"/>
            </w:tcBorders>
            <w:gridSpan w:val="3"/>
            <w:shd w:val="clear" w:color="auto" w:fill="CCEEFF"/>
          </w:tcPr>
          <w:p>
            <w:pPr>
              <w:jc w:val="center"/>
              <w:ind w:left="4246"/>
              <w:spacing w:after="0"/>
              <w:rPr>
                <w:sz w:val="20"/>
                <w:szCs w:val="20"/>
                <w:color w:val="auto"/>
              </w:rPr>
            </w:pPr>
            <w:r>
              <w:rPr>
                <w:rFonts w:ascii="Arial" w:cs="Arial" w:eastAsia="Arial" w:hAnsi="Arial"/>
                <w:sz w:val="15"/>
                <w:szCs w:val="15"/>
                <w:color w:val="auto"/>
                <w:w w:val="93"/>
              </w:rPr>
              <w:t>95%</w:t>
            </w: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epay - Spain</w:t>
            </w:r>
          </w:p>
        </w:tc>
      </w:tr>
      <w:tr>
        <w:trPr>
          <w:trHeight w:val="199"/>
        </w:trPr>
        <w:tc>
          <w:tcPr>
            <w:tcW w:w="3700" w:type="dxa"/>
            <w:vAlign w:val="bottom"/>
          </w:tcPr>
          <w:p>
            <w:pPr>
              <w:ind w:left="40"/>
              <w:spacing w:after="0"/>
              <w:rPr>
                <w:sz w:val="20"/>
                <w:szCs w:val="20"/>
                <w:color w:val="auto"/>
              </w:rPr>
            </w:pPr>
            <w:r>
              <w:rPr>
                <w:rFonts w:ascii="Arial" w:cs="Arial" w:eastAsia="Arial" w:hAnsi="Arial"/>
                <w:sz w:val="15"/>
                <w:szCs w:val="15"/>
                <w:color w:val="auto"/>
              </w:rPr>
              <w:t>Euronet China</w:t>
            </w:r>
          </w:p>
        </w:tc>
        <w:tc>
          <w:tcPr>
            <w:tcW w:w="5480" w:type="dxa"/>
            <w:vAlign w:val="bottom"/>
            <w:gridSpan w:val="3"/>
          </w:tcPr>
          <w:p>
            <w:pPr>
              <w:jc w:val="center"/>
              <w:ind w:left="4246"/>
              <w:spacing w:after="0"/>
              <w:rPr>
                <w:sz w:val="20"/>
                <w:szCs w:val="20"/>
                <w:color w:val="auto"/>
              </w:rPr>
            </w:pPr>
            <w:r>
              <w:rPr>
                <w:rFonts w:ascii="Arial" w:cs="Arial" w:eastAsia="Arial" w:hAnsi="Arial"/>
                <w:sz w:val="15"/>
                <w:szCs w:val="15"/>
                <w:color w:val="auto"/>
                <w:w w:val="93"/>
              </w:rPr>
              <w:t>85%</w:t>
            </w: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5"/>
                <w:szCs w:val="15"/>
                <w:color w:val="auto"/>
                <w:w w:val="91"/>
              </w:rPr>
              <w:t>EFT - China</w:t>
            </w:r>
          </w:p>
        </w:tc>
      </w:tr>
      <w:tr>
        <w:trPr>
          <w:trHeight w:val="23"/>
        </w:trPr>
        <w:tc>
          <w:tcPr>
            <w:tcW w:w="3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2"/>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Euronet Pakistan</w:t>
            </w:r>
          </w:p>
        </w:tc>
        <w:tc>
          <w:tcPr>
            <w:tcW w:w="5480" w:type="dxa"/>
            <w:vAlign w:val="bottom"/>
            <w:tcBorders>
              <w:bottom w:val="single" w:sz="8" w:color="CCEEFF"/>
            </w:tcBorders>
            <w:gridSpan w:val="3"/>
            <w:shd w:val="clear" w:color="auto" w:fill="CCEEFF"/>
          </w:tcPr>
          <w:p>
            <w:pPr>
              <w:jc w:val="center"/>
              <w:ind w:left="4246"/>
              <w:spacing w:after="0"/>
              <w:rPr>
                <w:sz w:val="20"/>
                <w:szCs w:val="20"/>
                <w:color w:val="auto"/>
              </w:rPr>
            </w:pPr>
            <w:r>
              <w:rPr>
                <w:rFonts w:ascii="Arial" w:cs="Arial" w:eastAsia="Arial" w:hAnsi="Arial"/>
                <w:sz w:val="15"/>
                <w:szCs w:val="15"/>
                <w:color w:val="auto"/>
                <w:w w:val="93"/>
              </w:rPr>
              <w:t>70%</w:t>
            </w: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EFT - Pakistan</w:t>
            </w:r>
          </w:p>
        </w:tc>
      </w:tr>
      <w:tr>
        <w:trPr>
          <w:trHeight w:val="199"/>
        </w:trPr>
        <w:tc>
          <w:tcPr>
            <w:tcW w:w="3700" w:type="dxa"/>
            <w:vAlign w:val="bottom"/>
          </w:tcPr>
          <w:p>
            <w:pPr>
              <w:ind w:left="40"/>
              <w:spacing w:after="0"/>
              <w:rPr>
                <w:sz w:val="20"/>
                <w:szCs w:val="20"/>
                <w:color w:val="auto"/>
              </w:rPr>
            </w:pPr>
            <w:r>
              <w:rPr>
                <w:rFonts w:ascii="Arial" w:cs="Arial" w:eastAsia="Arial" w:hAnsi="Arial"/>
                <w:sz w:val="15"/>
                <w:szCs w:val="15"/>
                <w:color w:val="auto"/>
              </w:rPr>
              <w:t>Euronet Infinitium Solutions</w:t>
            </w:r>
          </w:p>
        </w:tc>
        <w:tc>
          <w:tcPr>
            <w:tcW w:w="5480" w:type="dxa"/>
            <w:vAlign w:val="bottom"/>
            <w:gridSpan w:val="3"/>
          </w:tcPr>
          <w:p>
            <w:pPr>
              <w:jc w:val="center"/>
              <w:ind w:left="4246"/>
              <w:spacing w:after="0"/>
              <w:rPr>
                <w:sz w:val="20"/>
                <w:szCs w:val="20"/>
                <w:color w:val="auto"/>
              </w:rPr>
            </w:pPr>
            <w:r>
              <w:rPr>
                <w:rFonts w:ascii="Arial" w:cs="Arial" w:eastAsia="Arial" w:hAnsi="Arial"/>
                <w:sz w:val="15"/>
                <w:szCs w:val="15"/>
                <w:color w:val="auto"/>
                <w:w w:val="93"/>
              </w:rPr>
              <w:t>65%</w:t>
            </w: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5"/>
                <w:szCs w:val="15"/>
                <w:color w:val="auto"/>
                <w:w w:val="94"/>
              </w:rPr>
              <w:t>EFT - India</w:t>
            </w:r>
          </w:p>
        </w:tc>
      </w:tr>
      <w:tr>
        <w:trPr>
          <w:trHeight w:val="399"/>
        </w:trPr>
        <w:tc>
          <w:tcPr>
            <w:tcW w:w="3700" w:type="dxa"/>
            <w:vAlign w:val="bottom"/>
          </w:tcPr>
          <w:p>
            <w:pPr>
              <w:spacing w:after="0"/>
              <w:rPr>
                <w:sz w:val="24"/>
                <w:szCs w:val="24"/>
                <w:color w:val="auto"/>
              </w:rPr>
            </w:pPr>
          </w:p>
        </w:tc>
        <w:tc>
          <w:tcPr>
            <w:tcW w:w="4220" w:type="dxa"/>
            <w:vAlign w:val="bottom"/>
          </w:tcPr>
          <w:p>
            <w:pPr>
              <w:jc w:val="right"/>
              <w:ind w:right="2046"/>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EURONET</w:t>
      </w:r>
    </w:p>
    <w:p>
      <w:pPr>
        <w:spacing w:after="0" w:line="98"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Net income attributable to Euronet was $102.7 million and $172.9 million for the three and nine months ended September 30, 2018, respectively, an increase of $2.4 million and a decrease of $6.9 million as compared to the same periods in 2017. The decrease in net income for the first nine months of 2018 was primarily due to a $42.5 million increase in net foreign currency exchange loss, a $21.9 million increase in income tax expense, a decrease in interest income of $1.0 million and an increase in interest expense of $3.9 million, partly offset by an increase in operating income of $61.9 million and a $0.6 million increase in losses attributable to noncontrolling interests.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Working capital</w:t>
      </w:r>
    </w:p>
    <w:p>
      <w:pPr>
        <w:spacing w:after="0" w:line="94" w:lineRule="exact"/>
        <w:rPr>
          <w:sz w:val="20"/>
          <w:szCs w:val="20"/>
          <w:color w:val="auto"/>
        </w:rPr>
      </w:pPr>
    </w:p>
    <w:p>
      <w:pPr>
        <w:ind w:right="160"/>
        <w:spacing w:after="0" w:line="304" w:lineRule="auto"/>
        <w:rPr>
          <w:sz w:val="20"/>
          <w:szCs w:val="20"/>
          <w:color w:val="auto"/>
        </w:rPr>
      </w:pPr>
      <w:r>
        <w:rPr>
          <w:rFonts w:ascii="Arial" w:cs="Arial" w:eastAsia="Arial" w:hAnsi="Arial"/>
          <w:sz w:val="14"/>
          <w:szCs w:val="14"/>
          <w:color w:val="auto"/>
        </w:rPr>
        <w:t>As of September 30, 2018 and December 31, 2017, we had working capital, which is calculated as the difference between total current assets and total current liabilities, of $702.8 million and $482.5 million, respectively. Our ratio of current assets to current liabilities at September 30, 2018 and December 31, 2017 was 1.46 and 1.34, respectively.</w:t>
      </w:r>
    </w:p>
    <w:p>
      <w:pPr>
        <w:spacing w:after="0" w:line="36"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September 30, 2018, we had approximately $640 million of our own cash in use or designated for use in our ATM network, which is recorded in cash and cash equivalents and trade accounts receivable, for ATM withdrawals pending settlement, on the Consolidated Balance Sheet.</w:t>
      </w:r>
    </w:p>
    <w:p>
      <w:pPr>
        <w:spacing w:after="0" w:line="72" w:lineRule="exact"/>
        <w:rPr>
          <w:sz w:val="20"/>
          <w:szCs w:val="20"/>
          <w:color w:val="auto"/>
        </w:rPr>
      </w:pPr>
    </w:p>
    <w:p>
      <w:pPr>
        <w:ind w:right="320"/>
        <w:spacing w:after="0" w:line="268" w:lineRule="auto"/>
        <w:rPr>
          <w:sz w:val="20"/>
          <w:szCs w:val="20"/>
          <w:color w:val="auto"/>
        </w:rPr>
      </w:pPr>
      <w:r>
        <w:rPr>
          <w:rFonts w:ascii="Arial" w:cs="Arial" w:eastAsia="Arial" w:hAnsi="Arial"/>
          <w:sz w:val="15"/>
          <w:szCs w:val="15"/>
          <w:color w:val="auto"/>
        </w:rPr>
        <w:t>We had cash and cash equivalents of $1,129.3 million at September 30, 2018, of which $941.5 million was held outside of the United States and is expected to be indefinitely reinvested for continued use in foreign operations. Repatriation of these assets to the U.S. could have negative tax consequences.</w:t>
      </w:r>
    </w:p>
    <w:p>
      <w:pPr>
        <w:spacing w:after="0" w:line="59"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The following table identifies cash and cash equivalents provided by/(used in) our operating, investing and financing activities for the nine month periods ended September 30, 2018 and 2017 (in thousands):</w:t>
      </w:r>
    </w:p>
    <w:p>
      <w:pPr>
        <w:spacing w:after="0" w:line="192" w:lineRule="exact"/>
        <w:rPr>
          <w:sz w:val="20"/>
          <w:szCs w:val="20"/>
          <w:color w:val="auto"/>
        </w:rPr>
      </w:pPr>
    </w:p>
    <w:p>
      <w:pPr>
        <w:jc w:val="center"/>
        <w:ind w:left="8860"/>
        <w:spacing w:after="0"/>
        <w:rPr>
          <w:sz w:val="20"/>
          <w:szCs w:val="20"/>
          <w:color w:val="auto"/>
        </w:rPr>
      </w:pPr>
      <w:r>
        <w:rPr>
          <w:rFonts w:ascii="Arial" w:cs="Arial" w:eastAsia="Arial" w:hAnsi="Arial"/>
          <w:sz w:val="13"/>
          <w:szCs w:val="13"/>
          <w:b w:val="1"/>
          <w:bCs w:val="1"/>
          <w:color w:val="auto"/>
        </w:rPr>
        <w:t>Nine Months Ended</w:t>
      </w:r>
    </w:p>
    <w:p>
      <w:pPr>
        <w:spacing w:after="0" w:line="23" w:lineRule="exact"/>
        <w:rPr>
          <w:sz w:val="20"/>
          <w:szCs w:val="20"/>
          <w:color w:val="auto"/>
        </w:rPr>
      </w:pPr>
    </w:p>
    <w:p>
      <w:pPr>
        <w:jc w:val="center"/>
        <w:ind w:left="886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27940</wp:posOffset>
            </wp:positionV>
            <wp:extent cx="1670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0" cy="698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Liquidity</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2017</w:t>
            </w:r>
          </w:p>
        </w:tc>
      </w:tr>
      <w:tr>
        <w:trPr>
          <w:trHeight w:val="198"/>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and restricted cash provided by (used in):</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9"/>
        </w:trPr>
        <w:tc>
          <w:tcPr>
            <w:tcW w:w="8820" w:type="dxa"/>
            <w:vAlign w:val="bottom"/>
          </w:tcPr>
          <w:p>
            <w:pPr>
              <w:ind w:left="140"/>
              <w:spacing w:after="0"/>
              <w:rPr>
                <w:sz w:val="20"/>
                <w:szCs w:val="20"/>
                <w:color w:val="auto"/>
              </w:rPr>
            </w:pPr>
            <w:r>
              <w:rPr>
                <w:rFonts w:ascii="Arial" w:cs="Arial" w:eastAsia="Arial" w:hAnsi="Arial"/>
                <w:sz w:val="15"/>
                <w:szCs w:val="15"/>
                <w:color w:val="auto"/>
              </w:rPr>
              <w:t>Operating activities</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192,573</w:t>
            </w:r>
          </w:p>
        </w:tc>
        <w:tc>
          <w:tcPr>
            <w:tcW w:w="12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9"/>
              <w:spacing w:after="0"/>
              <w:rPr>
                <w:sz w:val="20"/>
                <w:szCs w:val="20"/>
                <w:color w:val="auto"/>
              </w:rPr>
            </w:pPr>
            <w:r>
              <w:rPr>
                <w:rFonts w:ascii="Arial" w:cs="Arial" w:eastAsia="Arial" w:hAnsi="Arial"/>
                <w:sz w:val="15"/>
                <w:szCs w:val="15"/>
                <w:color w:val="auto"/>
              </w:rPr>
              <w:t>257,684</w:t>
            </w:r>
          </w:p>
        </w:tc>
      </w:tr>
      <w:tr>
        <w:trPr>
          <w:trHeight w:val="23"/>
        </w:trPr>
        <w:tc>
          <w:tcPr>
            <w:tcW w:w="8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(99,369)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(74,023)</w:t>
            </w:r>
          </w:p>
        </w:tc>
      </w:tr>
      <w:tr>
        <w:trPr>
          <w:trHeight w:val="199"/>
        </w:trPr>
        <w:tc>
          <w:tcPr>
            <w:tcW w:w="8820" w:type="dxa"/>
            <w:vAlign w:val="bottom"/>
          </w:tcPr>
          <w:p>
            <w:pPr>
              <w:ind w:left="140"/>
              <w:spacing w:after="0"/>
              <w:rPr>
                <w:sz w:val="20"/>
                <w:szCs w:val="20"/>
                <w:color w:val="auto"/>
              </w:rPr>
            </w:pPr>
            <w:r>
              <w:rPr>
                <w:rFonts w:ascii="Arial" w:cs="Arial" w:eastAsia="Arial" w:hAnsi="Arial"/>
                <w:sz w:val="15"/>
                <w:szCs w:val="15"/>
                <w:color w:val="auto"/>
              </w:rPr>
              <w:t>Financing activities</w:t>
            </w:r>
          </w:p>
        </w:tc>
        <w:tc>
          <w:tcPr>
            <w:tcW w:w="32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247,087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5"/>
                <w:szCs w:val="15"/>
                <w:color w:val="auto"/>
              </w:rPr>
              <w:t>126,615</w:t>
            </w:r>
          </w:p>
        </w:tc>
      </w:tr>
      <w:tr>
        <w:trPr>
          <w:trHeight w:val="23"/>
        </w:trPr>
        <w:tc>
          <w:tcPr>
            <w:tcW w:w="8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Effect of foreign currency exchange rate changes on cash and cash equivalents and restricted cash</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53,494</w:t>
            </w:r>
          </w:p>
        </w:tc>
      </w:tr>
      <w:tr>
        <w:trPr>
          <w:trHeight w:val="207"/>
        </w:trPr>
        <w:tc>
          <w:tcPr>
            <w:tcW w:w="8820" w:type="dxa"/>
            <w:vAlign w:val="bottom"/>
          </w:tcPr>
          <w:p>
            <w:pPr>
              <w:ind w:left="40"/>
              <w:spacing w:after="0"/>
              <w:rPr>
                <w:sz w:val="20"/>
                <w:szCs w:val="20"/>
                <w:color w:val="auto"/>
              </w:rPr>
            </w:pPr>
            <w:r>
              <w:rPr>
                <w:rFonts w:ascii="Arial" w:cs="Arial" w:eastAsia="Arial" w:hAnsi="Arial"/>
                <w:sz w:val="15"/>
                <w:szCs w:val="15"/>
                <w:color w:val="auto"/>
              </w:rPr>
              <w:t>Increase in cash and cash equivalents and restricted cash</w:t>
            </w: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302,207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363,770</w:t>
            </w:r>
          </w:p>
        </w:tc>
      </w:tr>
      <w:tr>
        <w:trPr>
          <w:trHeight w:val="20"/>
        </w:trPr>
        <w:tc>
          <w:tcPr>
            <w:tcW w:w="8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activity cash flow</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Cash flows provided by operating activities were $192.6 million for the first nine months of 2018 compared to $257.7 million for the first nine months of 2017.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activity cash flow</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Cash flows used in investing activities were $99.4 million for the first nine months of 2018 compared to $74.0 million for the first nine months of 2017. The increase is primarily due to acquisitions and increased capital expenditures mainly related to our ATM network expansion. During the first nine months of 2018, we used $12.9 million for business acquisitions. During the first nine months of 2018, we used $82.1 million for purchases of property and equipment compared to $70.9 million during the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 xml:space="preserve">first nine months of 2017. Cash used for software development and other investing activities totaled $4.4 million and $3.2 million for the first nine months of 2018 and 2017, respectively. </w:t>
      </w:r>
      <w:r>
        <w:rPr>
          <w:rFonts w:ascii="Arial" w:cs="Arial" w:eastAsia="Arial" w:hAnsi="Arial"/>
          <w:sz w:val="15"/>
          <w:szCs w:val="15"/>
          <w:i w:val="1"/>
          <w:iCs w:val="1"/>
          <w:color w:val="auto"/>
        </w:rPr>
        <w:t>Financing activity cash flow</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Cash flows provided by financing activities were $247.1 million for the first nine months of 2018 compared to $126.6 million for the first nine months of 2017. Our financing activities for the first nine months of 2018 consisted of net borrowings of $417.2 million compared to net borrowings of $123.8 million for the first nine months of 2017. The increase in net borrowings for the first nine months of 2018 compared to the same period of 2017 was the result of additional borrowings under the credit facilities to fund the operating cash of our IAD networks. Additionally, we used $4.7 million and $3.5 million during the first nine months of 2018 and 2017, respectively, for capital lease repayments. We repurchased $177.2 million and $2.3 million of our stock during the first nine months of 2018 and 2017, respectively. During the first nine months of 2018, we repurchased $175.0 million of our shares and paid $2.2 million for the amount of payroll taxes represented by the common stock withheld on restricted stock vestings and stock option exercises compared to $2.3 million for the same period of 2017. We received proceeds from stock option exercises of $11.8 million and $8.3 million for the first nine months of 2018 and 2017,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sources of capital</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5"/>
          <w:szCs w:val="15"/>
          <w:u w:val="single" w:color="auto"/>
          <w:color w:val="auto"/>
        </w:rPr>
        <w:t>Credit Facility</w:t>
      </w:r>
      <w:r>
        <w:rPr>
          <w:rFonts w:ascii="Arial" w:cs="Arial" w:eastAsia="Arial" w:hAnsi="Arial"/>
          <w:sz w:val="15"/>
          <w:szCs w:val="15"/>
          <w:color w:val="auto"/>
        </w:rPr>
        <w:t xml:space="preserve"> - As of September 30, 2018, we had a $675 million senior secured credit facility that matures on April 9, 2019 (the "Credit Facility") consisting of a $590 million revolving credit facility, a $10 million India revolving credit facility and a $75 million term loan which was retired early during the third quarter of 2018. On October 17, 2018, the Credit Facility was subsequently replaced with a new $1.0 billion unsecured revolving credit agreement that expires on October 17, 2023.</w:t>
      </w:r>
    </w:p>
    <w:p>
      <w:pPr>
        <w:spacing w:after="0" w:line="156" w:lineRule="exact"/>
        <w:rPr>
          <w:sz w:val="20"/>
          <w:szCs w:val="20"/>
          <w:color w:val="auto"/>
        </w:rPr>
      </w:pPr>
    </w:p>
    <w:p>
      <w:pPr>
        <w:ind w:right="520"/>
        <w:spacing w:after="0" w:line="346" w:lineRule="auto"/>
        <w:rPr>
          <w:sz w:val="20"/>
          <w:szCs w:val="20"/>
          <w:color w:val="auto"/>
        </w:rPr>
      </w:pPr>
      <w:r>
        <w:rPr>
          <w:rFonts w:ascii="Arial" w:cs="Arial" w:eastAsia="Arial" w:hAnsi="Arial"/>
          <w:sz w:val="13"/>
          <w:szCs w:val="13"/>
          <w:color w:val="auto"/>
        </w:rPr>
        <w:t>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short-term working capital needs.</w:t>
      </w:r>
    </w:p>
    <w:p>
      <w:pPr>
        <w:spacing w:after="0" w:line="102" w:lineRule="exact"/>
        <w:rPr>
          <w:sz w:val="20"/>
          <w:szCs w:val="20"/>
          <w:color w:val="auto"/>
        </w:rPr>
      </w:pPr>
    </w:p>
    <w:p>
      <w:pPr>
        <w:ind w:right="300"/>
        <w:spacing w:after="0" w:line="257" w:lineRule="auto"/>
        <w:rPr>
          <w:sz w:val="20"/>
          <w:szCs w:val="20"/>
          <w:color w:val="auto"/>
        </w:rPr>
      </w:pPr>
      <w:r>
        <w:rPr>
          <w:rFonts w:ascii="Arial" w:cs="Arial" w:eastAsia="Arial" w:hAnsi="Arial"/>
          <w:sz w:val="15"/>
          <w:szCs w:val="15"/>
          <w:color w:val="auto"/>
        </w:rPr>
        <w:t>As of September 30, 2018, fees and interest on borrowings varied based upon the Company's consolidated total leverage ratio (as defined in the Credit Facility)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156"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As of September 30, 2018, we had $266.7 million of borrowings and $47.9 million of stand-by letters of credit outstanding under the revolving credit facility. The remaining $285.4 million under the revolving credit facility was available for borrowing based upon the borrowing base and financial covenants in our Credit Facility. As of September 30, 2018, the weighted average interest rate under the revolving credit facility was 3.58%, excluding amortization of deferred financing costs.</w:t>
      </w:r>
    </w:p>
    <w:p>
      <w:pPr>
        <w:spacing w:after="0" w:line="156" w:lineRule="exact"/>
        <w:rPr>
          <w:sz w:val="20"/>
          <w:szCs w:val="20"/>
          <w:color w:val="auto"/>
        </w:rPr>
      </w:pPr>
    </w:p>
    <w:p>
      <w:pPr>
        <w:jc w:val="both"/>
        <w:ind w:right="260"/>
        <w:spacing w:after="0" w:line="257" w:lineRule="auto"/>
        <w:rPr>
          <w:sz w:val="20"/>
          <w:szCs w:val="20"/>
          <w:color w:val="auto"/>
        </w:rPr>
      </w:pPr>
      <w:r>
        <w:rPr>
          <w:rFonts w:ascii="Arial" w:cs="Arial" w:eastAsia="Arial" w:hAnsi="Arial"/>
          <w:sz w:val="15"/>
          <w:szCs w:val="15"/>
          <w:u w:val="single" w:color="auto"/>
          <w:color w:val="auto"/>
        </w:rPr>
        <w:t>Convertible debt</w:t>
      </w:r>
      <w:r>
        <w:rPr>
          <w:rFonts w:ascii="Arial" w:cs="Arial" w:eastAsia="Arial" w:hAnsi="Arial"/>
          <w:sz w:val="15"/>
          <w:szCs w:val="15"/>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w:t>
      </w:r>
    </w:p>
    <w:p>
      <w:pPr>
        <w:spacing w:after="0" w:line="67" w:lineRule="exact"/>
        <w:rPr>
          <w:sz w:val="20"/>
          <w:szCs w:val="20"/>
          <w:color w:val="auto"/>
        </w:rPr>
      </w:pPr>
    </w:p>
    <w:p>
      <w:pPr>
        <w:ind w:right="220"/>
        <w:spacing w:after="0" w:line="284" w:lineRule="auto"/>
        <w:rPr>
          <w:sz w:val="20"/>
          <w:szCs w:val="20"/>
          <w:color w:val="auto"/>
        </w:rPr>
      </w:pPr>
      <w:r>
        <w:rPr>
          <w:rFonts w:ascii="Arial" w:cs="Arial" w:eastAsia="Arial" w:hAnsi="Arial"/>
          <w:sz w:val="14"/>
          <w:szCs w:val="14"/>
          <w:color w:val="auto"/>
        </w:rPr>
        <w:t xml:space="preserve">Although the Convertible Notes will be convertible during the fourth quarter of 2018, we believe holders are unlikely to exercise their conversion rights, primarily due to the fair value of the Convertible Notes exceeding their conversion value. As of September 30, 2018, the fair value of the Convertible Notes was </w:t>
      </w:r>
      <w:r>
        <w:rPr>
          <w:rFonts w:ascii="Arial" w:cs="Arial" w:eastAsia="Arial" w:hAnsi="Arial"/>
          <w:sz w:val="14"/>
          <w:szCs w:val="14"/>
          <w:color w:val="252525"/>
        </w:rPr>
        <w:t>$562.6 million</w:t>
      </w:r>
      <w:r>
        <w:rPr>
          <w:rFonts w:ascii="Arial" w:cs="Arial" w:eastAsia="Arial" w:hAnsi="Arial"/>
          <w:sz w:val="14"/>
          <w:szCs w:val="14"/>
          <w:color w:val="auto"/>
        </w:rPr>
        <w:t xml:space="preserve"> and their conversion value was $558.8 million. However, should any holders exercise their conversion rights, we believe our capital resources are sufficient to satisfy any conversion.</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Additionally,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u w:val="single" w:color="auto"/>
          <w:color w:val="auto"/>
        </w:rPr>
        <w:t>ATM Facility</w:t>
      </w:r>
      <w:r>
        <w:rPr>
          <w:rFonts w:ascii="Arial" w:cs="Arial" w:eastAsia="Arial" w:hAnsi="Arial"/>
          <w:sz w:val="15"/>
          <w:szCs w:val="15"/>
          <w:color w:val="auto"/>
        </w:rPr>
        <w:t xml:space="preserve"> - On May 11, 2018, we entered into a short-term credit facility for the sole purpose of providing cash for our ATM network in the amount of $300 million, which as of September 30, 2018, we had outstanding borrowings of $200.0 million. Interest is charged on this financing on an annual basis at the Overnight LIBOR rate plus 1.75%. The facility expires on November 30, 2018. We repaid $100.0 million of this credit facility during the third quarter of 2018. The weighted average interest rate for borrowings under the ATM credit facility was 3.7% for the third quarter of 2018.</w:t>
      </w:r>
    </w:p>
    <w:p>
      <w:pPr>
        <w:spacing w:after="0" w:line="157"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u w:val="single" w:color="auto"/>
          <w:color w:val="auto"/>
        </w:rPr>
        <w:t>Other debt obligations</w:t>
      </w:r>
      <w:r>
        <w:rPr>
          <w:rFonts w:ascii="Arial" w:cs="Arial" w:eastAsia="Arial" w:hAnsi="Arial"/>
          <w:sz w:val="14"/>
          <w:szCs w:val="14"/>
          <w:color w:val="auto"/>
        </w:rPr>
        <w:t xml:space="preserve"> - Certain of our subsidiaries also have available credit lines and overdraft facilities to generally supplement short-term working capital requirements. As of September 30, 2018, there was $33.7 million outstanding under these other obligation arrangements. Short-term debt obligations, as of September 30, 2018 were primarily comprised of $200.0 million in principal outstanding under the ATM facility and $33.1 million of other obligation arrangements payments due in the next twelve months.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0"/>
          </w:cols>
          <w:pgMar w:left="220" w:top="129" w:right="23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uses of capital</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u w:val="single" w:color="auto"/>
          <w:color w:val="auto"/>
        </w:rPr>
        <w:t>Capital expenditures and needs</w:t>
      </w:r>
      <w:r>
        <w:rPr>
          <w:rFonts w:ascii="Arial" w:cs="Arial" w:eastAsia="Arial" w:hAnsi="Arial"/>
          <w:sz w:val="15"/>
          <w:szCs w:val="15"/>
          <w:color w:val="auto"/>
        </w:rPr>
        <w:t xml:space="preserve"> - Total capital expenditures, including capital lease expenditures, for the first nine months of 2018 were $86.9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2018 are currently estimated to range from approximately $120 million to $130 million.</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Inflation and functional currencies</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 BALANCE SHEET ARRANGEMENTS</w:t>
      </w:r>
    </w:p>
    <w:p>
      <w:pPr>
        <w:spacing w:after="0" w:line="98" w:lineRule="exact"/>
        <w:rPr>
          <w:sz w:val="20"/>
          <w:szCs w:val="20"/>
          <w:color w:val="auto"/>
        </w:rPr>
      </w:pPr>
    </w:p>
    <w:p>
      <w:pPr>
        <w:ind w:right="60"/>
        <w:spacing w:after="0" w:line="300" w:lineRule="auto"/>
        <w:rPr>
          <w:sz w:val="20"/>
          <w:szCs w:val="20"/>
          <w:color w:val="auto"/>
        </w:rPr>
      </w:pPr>
      <w:r>
        <w:rPr>
          <w:rFonts w:ascii="Arial" w:cs="Arial" w:eastAsia="Arial" w:hAnsi="Arial"/>
          <w:sz w:val="13"/>
          <w:szCs w:val="13"/>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2018, there were no material changes from the disclosure in our Annual Report on Form 10-K for the year ended December 31, 2017. To date, we are not aware of any significant claims made by the indemnified parties or parties to whom we have provided guarantees on behalf of our subsidiaries and, accordingly, no liabilities have been recorded as of September 30, 2018. See also Note 11, Commitments, to the unaudited consolidated financial statements included elsewhere in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98" w:lineRule="exact"/>
        <w:rPr>
          <w:sz w:val="20"/>
          <w:szCs w:val="20"/>
          <w:color w:val="auto"/>
        </w:rPr>
      </w:pPr>
    </w:p>
    <w:p>
      <w:pPr>
        <w:spacing w:after="0" w:line="346" w:lineRule="auto"/>
        <w:rPr>
          <w:sz w:val="20"/>
          <w:szCs w:val="20"/>
          <w:color w:val="auto"/>
        </w:rPr>
      </w:pPr>
      <w:r>
        <w:rPr>
          <w:rFonts w:ascii="Arial" w:cs="Arial" w:eastAsia="Arial" w:hAnsi="Arial"/>
          <w:sz w:val="13"/>
          <w:szCs w:val="13"/>
          <w:color w:val="auto"/>
        </w:rPr>
        <w:t>As of September 30, 2018, there have been no material changes outside the ordinary course of business in our future contractual obligations from the amounts reported within our Annual Report on Form 10-K for the year ended December 31, 2017, other than those resulting from changes in the amount of outstanding debt discussed in the Liquidity and Capital Resources section.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0"/>
          </w:cols>
          <w:pgMar w:left="220" w:top="129"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right="5560"/>
        <w:spacing w:after="0" w:line="373" w:lineRule="auto"/>
        <w:rPr>
          <w:sz w:val="20"/>
          <w:szCs w:val="20"/>
          <w:color w:val="auto"/>
        </w:rPr>
      </w:pPr>
      <w:r>
        <w:rPr>
          <w:rFonts w:ascii="Arial" w:cs="Arial" w:eastAsia="Arial" w:hAnsi="Arial"/>
          <w:sz w:val="15"/>
          <w:szCs w:val="15"/>
          <w:b w:val="1"/>
          <w:bCs w:val="1"/>
          <w:color w:val="auto"/>
        </w:rPr>
        <w:t xml:space="preserve">ITEM 3. QUANTITATIVE AND QUALITATIVE DISCLOSURES ABOUT MARKET RISK </w:t>
      </w:r>
      <w:r>
        <w:rPr>
          <w:rFonts w:ascii="Arial" w:cs="Arial" w:eastAsia="Arial" w:hAnsi="Arial"/>
          <w:sz w:val="15"/>
          <w:szCs w:val="15"/>
          <w:i w:val="1"/>
          <w:iCs w:val="1"/>
          <w:color w:val="auto"/>
        </w:rPr>
        <w:t>Interest rate risk</w:t>
      </w:r>
    </w:p>
    <w:p>
      <w:pPr>
        <w:ind w:right="20"/>
        <w:spacing w:after="0" w:line="250" w:lineRule="auto"/>
        <w:rPr>
          <w:sz w:val="20"/>
          <w:szCs w:val="20"/>
          <w:color w:val="auto"/>
        </w:rPr>
      </w:pPr>
      <w:r>
        <w:rPr>
          <w:rFonts w:ascii="Arial" w:cs="Arial" w:eastAsia="Arial" w:hAnsi="Arial"/>
          <w:sz w:val="15"/>
          <w:szCs w:val="15"/>
          <w:color w:val="auto"/>
        </w:rPr>
        <w:t>As of September 30, 2018, our total debt outstanding was $878.3 million. Of this amount, $377.9 million, net of debt discounts, or 43% of our total debt obligations, relates to our Convertible Notes that have a fixed coupon rate. Our $402.5 million principal amount of Convertible Notes, issued in October 2014, accrue cash interest at a rate of 1.5% of the principal amount per annum. Based on quoted market prices, as of September 30, 2018, the fair value of our fixed rate Convertible Notes was $562.6 million, compared to a carrying value of $377.9 million. Interest expense for these notes, including accretion and amortization of deferred debt issuance costs, has a weighted average interest rate of 4.7% annually. Additionally, $466.7 million, or 53% of our total debt obligations, relates to debt borrowings under our Credit Facility and ATM facility. If we were to maximize the potential borrowings available under the new revolving credit facility we entered into on October 17, 2018 and maintain these borrowings for one year, a 1% (100 basis points) increase in the applicable interest rate would result in additional annual interest expense to the Company of approximately $9.5 million.</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The remaining $33.7 million, or 4%, of our total debt obligations, is related to borrowings by certain subsidiaries to fund, from time to time, working capital requirements. These arrangements generally are due within one year and accrue interest at variable rates.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Additionally, as of September 30, 2018, we had approximately $14.1 million of capitalized leases with fixed payment and interest terms that expire between 2018 and 2022.</w:t>
      </w:r>
    </w:p>
    <w:p>
      <w:pPr>
        <w:spacing w:after="0" w:line="94" w:lineRule="exact"/>
        <w:rPr>
          <w:sz w:val="20"/>
          <w:szCs w:val="20"/>
          <w:color w:val="auto"/>
        </w:rPr>
      </w:pPr>
    </w:p>
    <w:p>
      <w:pPr>
        <w:ind w:right="660"/>
        <w:spacing w:after="0" w:line="304" w:lineRule="auto"/>
        <w:rPr>
          <w:sz w:val="20"/>
          <w:szCs w:val="20"/>
          <w:color w:val="auto"/>
        </w:rPr>
      </w:pPr>
      <w:r>
        <w:rPr>
          <w:rFonts w:ascii="Arial" w:cs="Arial" w:eastAsia="Arial" w:hAnsi="Arial"/>
          <w:sz w:val="14"/>
          <w:szCs w:val="14"/>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rate risk</w:t>
      </w:r>
    </w:p>
    <w:p>
      <w:pPr>
        <w:spacing w:after="0" w:line="94"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For the first nine months of 2018, approximately 72% of our revenues were generated in non-U.S. dollar countries and we expect to continue generating a significant portion of our revenues in countries with currencies other than the U.S. dollar.</w:t>
      </w:r>
    </w:p>
    <w:p>
      <w:pPr>
        <w:spacing w:after="0" w:line="59"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2018, we estimate that a 10% fluctuation in these foreign currency exchange rates would have the combined annualized effect on reported net income and working capital of approximately $150 million to $155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71"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$100 million to $105 million as a result of the change in value of these items during translation to the U.S. dollar. For the fluctuations described above, a strengthening U.S. dollar produces a financial loss, while a weakening U.S. dollar produces a financial gain.</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56"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60"/>
          </w:cols>
          <w:pgMar w:left="220" w:top="129"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4"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September 30, 2018, we had foreign currency derivative contracts outstanding with a notional value of $328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For derivative instruments our HiFX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2018, we held foreign currency derivative contracts outstanding with a notional value of $1.2 billion, primarily in U.S. dollars, euros, British pounds, Australian dollars and New Zealand dollars, that were not designated as hedges and for which the majority mature within the next twelve months.</w:t>
      </w:r>
    </w:p>
    <w:p>
      <w:pPr>
        <w:spacing w:after="0" w:line="71" w:lineRule="exact"/>
        <w:rPr>
          <w:sz w:val="20"/>
          <w:szCs w:val="20"/>
          <w:color w:val="auto"/>
        </w:rPr>
      </w:pPr>
    </w:p>
    <w:p>
      <w:pPr>
        <w:ind w:right="280"/>
        <w:spacing w:after="0" w:line="346" w:lineRule="auto"/>
        <w:rPr>
          <w:sz w:val="20"/>
          <w:szCs w:val="20"/>
          <w:color w:val="auto"/>
        </w:rPr>
      </w:pPr>
      <w:r>
        <w:rPr>
          <w:rFonts w:ascii="Arial" w:cs="Arial" w:eastAsia="Arial" w:hAnsi="Arial"/>
          <w:sz w:val="13"/>
          <w:szCs w:val="13"/>
          <w:color w:val="auto"/>
        </w:rPr>
        <w:t>We use longer-term foreign currency forward contracts to mitigate risks associated with changes in foreign currency exchange rates on certain foreign currency denominated other asset and liability positions. As of September 30, 2018, the Company had foreign currency forward contracts outstanding with a notional value of $275 million, primarily in euros and Polish zloty.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See Note 7, Derivative Instruments and Hedging Activities, to our Consolidated Financial Statements for additional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98" w:lineRule="exact"/>
        <w:rPr>
          <w:sz w:val="20"/>
          <w:szCs w:val="20"/>
          <w:color w:val="auto"/>
        </w:rPr>
      </w:pPr>
    </w:p>
    <w:p>
      <w:pPr>
        <w:ind w:right="20"/>
        <w:spacing w:after="0" w:line="300" w:lineRule="auto"/>
        <w:rPr>
          <w:sz w:val="20"/>
          <w:szCs w:val="20"/>
          <w:color w:val="auto"/>
        </w:rPr>
      </w:pPr>
      <w:r>
        <w:rPr>
          <w:rFonts w:ascii="Arial" w:cs="Arial" w:eastAsia="Arial" w:hAnsi="Arial"/>
          <w:sz w:val="13"/>
          <w:szCs w:val="13"/>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 in Internal Controls</w:t>
      </w:r>
    </w:p>
    <w:p>
      <w:pPr>
        <w:spacing w:after="0" w:line="94" w:lineRule="exact"/>
        <w:rPr>
          <w:sz w:val="20"/>
          <w:szCs w:val="20"/>
          <w:color w:val="auto"/>
        </w:rPr>
      </w:pPr>
    </w:p>
    <w:p>
      <w:pPr>
        <w:ind w:right="540"/>
        <w:spacing w:after="0" w:line="268" w:lineRule="auto"/>
        <w:rPr>
          <w:sz w:val="20"/>
          <w:szCs w:val="20"/>
          <w:color w:val="auto"/>
        </w:rPr>
      </w:pPr>
      <w:r>
        <w:rPr>
          <w:rFonts w:ascii="Arial" w:cs="Arial" w:eastAsia="Arial" w:hAnsi="Arial"/>
          <w:sz w:val="15"/>
          <w:szCs w:val="15"/>
          <w:color w:val="auto"/>
        </w:rPr>
        <w:t>There have not been any changes in internal control over financial reporting during the three months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PART II—OTHER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from time to time, a party to legal or regulatory proceedings arising in the ordinary course of its business.</w:t>
      </w:r>
    </w:p>
    <w:p>
      <w:pPr>
        <w:spacing w:after="0" w:line="94"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59"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0"/>
          </w:cols>
          <w:pgMar w:left="220" w:top="129" w:right="2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98"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252525"/>
        </w:rPr>
        <w:t xml:space="preserve">Except as otherwise described herein, there were no material changes to the risk factors previously disclosed in our Annual Report on Form 10-K for the year ended </w:t>
      </w:r>
      <w:r>
        <w:rPr>
          <w:rFonts w:ascii="Arial" w:cs="Arial" w:eastAsia="Arial" w:hAnsi="Arial"/>
          <w:sz w:val="15"/>
          <w:szCs w:val="15"/>
          <w:color w:val="000000"/>
        </w:rPr>
        <w:t>December 31, 2017, as filed</w:t>
      </w:r>
      <w:r>
        <w:rPr>
          <w:rFonts w:ascii="Arial" w:cs="Arial" w:eastAsia="Arial" w:hAnsi="Arial"/>
          <w:sz w:val="15"/>
          <w:szCs w:val="15"/>
          <w:color w:val="252525"/>
        </w:rPr>
        <w:t xml:space="preserve"> </w:t>
      </w:r>
      <w:r>
        <w:rPr>
          <w:rFonts w:ascii="Arial" w:cs="Arial" w:eastAsia="Arial" w:hAnsi="Arial"/>
          <w:sz w:val="15"/>
          <w:szCs w:val="15"/>
          <w:color w:val="000000"/>
        </w:rPr>
        <w:t>with the SEC.</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Tightening of regulations may adversely affect our results.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4"/>
          <w:szCs w:val="14"/>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44"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In March, 2018, the E.U. began a legislative process for amending certain existing legislation applying to cross border payment practices, which includes a proposal for new regulations on DCC transactions. As part of that process, in March 2018, the E.U. Commission proposed certain regulations regarding DCC and in June 2018, the E.U. Council adopted its own version of the proposed regulations. The E.U. Parliament began consideration of the proposal by the E.U. Commission in June 2018 and will vote on certain draft regulations on November 5, 2018. Following that vote, the versions of the regulations adopted by the E.U. Commission, the E.U. Council and the E.U. Parliament will be reconciled in a “trilogue” process that may be completed by the end of 2018 or in the first quarter of 2019. The reconciled regulations could enter into force shortly after that. The time frame imposed for actual implementation of the final regulations by industry players is currently uncertain, and will depend on the complexity of any new requirements, but the implementation period is expected to be from one to three years.</w:t>
      </w:r>
    </w:p>
    <w:p>
      <w:pPr>
        <w:spacing w:after="0" w:line="133"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Although the regulations proposed by the E.U. Commission include a cap on DCC fees, the regulations proposed by the E.U. Council and those currently under consideration by the Parliament do not include a cap. All three versions include requirements for reinforced consumer disclosure (“transparency”) and consumer choice in DCC transactions.</w:t>
      </w:r>
    </w:p>
    <w:p>
      <w:pPr>
        <w:spacing w:after="0" w:line="125"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Any regulation of DCC that may be adopted, including a cap on fees and reinforced transparency or consumer choice in DCC transactions, could materially and adversely impact our financial results, by reducing the number of DCC transactions performed over our networks and the level of profit we generate from such transactions.</w:t>
      </w:r>
    </w:p>
    <w:p>
      <w:pPr>
        <w:spacing w:after="0" w:line="147"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The E.U. has passed a new regulation called the GDPR that establishes stringent requirements for the collection, handling and processing of personal information of individuals within the E.U. The GDPR creates certain rights of individuals regarding their own personal information processed by companies as well as requirements for information security, and imposes significant fines that may be revenue-based for violation of its requirements. The GDPR came into effect across the E.U. on May 25, 2018. The GDPR applies outside of Europe to certain personal information of E.U. persons that is held or processed by foreign based companies, including U.S. companies. Any failure on our part to comply with the requirements of the GDPR could result in the imposition of fines and penalties that could materially and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0"/>
          </w:cols>
          <w:pgMar w:left="220" w:top="129" w:right="23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980" w:type="dxa"/>
            <w:vAlign w:val="bottom"/>
            <w:gridSpan w:val="3"/>
          </w:tcPr>
          <w:p>
            <w:pPr>
              <w:ind w:left="1540"/>
              <w:spacing w:after="0"/>
              <w:rPr>
                <w:sz w:val="20"/>
                <w:szCs w:val="20"/>
                <w:color w:val="auto"/>
              </w:rPr>
            </w:pPr>
            <w:r>
              <w:rPr>
                <w:rFonts w:ascii="Arial" w:cs="Arial" w:eastAsia="Arial" w:hAnsi="Arial"/>
                <w:sz w:val="12"/>
                <w:szCs w:val="12"/>
                <w:b w:val="1"/>
                <w:bCs w:val="1"/>
                <w:color w:val="auto"/>
              </w:rPr>
              <w:t>Description</w:t>
            </w:r>
          </w:p>
        </w:tc>
      </w:tr>
      <w:tr>
        <w:trPr>
          <w:trHeight w:val="351"/>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80" w:type="dxa"/>
            <w:vAlign w:val="bottom"/>
            <w:tcBorders>
              <w:top w:val="single" w:sz="8" w:color="auto"/>
            </w:tcBorders>
            <w:gridSpan w:val="7"/>
          </w:tcPr>
          <w:p>
            <w:pPr>
              <w:spacing w:after="0"/>
              <w:rPr>
                <w:rFonts w:ascii="Arial" w:cs="Arial" w:eastAsia="Arial" w:hAnsi="Arial"/>
                <w:sz w:val="15"/>
                <w:szCs w:val="15"/>
                <w:color w:val="0000FF"/>
                <w:w w:val="89"/>
              </w:rPr>
            </w:pPr>
            <w:hyperlink w:anchor="page44">
              <w:r>
                <w:rPr>
                  <w:rFonts w:ascii="Arial" w:cs="Arial" w:eastAsia="Arial" w:hAnsi="Arial"/>
                  <w:sz w:val="15"/>
                  <w:szCs w:val="15"/>
                  <w:color w:val="0000FF"/>
                  <w:w w:val="89"/>
                </w:rPr>
                <w:t>Credit agreement dated as of October 17, 2018 among Euronet WorldWide, Inc. and certain subsidiaries, as borrowers, certain subsidiaries, as guarantors, the lenders party</w:t>
              </w:r>
            </w:hyperlink>
          </w:p>
        </w:tc>
      </w:tr>
      <w:tr>
        <w:trPr>
          <w:trHeight w:val="158"/>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6"/>
          </w:tcPr>
          <w:p>
            <w:pPr>
              <w:spacing w:after="0" w:line="158" w:lineRule="exact"/>
              <w:rPr>
                <w:rFonts w:ascii="Arial" w:cs="Arial" w:eastAsia="Arial" w:hAnsi="Arial"/>
                <w:sz w:val="15"/>
                <w:szCs w:val="15"/>
                <w:color w:val="0000FF"/>
                <w:w w:val="92"/>
              </w:rPr>
            </w:pPr>
            <w:hyperlink w:anchor="page44">
              <w:r>
                <w:rPr>
                  <w:rFonts w:ascii="Arial" w:cs="Arial" w:eastAsia="Arial" w:hAnsi="Arial"/>
                  <w:sz w:val="15"/>
                  <w:szCs w:val="15"/>
                  <w:color w:val="0000FF"/>
                  <w:w w:val="92"/>
                </w:rPr>
                <w:t>thereto, Bank of America, N.A., as administrative agent, Wells Fargo Bank, National Association and U.S. Bank National Association, as co-syndication agents, et al.</w:t>
              </w:r>
            </w:hyperlink>
          </w:p>
        </w:tc>
        <w:tc>
          <w:tcPr>
            <w:tcW w:w="160" w:type="dxa"/>
            <w:vAlign w:val="bottom"/>
          </w:tcPr>
          <w:p>
            <w:pPr>
              <w:spacing w:after="0"/>
              <w:rPr>
                <w:sz w:val="13"/>
                <w:szCs w:val="13"/>
                <w:color w:val="auto"/>
              </w:rPr>
            </w:pPr>
          </w:p>
        </w:tc>
      </w:tr>
      <w:tr>
        <w:trPr>
          <w:trHeight w:val="202"/>
        </w:trPr>
        <w:tc>
          <w:tcPr>
            <w:tcW w:w="1040" w:type="dxa"/>
            <w:vAlign w:val="bottom"/>
          </w:tcPr>
          <w:p>
            <w:pPr>
              <w:ind w:left="40"/>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5"/>
          </w:tcPr>
          <w:p>
            <w:pPr>
              <w:spacing w:after="0"/>
              <w:rPr>
                <w:rFonts w:ascii="Arial" w:cs="Arial" w:eastAsia="Arial" w:hAnsi="Arial"/>
                <w:sz w:val="15"/>
                <w:szCs w:val="15"/>
                <w:color w:val="0000FF"/>
              </w:rPr>
            </w:pPr>
            <w:hyperlink w:anchor="page268">
              <w:r>
                <w:rPr>
                  <w:rFonts w:ascii="Arial" w:cs="Arial" w:eastAsia="Arial" w:hAnsi="Arial"/>
                  <w:sz w:val="15"/>
                  <w:szCs w:val="15"/>
                  <w:color w:val="0000FF"/>
                </w:rPr>
                <w:t>Computation of Ratio of Earnings to Fixed Charges</w:t>
              </w:r>
            </w:hyperlink>
          </w:p>
        </w:tc>
        <w:tc>
          <w:tcPr>
            <w:tcW w:w="4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202"/>
        </w:trPr>
        <w:tc>
          <w:tcPr>
            <w:tcW w:w="1040" w:type="dxa"/>
            <w:vAlign w:val="bottom"/>
          </w:tcPr>
          <w:p>
            <w:pPr>
              <w:ind w:left="40"/>
              <w:spacing w:after="0"/>
              <w:rPr>
                <w:sz w:val="20"/>
                <w:szCs w:val="20"/>
                <w:color w:val="auto"/>
              </w:rPr>
            </w:pPr>
            <w:r>
              <w:rPr>
                <w:rFonts w:ascii="Arial" w:cs="Arial" w:eastAsia="Arial" w:hAnsi="Arial"/>
                <w:sz w:val="15"/>
                <w:szCs w:val="15"/>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FF"/>
            </w:tcBorders>
          </w:tcPr>
          <w:p>
            <w:pPr>
              <w:spacing w:after="0"/>
              <w:rPr>
                <w:rFonts w:ascii="Arial" w:cs="Arial" w:eastAsia="Arial" w:hAnsi="Arial"/>
                <w:sz w:val="15"/>
                <w:szCs w:val="15"/>
                <w:color w:val="0000FF"/>
                <w:w w:val="88"/>
              </w:rPr>
            </w:pPr>
            <w:hyperlink w:anchor="page269">
              <w:r>
                <w:rPr>
                  <w:rFonts w:ascii="Arial" w:cs="Arial" w:eastAsia="Arial" w:hAnsi="Arial"/>
                  <w:sz w:val="15"/>
                  <w:szCs w:val="15"/>
                  <w:color w:val="0000FF"/>
                  <w:w w:val="88"/>
                </w:rPr>
                <w:t>Section 302</w:t>
              </w:r>
            </w:hyperlink>
          </w:p>
        </w:tc>
        <w:tc>
          <w:tcPr>
            <w:tcW w:w="2580" w:type="dxa"/>
            <w:vAlign w:val="bottom"/>
            <w:tcBorders>
              <w:bottom w:val="single" w:sz="8" w:color="0000FF"/>
            </w:tcBorders>
            <w:gridSpan w:val="3"/>
          </w:tcPr>
          <w:p>
            <w:pPr>
              <w:ind w:left="20"/>
              <w:spacing w:after="0"/>
              <w:rPr>
                <w:rFonts w:ascii="Arial" w:cs="Arial" w:eastAsia="Arial" w:hAnsi="Arial"/>
                <w:sz w:val="15"/>
                <w:szCs w:val="15"/>
                <w:color w:val="0000FF"/>
                <w:w w:val="93"/>
              </w:rPr>
            </w:pPr>
            <w:hyperlink w:anchor="page269">
              <w:r>
                <w:rPr>
                  <w:rFonts w:ascii="Arial" w:cs="Arial" w:eastAsia="Arial" w:hAnsi="Arial"/>
                  <w:sz w:val="15"/>
                  <w:szCs w:val="15"/>
                  <w:color w:val="0000FF"/>
                  <w:w w:val="93"/>
                </w:rPr>
                <w:t>— Certification of Chief Executive Officer</w:t>
              </w:r>
            </w:hyperlink>
          </w:p>
        </w:tc>
        <w:tc>
          <w:tcPr>
            <w:tcW w:w="6980" w:type="dxa"/>
            <w:vAlign w:val="bottom"/>
            <w:gridSpan w:val="3"/>
          </w:tcPr>
          <w:p>
            <w:pPr>
              <w:spacing w:after="0"/>
              <w:rPr>
                <w:sz w:val="17"/>
                <w:szCs w:val="17"/>
                <w:color w:val="auto"/>
              </w:rPr>
            </w:pPr>
          </w:p>
        </w:tc>
      </w:tr>
      <w:tr>
        <w:trPr>
          <w:trHeight w:val="202"/>
        </w:trPr>
        <w:tc>
          <w:tcPr>
            <w:tcW w:w="1040" w:type="dxa"/>
            <w:vAlign w:val="bottom"/>
          </w:tcPr>
          <w:p>
            <w:pPr>
              <w:ind w:left="40"/>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FF"/>
            </w:tcBorders>
          </w:tcPr>
          <w:p>
            <w:pPr>
              <w:spacing w:after="0"/>
              <w:rPr>
                <w:rFonts w:ascii="Arial" w:cs="Arial" w:eastAsia="Arial" w:hAnsi="Arial"/>
                <w:sz w:val="15"/>
                <w:szCs w:val="15"/>
                <w:color w:val="0000FF"/>
                <w:w w:val="88"/>
              </w:rPr>
            </w:pPr>
            <w:hyperlink w:anchor="page270">
              <w:r>
                <w:rPr>
                  <w:rFonts w:ascii="Arial" w:cs="Arial" w:eastAsia="Arial" w:hAnsi="Arial"/>
                  <w:sz w:val="15"/>
                  <w:szCs w:val="15"/>
                  <w:color w:val="0000FF"/>
                  <w:w w:val="88"/>
                </w:rPr>
                <w:t>Section 302</w:t>
              </w:r>
            </w:hyperlink>
          </w:p>
        </w:tc>
        <w:tc>
          <w:tcPr>
            <w:tcW w:w="2540" w:type="dxa"/>
            <w:vAlign w:val="bottom"/>
            <w:tcBorders>
              <w:bottom w:val="single" w:sz="8" w:color="0000FF"/>
            </w:tcBorders>
            <w:gridSpan w:val="2"/>
          </w:tcPr>
          <w:p>
            <w:pPr>
              <w:ind w:left="20"/>
              <w:spacing w:after="0"/>
              <w:rPr>
                <w:rFonts w:ascii="Arial" w:cs="Arial" w:eastAsia="Arial" w:hAnsi="Arial"/>
                <w:sz w:val="15"/>
                <w:szCs w:val="15"/>
                <w:color w:val="0000FF"/>
                <w:w w:val="93"/>
              </w:rPr>
            </w:pPr>
            <w:hyperlink w:anchor="page270">
              <w:r>
                <w:rPr>
                  <w:rFonts w:ascii="Arial" w:cs="Arial" w:eastAsia="Arial" w:hAnsi="Arial"/>
                  <w:sz w:val="15"/>
                  <w:szCs w:val="15"/>
                  <w:color w:val="0000FF"/>
                  <w:w w:val="93"/>
                </w:rPr>
                <w:t>— Certification of Chief Financial Officer</w:t>
              </w:r>
            </w:hyperlink>
          </w:p>
        </w:tc>
        <w:tc>
          <w:tcPr>
            <w:tcW w:w="7020" w:type="dxa"/>
            <w:vAlign w:val="bottom"/>
            <w:gridSpan w:val="4"/>
          </w:tcPr>
          <w:p>
            <w:pPr>
              <w:spacing w:after="0"/>
              <w:rPr>
                <w:sz w:val="17"/>
                <w:szCs w:val="17"/>
                <w:color w:val="auto"/>
              </w:rPr>
            </w:pPr>
          </w:p>
        </w:tc>
      </w:tr>
      <w:tr>
        <w:trPr>
          <w:trHeight w:val="202"/>
        </w:trPr>
        <w:tc>
          <w:tcPr>
            <w:tcW w:w="1040" w:type="dxa"/>
            <w:vAlign w:val="bottom"/>
          </w:tcPr>
          <w:p>
            <w:pPr>
              <w:ind w:left="40"/>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FF"/>
            </w:tcBorders>
          </w:tcPr>
          <w:p>
            <w:pPr>
              <w:spacing w:after="0"/>
              <w:rPr>
                <w:rFonts w:ascii="Arial" w:cs="Arial" w:eastAsia="Arial" w:hAnsi="Arial"/>
                <w:sz w:val="15"/>
                <w:szCs w:val="15"/>
                <w:color w:val="0000FF"/>
                <w:w w:val="88"/>
              </w:rPr>
            </w:pPr>
            <w:hyperlink w:anchor="page271">
              <w:r>
                <w:rPr>
                  <w:rFonts w:ascii="Arial" w:cs="Arial" w:eastAsia="Arial" w:hAnsi="Arial"/>
                  <w:sz w:val="15"/>
                  <w:szCs w:val="15"/>
                  <w:color w:val="0000FF"/>
                  <w:w w:val="88"/>
                </w:rPr>
                <w:t>Section 906</w:t>
              </w:r>
            </w:hyperlink>
          </w:p>
        </w:tc>
        <w:tc>
          <w:tcPr>
            <w:tcW w:w="2580" w:type="dxa"/>
            <w:vAlign w:val="bottom"/>
            <w:tcBorders>
              <w:bottom w:val="single" w:sz="8" w:color="0000FF"/>
            </w:tcBorders>
            <w:gridSpan w:val="3"/>
          </w:tcPr>
          <w:p>
            <w:pPr>
              <w:ind w:left="20"/>
              <w:spacing w:after="0"/>
              <w:rPr>
                <w:rFonts w:ascii="Arial" w:cs="Arial" w:eastAsia="Arial" w:hAnsi="Arial"/>
                <w:sz w:val="15"/>
                <w:szCs w:val="15"/>
                <w:color w:val="0000FF"/>
                <w:w w:val="93"/>
              </w:rPr>
            </w:pPr>
            <w:hyperlink w:anchor="page271">
              <w:r>
                <w:rPr>
                  <w:rFonts w:ascii="Arial" w:cs="Arial" w:eastAsia="Arial" w:hAnsi="Arial"/>
                  <w:sz w:val="15"/>
                  <w:szCs w:val="15"/>
                  <w:color w:val="0000FF"/>
                  <w:w w:val="93"/>
                </w:rPr>
                <w:t>— Certification of Chief Executive Officer</w:t>
              </w:r>
            </w:hyperlink>
          </w:p>
        </w:tc>
        <w:tc>
          <w:tcPr>
            <w:tcW w:w="6980" w:type="dxa"/>
            <w:vAlign w:val="bottom"/>
            <w:gridSpan w:val="3"/>
          </w:tcPr>
          <w:p>
            <w:pPr>
              <w:spacing w:after="0"/>
              <w:rPr>
                <w:sz w:val="17"/>
                <w:szCs w:val="17"/>
                <w:color w:val="auto"/>
              </w:rPr>
            </w:pPr>
          </w:p>
        </w:tc>
      </w:tr>
      <w:tr>
        <w:trPr>
          <w:trHeight w:val="202"/>
        </w:trPr>
        <w:tc>
          <w:tcPr>
            <w:tcW w:w="1040" w:type="dxa"/>
            <w:vAlign w:val="bottom"/>
          </w:tcPr>
          <w:p>
            <w:pPr>
              <w:ind w:left="40"/>
              <w:spacing w:after="0"/>
              <w:rPr>
                <w:sz w:val="20"/>
                <w:szCs w:val="20"/>
                <w:color w:val="auto"/>
              </w:rPr>
            </w:pPr>
            <w:r>
              <w:rPr>
                <w:rFonts w:ascii="Arial" w:cs="Arial" w:eastAsia="Arial" w:hAnsi="Arial"/>
                <w:sz w:val="15"/>
                <w:szCs w:val="15"/>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FF"/>
            </w:tcBorders>
          </w:tcPr>
          <w:p>
            <w:pPr>
              <w:spacing w:after="0"/>
              <w:rPr>
                <w:rFonts w:ascii="Arial" w:cs="Arial" w:eastAsia="Arial" w:hAnsi="Arial"/>
                <w:sz w:val="15"/>
                <w:szCs w:val="15"/>
                <w:color w:val="0000FF"/>
                <w:w w:val="88"/>
              </w:rPr>
            </w:pPr>
            <w:hyperlink w:anchor="page272">
              <w:r>
                <w:rPr>
                  <w:rFonts w:ascii="Arial" w:cs="Arial" w:eastAsia="Arial" w:hAnsi="Arial"/>
                  <w:sz w:val="15"/>
                  <w:szCs w:val="15"/>
                  <w:color w:val="0000FF"/>
                  <w:w w:val="88"/>
                </w:rPr>
                <w:t>Section 906</w:t>
              </w:r>
            </w:hyperlink>
          </w:p>
        </w:tc>
        <w:tc>
          <w:tcPr>
            <w:tcW w:w="2540" w:type="dxa"/>
            <w:vAlign w:val="bottom"/>
            <w:tcBorders>
              <w:bottom w:val="single" w:sz="8" w:color="0000FF"/>
            </w:tcBorders>
            <w:gridSpan w:val="2"/>
          </w:tcPr>
          <w:p>
            <w:pPr>
              <w:ind w:left="20"/>
              <w:spacing w:after="0"/>
              <w:rPr>
                <w:rFonts w:ascii="Arial" w:cs="Arial" w:eastAsia="Arial" w:hAnsi="Arial"/>
                <w:sz w:val="15"/>
                <w:szCs w:val="15"/>
                <w:color w:val="0000FF"/>
                <w:w w:val="93"/>
              </w:rPr>
            </w:pPr>
            <w:hyperlink w:anchor="page272">
              <w:r>
                <w:rPr>
                  <w:rFonts w:ascii="Arial" w:cs="Arial" w:eastAsia="Arial" w:hAnsi="Arial"/>
                  <w:sz w:val="15"/>
                  <w:szCs w:val="15"/>
                  <w:color w:val="0000FF"/>
                  <w:w w:val="93"/>
                </w:rPr>
                <w:t>— Certification of Chief Financial Officer</w:t>
              </w:r>
            </w:hyperlink>
          </w:p>
        </w:tc>
        <w:tc>
          <w:tcPr>
            <w:tcW w:w="7020" w:type="dxa"/>
            <w:vAlign w:val="bottom"/>
            <w:gridSpan w:val="4"/>
          </w:tcPr>
          <w:p>
            <w:pPr>
              <w:spacing w:after="0"/>
              <w:rPr>
                <w:sz w:val="17"/>
                <w:szCs w:val="17"/>
                <w:color w:val="auto"/>
              </w:rPr>
            </w:pPr>
          </w:p>
        </w:tc>
      </w:tr>
      <w:tr>
        <w:trPr>
          <w:trHeight w:val="225"/>
        </w:trPr>
        <w:tc>
          <w:tcPr>
            <w:tcW w:w="1040" w:type="dxa"/>
            <w:vAlign w:val="bottom"/>
          </w:tcPr>
          <w:p>
            <w:pPr>
              <w:ind w:left="40"/>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7"/>
          </w:tcPr>
          <w:p>
            <w:pPr>
              <w:spacing w:after="0"/>
              <w:rPr>
                <w:sz w:val="20"/>
                <w:szCs w:val="20"/>
                <w:color w:val="auto"/>
              </w:rPr>
            </w:pPr>
            <w:r>
              <w:rPr>
                <w:rFonts w:ascii="Arial" w:cs="Arial" w:eastAsia="Arial" w:hAnsi="Arial"/>
                <w:sz w:val="15"/>
                <w:szCs w:val="15"/>
                <w:color w:val="auto"/>
                <w:w w:val="95"/>
              </w:rPr>
              <w:t>The following materials from Euronet Worldwide, Inc.’s Quarterly Report on Form 10-Q for the quarter ended September 30, 2018, formatted in XBRL (eXtensible</w:t>
            </w:r>
          </w:p>
        </w:tc>
      </w:tr>
      <w:tr>
        <w:trPr>
          <w:trHeight w:val="178"/>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7"/>
          </w:tcPr>
          <w:p>
            <w:pPr>
              <w:spacing w:after="0"/>
              <w:rPr>
                <w:sz w:val="20"/>
                <w:szCs w:val="20"/>
                <w:color w:val="auto"/>
              </w:rPr>
            </w:pPr>
            <w:r>
              <w:rPr>
                <w:rFonts w:ascii="Arial" w:cs="Arial" w:eastAsia="Arial" w:hAnsi="Arial"/>
                <w:sz w:val="15"/>
                <w:szCs w:val="15"/>
                <w:color w:val="auto"/>
                <w:w w:val="93"/>
              </w:rPr>
              <w:t>Business Reporting Language): (i) Consolidated Balance Sheets at September 30, 2018 (unaudited) and December 31, 2017, (ii) Consolidated Statements of Income</w:t>
            </w:r>
          </w:p>
        </w:tc>
      </w:tr>
      <w:tr>
        <w:trPr>
          <w:trHeight w:val="178"/>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7"/>
          </w:tcPr>
          <w:p>
            <w:pPr>
              <w:spacing w:after="0"/>
              <w:rPr>
                <w:sz w:val="20"/>
                <w:szCs w:val="20"/>
                <w:color w:val="auto"/>
              </w:rPr>
            </w:pPr>
            <w:r>
              <w:rPr>
                <w:rFonts w:ascii="Arial" w:cs="Arial" w:eastAsia="Arial" w:hAnsi="Arial"/>
                <w:sz w:val="15"/>
                <w:szCs w:val="15"/>
                <w:color w:val="auto"/>
                <w:w w:val="89"/>
              </w:rPr>
              <w:t>(unaudited) for the three and nine months ended September 30, 2018 and 2017, (iii) Consolidated Statements of Comprehensive Income (Loss) (unaudited) for the three and</w:t>
            </w: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80" w:type="dxa"/>
            <w:vAlign w:val="bottom"/>
            <w:gridSpan w:val="7"/>
          </w:tcPr>
          <w:p>
            <w:pPr>
              <w:spacing w:after="0"/>
              <w:rPr>
                <w:sz w:val="20"/>
                <w:szCs w:val="20"/>
                <w:color w:val="auto"/>
              </w:rPr>
            </w:pPr>
            <w:r>
              <w:rPr>
                <w:rFonts w:ascii="Arial" w:cs="Arial" w:eastAsia="Arial" w:hAnsi="Arial"/>
                <w:sz w:val="15"/>
                <w:szCs w:val="15"/>
                <w:color w:val="auto"/>
                <w:w w:val="90"/>
              </w:rPr>
              <w:t>nine months ended September 30, 2018 and 2017, (iv) Consolidated Statements of Cash Flows (unaudited) for the nine months ended September 30, 2018 and 2017, and</w:t>
            </w:r>
          </w:p>
        </w:tc>
      </w:tr>
    </w:tbl>
    <w:p>
      <w:pPr>
        <w:ind w:left="1400" w:hanging="215"/>
        <w:spacing w:after="0"/>
        <w:tabs>
          <w:tab w:leader="none" w:pos="14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Notes to the Unaudited Consolidated Financial Statements.</w:t>
      </w:r>
    </w:p>
    <w:p>
      <w:pPr>
        <w:spacing w:after="0" w:line="1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_________________________</w:t>
      </w:r>
    </w:p>
    <w:p>
      <w:pPr>
        <w:spacing w:after="0" w:line="15"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5"/>
          <w:szCs w:val="15"/>
          <w:color w:val="auto"/>
        </w:rPr>
        <w:t>* Filed herewith.</w:t>
      </w:r>
    </w:p>
    <w:p>
      <w:pPr>
        <w:spacing w:after="0" w:line="83" w:lineRule="exact"/>
        <w:rPr>
          <w:rFonts w:ascii="Arial" w:cs="Arial" w:eastAsia="Arial" w:hAnsi="Arial"/>
          <w:sz w:val="15"/>
          <w:szCs w:val="15"/>
          <w:color w:val="auto"/>
        </w:rPr>
      </w:pPr>
    </w:p>
    <w:p>
      <w:pPr>
        <w:ind w:left="320" w:hanging="178"/>
        <w:spacing w:after="0"/>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Pursuant to Item 601(b)(32) of Regulation S-K, this Exhibit is furnished rather than filed with this Form 10-Q.</w:t>
      </w:r>
    </w:p>
    <w:p>
      <w:pPr>
        <w:spacing w:after="0" w:line="183"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60"/>
          </w:cols>
          <w:pgMar w:left="220" w:top="129"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SIGNATURES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Euronet Worldwide, Inc.</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60" w:type="dxa"/>
            <w:vAlign w:val="bottom"/>
          </w:tcPr>
          <w:p>
            <w:pPr>
              <w:spacing w:after="0"/>
              <w:rPr>
                <w:sz w:val="20"/>
                <w:szCs w:val="20"/>
                <w:color w:val="auto"/>
              </w:rPr>
            </w:pPr>
            <w:r>
              <w:rPr>
                <w:rFonts w:ascii="Arial" w:cs="Arial" w:eastAsia="Arial" w:hAnsi="Arial"/>
                <w:sz w:val="15"/>
                <w:szCs w:val="15"/>
                <w:color w:val="auto"/>
              </w:rPr>
              <w:t>By:</w:t>
            </w:r>
          </w:p>
        </w:tc>
        <w:tc>
          <w:tcPr>
            <w:tcW w:w="5380" w:type="dxa"/>
            <w:vAlign w:val="bottom"/>
          </w:tcPr>
          <w:p>
            <w:pPr>
              <w:jc w:val="center"/>
              <w:ind w:right="6"/>
              <w:spacing w:after="0"/>
              <w:rPr>
                <w:sz w:val="20"/>
                <w:szCs w:val="20"/>
                <w:color w:val="auto"/>
              </w:rPr>
            </w:pPr>
            <w:r>
              <w:rPr>
                <w:rFonts w:ascii="Arial" w:cs="Arial" w:eastAsia="Arial" w:hAnsi="Arial"/>
                <w:sz w:val="15"/>
                <w:szCs w:val="15"/>
                <w:color w:val="auto"/>
                <w:w w:val="96"/>
              </w:rPr>
              <w:t>/s/ MICHAEL J. BROWN</w:t>
            </w:r>
          </w:p>
        </w:tc>
      </w:tr>
      <w:tr>
        <w:trPr>
          <w:trHeight w:val="23"/>
        </w:trPr>
        <w:tc>
          <w:tcPr>
            <w:tcW w:w="66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90"/>
        </w:trPr>
        <w:tc>
          <w:tcPr>
            <w:tcW w:w="660" w:type="dxa"/>
            <w:vAlign w:val="bottom"/>
          </w:tcPr>
          <w:p>
            <w:pPr>
              <w:spacing w:after="0"/>
              <w:rPr>
                <w:sz w:val="16"/>
                <w:szCs w:val="16"/>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2"/>
              </w:rPr>
              <w:t>Michael J. Brown</w:t>
            </w:r>
          </w:p>
        </w:tc>
      </w:tr>
      <w:tr>
        <w:trPr>
          <w:trHeight w:val="222"/>
        </w:trPr>
        <w:tc>
          <w:tcPr>
            <w:tcW w:w="6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3"/>
              </w:rPr>
              <w:t>Chief Executive Officer</w:t>
            </w:r>
          </w:p>
        </w:tc>
      </w:tr>
      <w:tr>
        <w:trPr>
          <w:trHeight w:val="666"/>
        </w:trPr>
        <w:tc>
          <w:tcPr>
            <w:tcW w:w="660" w:type="dxa"/>
            <w:vAlign w:val="bottom"/>
          </w:tcPr>
          <w:p>
            <w:pPr>
              <w:spacing w:after="0"/>
              <w:rPr>
                <w:sz w:val="20"/>
                <w:szCs w:val="20"/>
                <w:color w:val="auto"/>
              </w:rPr>
            </w:pPr>
            <w:r>
              <w:rPr>
                <w:rFonts w:ascii="Arial" w:cs="Arial" w:eastAsia="Arial" w:hAnsi="Arial"/>
                <w:sz w:val="15"/>
                <w:szCs w:val="15"/>
                <w:color w:val="auto"/>
              </w:rPr>
              <w:t>By:</w:t>
            </w:r>
          </w:p>
        </w:tc>
        <w:tc>
          <w:tcPr>
            <w:tcW w:w="5380" w:type="dxa"/>
            <w:vAlign w:val="bottom"/>
          </w:tcPr>
          <w:p>
            <w:pPr>
              <w:jc w:val="center"/>
              <w:ind w:right="6"/>
              <w:spacing w:after="0"/>
              <w:rPr>
                <w:sz w:val="20"/>
                <w:szCs w:val="20"/>
                <w:color w:val="auto"/>
              </w:rPr>
            </w:pPr>
            <w:r>
              <w:rPr>
                <w:rFonts w:ascii="Arial" w:cs="Arial" w:eastAsia="Arial" w:hAnsi="Arial"/>
                <w:sz w:val="15"/>
                <w:szCs w:val="15"/>
                <w:color w:val="auto"/>
                <w:w w:val="96"/>
              </w:rPr>
              <w:t>/s/ RICK L. WELLER</w:t>
            </w:r>
          </w:p>
        </w:tc>
      </w:tr>
      <w:tr>
        <w:trPr>
          <w:trHeight w:val="23"/>
        </w:trPr>
        <w:tc>
          <w:tcPr>
            <w:tcW w:w="66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90"/>
        </w:trPr>
        <w:tc>
          <w:tcPr>
            <w:tcW w:w="660" w:type="dxa"/>
            <w:vAlign w:val="bottom"/>
          </w:tcPr>
          <w:p>
            <w:pPr>
              <w:spacing w:after="0"/>
              <w:rPr>
                <w:sz w:val="16"/>
                <w:szCs w:val="16"/>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2"/>
              </w:rPr>
              <w:t>Rick L. Weller</w:t>
            </w:r>
          </w:p>
        </w:tc>
      </w:tr>
      <w:tr>
        <w:trPr>
          <w:trHeight w:val="222"/>
        </w:trPr>
        <w:tc>
          <w:tcPr>
            <w:tcW w:w="6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5"/>
                <w:szCs w:val="15"/>
                <w:color w:val="auto"/>
                <w:w w:val="93"/>
              </w:rPr>
              <w:t>Chief Financial Officer</w:t>
            </w:r>
          </w:p>
        </w:tc>
      </w:tr>
    </w:tbl>
    <w:p>
      <w:pPr>
        <w:spacing w:after="0" w:line="38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840"/>
          </w:cols>
          <w:pgMar w:left="220" w:top="129" w:right="83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7351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7780020</wp:posOffset>
            </wp:positionV>
            <wp:extent cx="721233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65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9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5262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92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92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4947285</wp:posOffset>
            </wp:positionV>
            <wp:extent cx="7212330"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92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5262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4947285</wp:posOffset>
            </wp:positionV>
            <wp:extent cx="7212330"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92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5262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92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262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233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5192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2330"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5186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2330" cy="451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7773035</wp:posOffset>
            </wp:positionV>
            <wp:extent cx="7212330"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7" w:name="page268"/>
    <w:bookmarkEnd w:id="267"/>
    <w:p>
      <w:pPr>
        <w:jc w:val="right"/>
        <w:spacing w:after="0"/>
        <w:rPr>
          <w:sz w:val="20"/>
          <w:szCs w:val="20"/>
          <w:color w:val="auto"/>
        </w:rPr>
      </w:pPr>
      <w:r>
        <w:rPr>
          <w:rFonts w:ascii="Arial" w:cs="Arial" w:eastAsia="Arial" w:hAnsi="Arial"/>
          <w:sz w:val="15"/>
          <w:szCs w:val="15"/>
          <w:b w:val="1"/>
          <w:bCs w:val="1"/>
          <w:color w:val="auto"/>
        </w:rPr>
        <w:t>EXHIBIT 12.1</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EURONET WORLDWIDE, INC.</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COMPUTATION OF RATIO OF EARNINGS TO FIXED CHARGES</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2"/>
                <w:szCs w:val="12"/>
                <w:color w:val="auto"/>
              </w:rPr>
            </w:pP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Nine Months Ended</w:t>
            </w:r>
          </w:p>
        </w:tc>
      </w:tr>
      <w:tr>
        <w:trPr>
          <w:trHeight w:val="157"/>
        </w:trPr>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ind w:left="28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3"/>
                <w:szCs w:val="13"/>
                <w:color w:val="auto"/>
              </w:rPr>
            </w:pPr>
          </w:p>
        </w:tc>
        <w:tc>
          <w:tcPr>
            <w:tcW w:w="1280" w:type="dxa"/>
            <w:vAlign w:val="bottom"/>
            <w:gridSpan w:val="4"/>
          </w:tcPr>
          <w:p>
            <w:pPr>
              <w:jc w:val="right"/>
              <w:ind w:right="248"/>
              <w:spacing w:after="0"/>
              <w:rPr>
                <w:sz w:val="20"/>
                <w:szCs w:val="20"/>
                <w:color w:val="auto"/>
              </w:rPr>
            </w:pPr>
            <w:r>
              <w:rPr>
                <w:rFonts w:ascii="Arial" w:cs="Arial" w:eastAsia="Arial" w:hAnsi="Arial"/>
                <w:sz w:val="12"/>
                <w:szCs w:val="12"/>
                <w:b w:val="1"/>
                <w:bCs w:val="1"/>
                <w:color w:val="auto"/>
              </w:rPr>
              <w:t>September 30,</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(dollar amounts in thousands)</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2017</w:t>
            </w:r>
          </w:p>
        </w:tc>
      </w:tr>
      <w:tr>
        <w:trPr>
          <w:trHeight w:val="185"/>
        </w:trPr>
        <w:tc>
          <w:tcPr>
            <w:tcW w:w="4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Pretax income before adjustment for loss from unconsolidated</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0"/>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137,194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115,926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237,384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222,899</w:t>
            </w:r>
          </w:p>
        </w:tc>
      </w:tr>
      <w:tr>
        <w:trPr>
          <w:trHeight w:val="199"/>
        </w:trPr>
        <w:tc>
          <w:tcPr>
            <w:tcW w:w="4480" w:type="dxa"/>
            <w:vAlign w:val="bottom"/>
            <w:gridSpan w:val="2"/>
          </w:tcPr>
          <w:p>
            <w:pPr>
              <w:spacing w:after="0"/>
              <w:rPr>
                <w:sz w:val="20"/>
                <w:szCs w:val="20"/>
                <w:color w:val="auto"/>
              </w:rPr>
            </w:pPr>
            <w:r>
              <w:rPr>
                <w:rFonts w:ascii="Arial" w:cs="Arial" w:eastAsia="Arial" w:hAnsi="Arial"/>
                <w:sz w:val="15"/>
                <w:szCs w:val="15"/>
                <w:color w:val="auto"/>
              </w:rPr>
              <w:t>Add: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Fixed charges</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14,938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38,742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32,816</w:t>
            </w:r>
          </w:p>
        </w:tc>
      </w:tr>
      <w:tr>
        <w:trPr>
          <w:trHeight w:val="247"/>
        </w:trPr>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Adjusted pretax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152,132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128,508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276,126</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255,715</w:t>
            </w:r>
          </w:p>
        </w:tc>
      </w:tr>
      <w:tr>
        <w:trPr>
          <w:trHeight w:val="181"/>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Fixed charges:</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9"/>
        </w:trPr>
        <w:tc>
          <w:tcPr>
            <w:tcW w:w="4480" w:type="dxa"/>
            <w:vAlign w:val="bottom"/>
            <w:gridSpan w:val="2"/>
          </w:tcPr>
          <w:p>
            <w:pPr>
              <w:ind w:left="120"/>
              <w:spacing w:after="0"/>
              <w:rPr>
                <w:sz w:val="20"/>
                <w:szCs w:val="20"/>
                <w:color w:val="auto"/>
              </w:rPr>
            </w:pPr>
            <w:r>
              <w:rPr>
                <w:rFonts w:ascii="Arial" w:cs="Arial" w:eastAsia="Arial" w:hAnsi="Arial"/>
                <w:sz w:val="15"/>
                <w:szCs w:val="15"/>
                <w:color w:val="auto"/>
              </w:rPr>
              <w:t>Interest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11,269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9,534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28,936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25,058</w:t>
            </w:r>
          </w:p>
        </w:tc>
      </w:tr>
      <w:tr>
        <w:trPr>
          <w:trHeight w:val="23"/>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2"/>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Estimate of interest within rental expense</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7,758</w:t>
            </w:r>
          </w:p>
        </w:tc>
      </w:tr>
      <w:tr>
        <w:trPr>
          <w:trHeight w:val="247"/>
        </w:trPr>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Total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14,938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12,582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38,742</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32,816</w:t>
            </w:r>
          </w:p>
        </w:tc>
      </w:tr>
      <w:tr>
        <w:trPr>
          <w:trHeight w:val="178"/>
        </w:trPr>
        <w:tc>
          <w:tcPr>
            <w:tcW w:w="4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Ratio of earnings to fixed charges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3"/>
        </w:trPr>
        <w:tc>
          <w:tcPr>
            <w:tcW w:w="4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bl>
    <w:p>
      <w:pPr>
        <w:sectPr>
          <w:pgSz w:w="11900" w:h="16838" w:orient="portrait"/>
          <w:cols w:equalWidth="0" w:num="1">
            <w:col w:w="10240"/>
          </w:cols>
          <w:pgMar w:left="1440" w:top="125" w:right="2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5"/>
          <w:szCs w:val="15"/>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 Michael J. Brown, certify that:</w:t>
      </w:r>
    </w:p>
    <w:p>
      <w:pPr>
        <w:spacing w:after="0" w:line="138" w:lineRule="exact"/>
        <w:rPr>
          <w:sz w:val="20"/>
          <w:szCs w:val="20"/>
          <w:color w:val="auto"/>
        </w:rPr>
      </w:pPr>
    </w:p>
    <w:p>
      <w:pPr>
        <w:ind w:left="280" w:hanging="271"/>
        <w:spacing w:after="0"/>
        <w:tabs>
          <w:tab w:leader="none" w:pos="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Euronet Worldwide, Inc.;</w:t>
      </w:r>
    </w:p>
    <w:p>
      <w:pPr>
        <w:spacing w:after="0" w:line="138" w:lineRule="exact"/>
        <w:rPr>
          <w:rFonts w:ascii="Arial" w:cs="Arial" w:eastAsia="Arial" w:hAnsi="Arial"/>
          <w:sz w:val="15"/>
          <w:szCs w:val="15"/>
          <w:color w:val="auto"/>
        </w:rPr>
      </w:pPr>
    </w:p>
    <w:p>
      <w:pPr>
        <w:ind w:left="280" w:right="680" w:hanging="271"/>
        <w:spacing w:after="0" w:line="268" w:lineRule="auto"/>
        <w:tabs>
          <w:tab w:leader="none" w:pos="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280" w:right="120" w:hanging="271"/>
        <w:spacing w:after="0" w:line="268" w:lineRule="auto"/>
        <w:tabs>
          <w:tab w:leader="none" w:pos="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5"/>
          <w:szCs w:val="15"/>
          <w:color w:val="auto"/>
        </w:rPr>
      </w:pPr>
    </w:p>
    <w:p>
      <w:pPr>
        <w:ind w:left="280" w:right="340" w:hanging="271"/>
        <w:spacing w:after="0" w:line="268" w:lineRule="auto"/>
        <w:tabs>
          <w:tab w:leader="none" w:pos="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5"/>
          <w:szCs w:val="15"/>
          <w:color w:val="auto"/>
        </w:rPr>
      </w:pPr>
    </w:p>
    <w:p>
      <w:pPr>
        <w:ind w:left="800" w:right="300" w:hanging="259"/>
        <w:spacing w:after="0" w:line="257" w:lineRule="auto"/>
        <w:tabs>
          <w:tab w:leader="none" w:pos="8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5"/>
          <w:szCs w:val="15"/>
          <w:color w:val="auto"/>
        </w:rPr>
      </w:pPr>
    </w:p>
    <w:p>
      <w:pPr>
        <w:jc w:val="both"/>
        <w:ind w:left="800" w:right="540" w:hanging="259"/>
        <w:spacing w:after="0" w:line="257" w:lineRule="auto"/>
        <w:tabs>
          <w:tab w:leader="none" w:pos="8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5"/>
          <w:szCs w:val="15"/>
          <w:color w:val="auto"/>
        </w:rPr>
      </w:pPr>
    </w:p>
    <w:p>
      <w:pPr>
        <w:ind w:left="800" w:right="140" w:hanging="259"/>
        <w:spacing w:after="0" w:line="268" w:lineRule="auto"/>
        <w:tabs>
          <w:tab w:leader="none" w:pos="8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800" w:right="160" w:hanging="259"/>
        <w:spacing w:after="0" w:line="346" w:lineRule="auto"/>
        <w:tabs>
          <w:tab w:leader="none" w:pos="8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3"/>
          <w:szCs w:val="13"/>
          <w:color w:val="auto"/>
        </w:rPr>
      </w:pPr>
    </w:p>
    <w:p>
      <w:pPr>
        <w:ind w:left="280" w:right="520" w:hanging="271"/>
        <w:spacing w:after="0" w:line="268" w:lineRule="auto"/>
        <w:tabs>
          <w:tab w:leader="none" w:pos="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5"/>
          <w:szCs w:val="15"/>
          <w:color w:val="auto"/>
        </w:rPr>
      </w:pPr>
    </w:p>
    <w:p>
      <w:pPr>
        <w:ind w:left="800" w:right="500" w:hanging="259"/>
        <w:spacing w:after="0" w:line="268" w:lineRule="auto"/>
        <w:tabs>
          <w:tab w:leader="none" w:pos="8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5"/>
          <w:szCs w:val="15"/>
          <w:color w:val="auto"/>
        </w:rPr>
      </w:pPr>
    </w:p>
    <w:p>
      <w:pPr>
        <w:ind w:left="800" w:hanging="259"/>
        <w:spacing w:after="0"/>
        <w:tabs>
          <w:tab w:leader="none" w:pos="80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 2018</w:t>
      </w:r>
    </w:p>
    <w:p>
      <w:pPr>
        <w:spacing w:after="0" w:line="316" w:lineRule="exact"/>
        <w:rPr>
          <w:sz w:val="20"/>
          <w:szCs w:val="20"/>
          <w:color w:val="auto"/>
        </w:rPr>
      </w:pPr>
    </w:p>
    <w:p>
      <w:pPr>
        <w:jc w:val="center"/>
        <w:ind w:right="5720"/>
        <w:spacing w:after="0"/>
        <w:rPr>
          <w:sz w:val="20"/>
          <w:szCs w:val="20"/>
          <w:color w:val="auto"/>
        </w:rPr>
      </w:pPr>
      <w:r>
        <w:rPr>
          <w:rFonts w:ascii="Arial" w:cs="Arial" w:eastAsia="Arial" w:hAnsi="Arial"/>
          <w:sz w:val="15"/>
          <w:szCs w:val="15"/>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63537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37"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Michael J. Brown</w:t>
      </w:r>
    </w:p>
    <w:p>
      <w:pPr>
        <w:spacing w:after="0" w:line="49"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Chief Executive Officer</w:t>
      </w:r>
    </w:p>
    <w:p>
      <w:pPr>
        <w:sectPr>
          <w:pgSz w:w="11900" w:h="16838" w:orient="portrait"/>
          <w:cols w:equalWidth="0" w:num="1">
            <w:col w:w="11460"/>
          </w:cols>
          <w:pgMar w:left="220" w:top="502" w:right="2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5"/>
          <w:szCs w:val="15"/>
          <w:b w:val="1"/>
          <w:bCs w:val="1"/>
          <w:color w:val="auto"/>
        </w:rPr>
        <w:t>EXHIBIT 31.2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 Rick L. Weller, certify that:</w:t>
      </w:r>
    </w:p>
    <w:p>
      <w:pPr>
        <w:spacing w:after="0" w:line="138" w:lineRule="exact"/>
        <w:rPr>
          <w:sz w:val="20"/>
          <w:szCs w:val="20"/>
          <w:color w:val="auto"/>
        </w:rPr>
      </w:pPr>
    </w:p>
    <w:p>
      <w:pPr>
        <w:ind w:left="280" w:hanging="271"/>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Euronet Worldwide, Inc.;</w:t>
      </w:r>
    </w:p>
    <w:p>
      <w:pPr>
        <w:spacing w:after="0" w:line="138" w:lineRule="exact"/>
        <w:rPr>
          <w:rFonts w:ascii="Arial" w:cs="Arial" w:eastAsia="Arial" w:hAnsi="Arial"/>
          <w:sz w:val="15"/>
          <w:szCs w:val="15"/>
          <w:color w:val="auto"/>
        </w:rPr>
      </w:pPr>
    </w:p>
    <w:p>
      <w:pPr>
        <w:ind w:left="280" w:right="680" w:hanging="271"/>
        <w:spacing w:after="0" w:line="268"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280" w:right="120" w:hanging="271"/>
        <w:spacing w:after="0" w:line="268"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5"/>
          <w:szCs w:val="15"/>
          <w:color w:val="auto"/>
        </w:rPr>
      </w:pPr>
    </w:p>
    <w:p>
      <w:pPr>
        <w:ind w:left="280" w:right="340" w:hanging="271"/>
        <w:spacing w:after="0" w:line="268"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5"/>
          <w:szCs w:val="15"/>
          <w:color w:val="auto"/>
        </w:rPr>
      </w:pPr>
    </w:p>
    <w:p>
      <w:pPr>
        <w:ind w:left="800" w:right="300" w:hanging="259"/>
        <w:spacing w:after="0" w:line="257" w:lineRule="auto"/>
        <w:tabs>
          <w:tab w:leader="none" w:pos="8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5"/>
          <w:szCs w:val="15"/>
          <w:color w:val="auto"/>
        </w:rPr>
      </w:pPr>
    </w:p>
    <w:p>
      <w:pPr>
        <w:jc w:val="both"/>
        <w:ind w:left="800" w:right="540" w:hanging="259"/>
        <w:spacing w:after="0" w:line="257" w:lineRule="auto"/>
        <w:tabs>
          <w:tab w:leader="none" w:pos="8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5"/>
          <w:szCs w:val="15"/>
          <w:color w:val="auto"/>
        </w:rPr>
      </w:pPr>
    </w:p>
    <w:p>
      <w:pPr>
        <w:ind w:left="800" w:right="140" w:hanging="259"/>
        <w:spacing w:after="0" w:line="268" w:lineRule="auto"/>
        <w:tabs>
          <w:tab w:leader="none" w:pos="8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800" w:right="160" w:hanging="259"/>
        <w:spacing w:after="0" w:line="346" w:lineRule="auto"/>
        <w:tabs>
          <w:tab w:leader="none" w:pos="80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3"/>
          <w:szCs w:val="13"/>
          <w:color w:val="auto"/>
        </w:rPr>
      </w:pPr>
    </w:p>
    <w:p>
      <w:pPr>
        <w:ind w:left="280" w:right="520" w:hanging="271"/>
        <w:spacing w:after="0" w:line="268"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5"/>
          <w:szCs w:val="15"/>
          <w:color w:val="auto"/>
        </w:rPr>
      </w:pPr>
    </w:p>
    <w:p>
      <w:pPr>
        <w:ind w:left="800" w:right="500" w:hanging="259"/>
        <w:spacing w:after="0" w:line="268" w:lineRule="auto"/>
        <w:tabs>
          <w:tab w:leader="none" w:pos="8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5"/>
          <w:szCs w:val="15"/>
          <w:color w:val="auto"/>
        </w:rPr>
      </w:pPr>
    </w:p>
    <w:p>
      <w:pPr>
        <w:ind w:left="800" w:hanging="259"/>
        <w:spacing w:after="0"/>
        <w:tabs>
          <w:tab w:leader="none" w:pos="800"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Date: November 1, 2018</w:t>
      </w:r>
    </w:p>
    <w:p>
      <w:pPr>
        <w:spacing w:after="0" w:line="316" w:lineRule="exact"/>
        <w:rPr>
          <w:sz w:val="20"/>
          <w:szCs w:val="20"/>
          <w:color w:val="auto"/>
        </w:rPr>
      </w:pPr>
    </w:p>
    <w:p>
      <w:pPr>
        <w:jc w:val="center"/>
        <w:ind w:right="5720"/>
        <w:spacing w:after="0"/>
        <w:rPr>
          <w:sz w:val="20"/>
          <w:szCs w:val="20"/>
          <w:color w:val="auto"/>
        </w:rPr>
      </w:pPr>
      <w:r>
        <w:rPr>
          <w:rFonts w:ascii="Arial" w:cs="Arial" w:eastAsia="Arial" w:hAnsi="Arial"/>
          <w:sz w:val="15"/>
          <w:szCs w:val="15"/>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63537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37"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Rick L. Weller</w:t>
      </w:r>
    </w:p>
    <w:p>
      <w:pPr>
        <w:spacing w:after="0" w:line="49"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Chief Financial Officer</w:t>
      </w:r>
    </w:p>
    <w:p>
      <w:pPr>
        <w:sectPr>
          <w:pgSz w:w="11900" w:h="16838" w:orient="portrait"/>
          <w:cols w:equalWidth="0" w:num="1">
            <w:col w:w="11460"/>
          </w:cols>
          <w:pgMar w:left="220" w:top="502" w:right="219" w:bottom="1440" w:gutter="0" w:footer="0" w:header="0"/>
        </w:sectPr>
      </w:pPr>
    </w:p>
    <w:bookmarkStart w:id="270" w:name="page271"/>
    <w:bookmarkEnd w:id="270"/>
    <w:p>
      <w:pPr>
        <w:jc w:val="right"/>
        <w:spacing w:after="0"/>
        <w:rPr>
          <w:sz w:val="20"/>
          <w:szCs w:val="20"/>
          <w:color w:val="auto"/>
        </w:rPr>
      </w:pPr>
      <w:r>
        <w:rPr>
          <w:rFonts w:ascii="Arial" w:cs="Arial" w:eastAsia="Arial" w:hAnsi="Arial"/>
          <w:sz w:val="15"/>
          <w:szCs w:val="15"/>
          <w:b w:val="1"/>
          <w:bCs w:val="1"/>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2" w:lineRule="exact"/>
        <w:rPr>
          <w:sz w:val="20"/>
          <w:szCs w:val="20"/>
          <w:color w:val="auto"/>
        </w:rPr>
      </w:pPr>
    </w:p>
    <w:p>
      <w:pPr>
        <w:spacing w:after="0" w:line="346" w:lineRule="auto"/>
        <w:rPr>
          <w:sz w:val="20"/>
          <w:szCs w:val="20"/>
          <w:color w:val="auto"/>
        </w:rPr>
      </w:pPr>
      <w:r>
        <w:rPr>
          <w:rFonts w:ascii="Arial" w:cs="Arial" w:eastAsia="Arial" w:hAnsi="Arial"/>
          <w:sz w:val="13"/>
          <w:szCs w:val="13"/>
          <w:color w:val="auto"/>
        </w:rPr>
        <w:t>In connection with the Quarterly Report on Form 10-Q of Euronet Worldwide, Inc. (the “Company”) for the period ended September 30, 2018 as filed with the Securities and Exchange Commission on the date hereof (the “Report”), the undersigned hereby certifies, pursuant to 18 U.S.C. Section 1350, as adopted pursuant to Section 906 of the Sarbanes-Oxley Act of 2002, that:</w:t>
      </w:r>
    </w:p>
    <w:p>
      <w:pPr>
        <w:spacing w:after="0" w:line="13" w:lineRule="exact"/>
        <w:rPr>
          <w:sz w:val="20"/>
          <w:szCs w:val="20"/>
          <w:color w:val="auto"/>
        </w:rPr>
      </w:pPr>
    </w:p>
    <w:p>
      <w:pPr>
        <w:ind w:left="540" w:hanging="265"/>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93" w:lineRule="exact"/>
        <w:rPr>
          <w:rFonts w:ascii="Arial" w:cs="Arial" w:eastAsia="Arial" w:hAnsi="Arial"/>
          <w:sz w:val="15"/>
          <w:szCs w:val="15"/>
          <w:color w:val="auto"/>
        </w:rPr>
      </w:pPr>
    </w:p>
    <w:p>
      <w:pPr>
        <w:ind w:left="540" w:hanging="265"/>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jc w:val="center"/>
        <w:ind w:right="5720"/>
        <w:spacing w:after="0"/>
        <w:rPr>
          <w:sz w:val="20"/>
          <w:szCs w:val="20"/>
          <w:color w:val="auto"/>
        </w:rPr>
      </w:pPr>
      <w:r>
        <w:rPr>
          <w:rFonts w:ascii="Arial" w:cs="Arial" w:eastAsia="Arial" w:hAnsi="Arial"/>
          <w:sz w:val="15"/>
          <w:szCs w:val="15"/>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63537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37"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Michael J. Brown</w:t>
      </w:r>
    </w:p>
    <w:p>
      <w:pPr>
        <w:spacing w:after="0" w:line="49"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ectPr>
          <w:pgSz w:w="11900" w:h="16838" w:orient="portrait"/>
          <w:cols w:equalWidth="0" w:num="1">
            <w:col w:w="11460"/>
          </w:cols>
          <w:pgMar w:left="220" w:top="502" w:right="219" w:bottom="1440" w:gutter="0" w:footer="0" w:header="0"/>
        </w:sectPr>
      </w:pPr>
    </w:p>
    <w:bookmarkStart w:id="271" w:name="page272"/>
    <w:bookmarkEnd w:id="271"/>
    <w:p>
      <w:pPr>
        <w:jc w:val="right"/>
        <w:spacing w:after="0"/>
        <w:rPr>
          <w:sz w:val="20"/>
          <w:szCs w:val="20"/>
          <w:color w:val="auto"/>
        </w:rPr>
      </w:pPr>
      <w:r>
        <w:rPr>
          <w:rFonts w:ascii="Arial" w:cs="Arial" w:eastAsia="Arial" w:hAnsi="Arial"/>
          <w:sz w:val="15"/>
          <w:szCs w:val="15"/>
          <w:b w:val="1"/>
          <w:bCs w:val="1"/>
          <w:color w:val="auto"/>
        </w:rPr>
        <w:t>EXHIBIT 32.2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2" w:lineRule="exact"/>
        <w:rPr>
          <w:sz w:val="20"/>
          <w:szCs w:val="20"/>
          <w:color w:val="auto"/>
        </w:rPr>
      </w:pPr>
    </w:p>
    <w:p>
      <w:pPr>
        <w:spacing w:after="0" w:line="346" w:lineRule="auto"/>
        <w:rPr>
          <w:sz w:val="20"/>
          <w:szCs w:val="20"/>
          <w:color w:val="auto"/>
        </w:rPr>
      </w:pPr>
      <w:r>
        <w:rPr>
          <w:rFonts w:ascii="Arial" w:cs="Arial" w:eastAsia="Arial" w:hAnsi="Arial"/>
          <w:sz w:val="13"/>
          <w:szCs w:val="13"/>
          <w:color w:val="auto"/>
        </w:rPr>
        <w:t>In connection with the Quarterly Report on Form 10-Q of Euronet Worldwide, Inc. (the “Company”) for the period ended September 30, 2018 as filed with the Securities and Exchange Commission on the date hereof (the “Report”), the undersigned hereby certifies, pursuant to 18 U.S.C. Section 1350, as adopted pursuant to Section 906 of the Sarbanes-Oxley Act of 2002, that:</w:t>
      </w:r>
    </w:p>
    <w:p>
      <w:pPr>
        <w:spacing w:after="0" w:line="13" w:lineRule="exact"/>
        <w:rPr>
          <w:sz w:val="20"/>
          <w:szCs w:val="20"/>
          <w:color w:val="auto"/>
        </w:rPr>
      </w:pPr>
    </w:p>
    <w:p>
      <w:pPr>
        <w:ind w:left="540" w:hanging="265"/>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93" w:lineRule="exact"/>
        <w:rPr>
          <w:rFonts w:ascii="Arial" w:cs="Arial" w:eastAsia="Arial" w:hAnsi="Arial"/>
          <w:sz w:val="15"/>
          <w:szCs w:val="15"/>
          <w:color w:val="auto"/>
        </w:rPr>
      </w:pPr>
    </w:p>
    <w:p>
      <w:pPr>
        <w:ind w:left="540" w:hanging="265"/>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3" w:lineRule="exact"/>
        <w:rPr>
          <w:sz w:val="20"/>
          <w:szCs w:val="20"/>
          <w:color w:val="auto"/>
        </w:rPr>
      </w:pPr>
    </w:p>
    <w:p>
      <w:pPr>
        <w:jc w:val="center"/>
        <w:ind w:right="5720"/>
        <w:spacing w:after="0"/>
        <w:rPr>
          <w:sz w:val="20"/>
          <w:szCs w:val="20"/>
          <w:color w:val="auto"/>
        </w:rPr>
      </w:pPr>
      <w:r>
        <w:rPr>
          <w:rFonts w:ascii="Arial" w:cs="Arial" w:eastAsia="Arial" w:hAnsi="Arial"/>
          <w:sz w:val="15"/>
          <w:szCs w:val="15"/>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63537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37"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Rick L. Weller</w:t>
      </w:r>
    </w:p>
    <w:p>
      <w:pPr>
        <w:spacing w:after="0" w:line="49" w:lineRule="exact"/>
        <w:rPr>
          <w:sz w:val="20"/>
          <w:szCs w:val="20"/>
          <w:color w:val="auto"/>
        </w:rPr>
      </w:pPr>
    </w:p>
    <w:p>
      <w:pPr>
        <w:jc w:val="center"/>
        <w:ind w:right="5720"/>
        <w:spacing w:after="0"/>
        <w:rPr>
          <w:sz w:val="20"/>
          <w:szCs w:val="20"/>
          <w:color w:val="auto"/>
        </w:rPr>
      </w:pPr>
      <w:r>
        <w:rPr>
          <w:rFonts w:ascii="Arial" w:cs="Arial" w:eastAsia="Arial" w:hAnsi="Arial"/>
          <w:sz w:val="15"/>
          <w:szCs w:val="15"/>
          <w:b w:val="1"/>
          <w:bCs w:val="1"/>
          <w:color w:val="auto"/>
        </w:rPr>
        <w:t>Chief Financial Officer</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sectPr>
      <w:pgSz w:w="11900" w:h="16838" w:orient="portrait"/>
      <w:cols w:equalWidth="0" w:num="1">
        <w:col w:w="11460"/>
      </w:cols>
      <w:pgMar w:left="220" w:top="50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lvl w:ilvl="1">
      <w:lvlJc w:val="left"/>
      <w:lvlText w:val="(%2)"/>
      <w:numFmt w:val="lowerRoman"/>
      <w:start w:val="5"/>
    </w:lvl>
  </w:abstractNum>
  <w:abstractNum w:abstractNumId="17">
    <w:nsid w:val="62BBD95A"/>
    <w:multiLevelType w:val="hybridMultilevel"/>
    <w:lvl w:ilvl="0">
      <w:lvlJc w:val="left"/>
      <w:lvlText w:val="**"/>
      <w:numFmt w:val="bullet"/>
      <w:start w:val="1"/>
    </w:lvl>
    <w:lvl w:ilvl="1">
      <w:lvlJc w:val="left"/>
      <w:lvlText w:val="%2"/>
      <w:numFmt w:val="lowerRoman"/>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2019-12-28T18:36:58Z</dcterms:created>
  <dcterms:modified xsi:type="dcterms:W3CDTF">2019-12-28T18:36:58Z</dcterms:modified>
</cp:coreProperties>
</file>