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183515</wp:posOffset>
            </wp:positionH>
            <wp:positionV relativeFrom="page">
              <wp:posOffset>397510</wp:posOffset>
            </wp:positionV>
            <wp:extent cx="72034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-175895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398" w:lineRule="exact"/>
        <w:rPr>
          <w:sz w:val="24"/>
          <w:szCs w:val="24"/>
          <w:color w:val="auto"/>
        </w:rPr>
      </w:pPr>
    </w:p>
    <w:p>
      <w:pPr>
        <w:ind w:left="860" w:hanging="521"/>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860" w:hanging="485"/>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3300"/>
        <w:spacing w:after="0"/>
        <w:tabs>
          <w:tab w:leader="none" w:pos="660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6"/>
          <w:szCs w:val="16"/>
          <w:b w:val="1"/>
          <w:bCs w:val="1"/>
          <w:color w:val="auto"/>
        </w:rPr>
        <w:t>to</w:t>
      </w:r>
    </w:p>
    <w:p>
      <w:pPr>
        <w:spacing w:after="0" w:line="200" w:lineRule="exact"/>
        <w:rPr>
          <w:sz w:val="24"/>
          <w:szCs w:val="24"/>
          <w:color w:val="auto"/>
        </w:rPr>
      </w:pPr>
    </w:p>
    <w:p>
      <w:pPr>
        <w:spacing w:after="0" w:line="26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001-31648</w:t>
      </w:r>
    </w:p>
    <w:p>
      <w:pPr>
        <w:spacing w:after="0" w:line="21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right"/>
              <w:ind w:right="170"/>
              <w:spacing w:after="0"/>
              <w:rPr>
                <w:sz w:val="20"/>
                <w:szCs w:val="20"/>
                <w:color w:val="auto"/>
              </w:rPr>
            </w:pPr>
            <w:r>
              <w:rPr>
                <w:rFonts w:ascii="Arial" w:cs="Arial" w:eastAsia="Arial" w:hAnsi="Arial"/>
                <w:sz w:val="18"/>
                <w:szCs w:val="18"/>
                <w:b w:val="1"/>
                <w:bCs w:val="1"/>
                <w:color w:val="auto"/>
              </w:rPr>
              <w:t>74-2806888</w:t>
            </w:r>
          </w:p>
        </w:tc>
      </w:tr>
      <w:tr>
        <w:trPr>
          <w:trHeight w:val="270"/>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(State or other jurisdiction</w:t>
            </w:r>
          </w:p>
        </w:tc>
        <w:tc>
          <w:tcPr>
            <w:tcW w:w="3160" w:type="dxa"/>
            <w:vAlign w:val="bottom"/>
          </w:tcPr>
          <w:p>
            <w:pPr>
              <w:jc w:val="center"/>
              <w:ind w:left="1650"/>
              <w:spacing w:after="0"/>
              <w:rPr>
                <w:sz w:val="20"/>
                <w:szCs w:val="20"/>
                <w:color w:val="auto"/>
              </w:rPr>
            </w:pPr>
            <w:r>
              <w:rPr>
                <w:rFonts w:ascii="Arial" w:cs="Arial" w:eastAsia="Arial" w:hAnsi="Arial"/>
                <w:sz w:val="18"/>
                <w:szCs w:val="18"/>
                <w:b w:val="1"/>
                <w:bCs w:val="1"/>
                <w:color w:val="auto"/>
                <w:w w:val="94"/>
              </w:rPr>
              <w:t>(I.R.S. Employer</w:t>
            </w:r>
          </w:p>
        </w:tc>
      </w:tr>
      <w:tr>
        <w:trPr>
          <w:trHeight w:val="270"/>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of incorporation or organization)</w:t>
            </w:r>
          </w:p>
        </w:tc>
        <w:tc>
          <w:tcPr>
            <w:tcW w:w="3160" w:type="dxa"/>
            <w:vAlign w:val="bottom"/>
          </w:tcPr>
          <w:p>
            <w:pPr>
              <w:jc w:val="center"/>
              <w:ind w:left="1670"/>
              <w:spacing w:after="0"/>
              <w:rPr>
                <w:sz w:val="20"/>
                <w:szCs w:val="20"/>
                <w:color w:val="auto"/>
              </w:rPr>
            </w:pPr>
            <w:r>
              <w:rPr>
                <w:rFonts w:ascii="Arial" w:cs="Arial" w:eastAsia="Arial" w:hAnsi="Arial"/>
                <w:sz w:val="18"/>
                <w:szCs w:val="18"/>
                <w:b w:val="1"/>
                <w:bCs w:val="1"/>
                <w:color w:val="auto"/>
                <w:w w:val="92"/>
              </w:rPr>
              <w:t>Identification No.)</w:t>
            </w:r>
          </w:p>
        </w:tc>
      </w:tr>
      <w:tr>
        <w:trPr>
          <w:trHeight w:val="405"/>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89"/>
              </w:rPr>
              <w:t>3500 College Boulevard</w:t>
            </w:r>
          </w:p>
        </w:tc>
        <w:tc>
          <w:tcPr>
            <w:tcW w:w="3160" w:type="dxa"/>
            <w:vAlign w:val="bottom"/>
          </w:tcPr>
          <w:p>
            <w:pPr>
              <w:spacing w:after="0"/>
              <w:rPr>
                <w:sz w:val="24"/>
                <w:szCs w:val="24"/>
                <w:color w:val="auto"/>
              </w:rPr>
            </w:pPr>
          </w:p>
        </w:tc>
      </w:tr>
      <w:tr>
        <w:trPr>
          <w:trHeight w:val="270"/>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89"/>
              </w:rPr>
              <w:t>Leawood, Kansas</w:t>
            </w:r>
          </w:p>
        </w:tc>
        <w:tc>
          <w:tcPr>
            <w:tcW w:w="3160" w:type="dxa"/>
            <w:vAlign w:val="bottom"/>
          </w:tcPr>
          <w:p>
            <w:pPr>
              <w:jc w:val="right"/>
              <w:ind w:right="390"/>
              <w:spacing w:after="0"/>
              <w:rPr>
                <w:sz w:val="20"/>
                <w:szCs w:val="20"/>
                <w:color w:val="auto"/>
              </w:rPr>
            </w:pPr>
            <w:r>
              <w:rPr>
                <w:rFonts w:ascii="Arial" w:cs="Arial" w:eastAsia="Arial" w:hAnsi="Arial"/>
                <w:sz w:val="18"/>
                <w:szCs w:val="18"/>
                <w:b w:val="1"/>
                <w:bCs w:val="1"/>
                <w:color w:val="auto"/>
              </w:rPr>
              <w:t>66211</w:t>
            </w:r>
          </w:p>
        </w:tc>
      </w:tr>
      <w:tr>
        <w:trPr>
          <w:trHeight w:val="270"/>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60" w:type="dxa"/>
            <w:vAlign w:val="bottom"/>
          </w:tcPr>
          <w:p>
            <w:pPr>
              <w:jc w:val="center"/>
              <w:ind w:left="1670"/>
              <w:spacing w:after="0"/>
              <w:rPr>
                <w:sz w:val="20"/>
                <w:szCs w:val="20"/>
                <w:color w:val="auto"/>
              </w:rPr>
            </w:pPr>
            <w:r>
              <w:rPr>
                <w:rFonts w:ascii="Arial" w:cs="Arial" w:eastAsia="Arial" w:hAnsi="Arial"/>
                <w:sz w:val="18"/>
                <w:szCs w:val="18"/>
                <w:b w:val="1"/>
                <w:bCs w:val="1"/>
                <w:color w:val="auto"/>
                <w:w w:val="94"/>
              </w:rPr>
              <w:t>(Zip Code)</w:t>
            </w:r>
          </w:p>
        </w:tc>
      </w:tr>
    </w:tbl>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03" w:lineRule="exact"/>
        <w:rPr>
          <w:sz w:val="24"/>
          <w:szCs w:val="24"/>
          <w:color w:val="auto"/>
        </w:rPr>
      </w:pPr>
    </w:p>
    <w:p>
      <w:pPr>
        <w:ind w:right="420"/>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4"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4"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60" w:lineRule="exact"/>
        <w:rPr>
          <w:sz w:val="24"/>
          <w:szCs w:val="24"/>
          <w:color w:val="auto"/>
        </w:rPr>
      </w:pPr>
    </w:p>
    <w:p>
      <w:pPr>
        <w:ind w:left="340"/>
        <w:spacing w:after="0" w:line="207" w:lineRule="exact"/>
        <w:tabs>
          <w:tab w:leader="none" w:pos="2720" w:val="left"/>
          <w:tab w:leader="none" w:pos="5300" w:val="left"/>
          <w:tab w:leader="none" w:pos="86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Arial" w:cs="Arial" w:eastAsia="Arial" w:hAnsi="Arial"/>
          <w:sz w:val="16"/>
          <w:szCs w:val="16"/>
          <w:color w:val="auto"/>
        </w:rPr>
        <w:t>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 xml:space="preserve">Smaller reporting company </w:t>
      </w:r>
      <w:r>
        <w:rPr>
          <w:rFonts w:ascii="Arial" w:cs="Arial" w:eastAsia="Arial" w:hAnsi="Arial"/>
          <w:sz w:val="14"/>
          <w:szCs w:val="14"/>
          <w:color w:val="auto"/>
        </w:rPr>
        <w:t>o</w:t>
      </w:r>
    </w:p>
    <w:p>
      <w:pPr>
        <w:spacing w:after="0" w:line="100" w:lineRule="exact"/>
        <w:rPr>
          <w:sz w:val="24"/>
          <w:szCs w:val="24"/>
          <w:color w:val="auto"/>
        </w:rPr>
      </w:pPr>
    </w:p>
    <w:p>
      <w:pPr>
        <w:jc w:val="center"/>
        <w:ind w:left="300"/>
        <w:spacing w:after="0"/>
        <w:rPr>
          <w:sz w:val="20"/>
          <w:szCs w:val="20"/>
          <w:color w:val="auto"/>
        </w:rPr>
      </w:pPr>
      <w:r>
        <w:rPr>
          <w:rFonts w:ascii="Arial" w:cs="Arial" w:eastAsia="Arial" w:hAnsi="Arial"/>
          <w:sz w:val="16"/>
          <w:szCs w:val="16"/>
          <w:color w:val="auto"/>
        </w:rPr>
        <w:t>(Do not check if a smaller reporting company)</w:t>
      </w:r>
    </w:p>
    <w:p>
      <w:pPr>
        <w:spacing w:after="0" w:line="200" w:lineRule="exact"/>
        <w:rPr>
          <w:sz w:val="24"/>
          <w:szCs w:val="24"/>
          <w:color w:val="auto"/>
        </w:rPr>
      </w:pPr>
    </w:p>
    <w:p>
      <w:pPr>
        <w:spacing w:after="0" w:line="26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On October 24, 2014, Euronet Worldwide, Inc. had 52,598,776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186690</wp:posOffset>
            </wp:positionV>
            <wp:extent cx="720344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100330</wp:posOffset>
            </wp:positionV>
            <wp:extent cx="7203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360"/>
          </w:cols>
          <w:pgMar w:left="240" w:top="778" w:right="2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78"/>
              </w:rPr>
              <w:t>Page</w:t>
            </w:r>
          </w:p>
        </w:tc>
      </w:tr>
      <w:tr>
        <w:trPr>
          <w:trHeight w:val="237"/>
        </w:trPr>
        <w:tc>
          <w:tcPr>
            <w:tcW w:w="2920" w:type="dxa"/>
            <w:vAlign w:val="bottom"/>
            <w:tcBorders>
              <w:bottom w:val="single" w:sz="8" w:color="0000EE"/>
            </w:tcBorders>
            <w:gridSpan w:val="10"/>
          </w:tcPr>
          <w:p>
            <w:pPr>
              <w:spacing w:after="0"/>
              <w:rPr>
                <w:rFonts w:ascii="Arial" w:cs="Arial" w:eastAsia="Arial" w:hAnsi="Arial"/>
                <w:sz w:val="17"/>
                <w:szCs w:val="17"/>
                <w:b w:val="1"/>
                <w:bCs w:val="1"/>
                <w:color w:val="0000EE"/>
              </w:rPr>
            </w:pPr>
            <w:hyperlink w:anchor="page2">
              <w:r>
                <w:rPr>
                  <w:rFonts w:ascii="Arial" w:cs="Arial" w:eastAsia="Arial" w:hAnsi="Arial"/>
                  <w:sz w:val="17"/>
                  <w:szCs w:val="17"/>
                  <w:b w:val="1"/>
                  <w:bCs w:val="1"/>
                  <w:color w:val="0000EE"/>
                </w:rPr>
                <w:t>PART I—FINANCIAL INFORMATION</w:t>
              </w:r>
            </w:hyperlink>
          </w:p>
        </w:tc>
        <w:tc>
          <w:tcPr>
            <w:tcW w:w="7780" w:type="dxa"/>
            <w:vAlign w:val="bottom"/>
            <w:gridSpan w:val="9"/>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1080" w:type="dxa"/>
            <w:vAlign w:val="bottom"/>
            <w:gridSpan w:val="4"/>
          </w:tcPr>
          <w:p>
            <w:pPr>
              <w:spacing w:after="0"/>
              <w:rPr>
                <w:sz w:val="20"/>
                <w:szCs w:val="20"/>
                <w:color w:val="auto"/>
              </w:rPr>
            </w:pPr>
            <w:r>
              <w:rPr>
                <w:rFonts w:ascii="Arial" w:cs="Arial" w:eastAsia="Arial" w:hAnsi="Arial"/>
                <w:sz w:val="16"/>
                <w:szCs w:val="16"/>
                <w:color w:val="auto"/>
              </w:rPr>
              <w:t>Item 1.</w:t>
            </w:r>
          </w:p>
        </w:tc>
        <w:tc>
          <w:tcPr>
            <w:tcW w:w="9620" w:type="dxa"/>
            <w:vAlign w:val="bottom"/>
            <w:gridSpan w:val="15"/>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 (unaudited)</w:t>
              </w:r>
            </w:hyperlink>
          </w:p>
        </w:tc>
        <w:tc>
          <w:tcPr>
            <w:tcW w:w="340" w:type="dxa"/>
            <w:vAlign w:val="bottom"/>
            <w:gridSpan w:val="3"/>
          </w:tcPr>
          <w:p>
            <w:pPr>
              <w:jc w:val="right"/>
              <w:spacing w:after="0"/>
              <w:rPr>
                <w:rFonts w:ascii="Arial" w:cs="Arial" w:eastAsia="Arial" w:hAnsi="Arial"/>
                <w:sz w:val="17"/>
                <w:szCs w:val="17"/>
                <w:color w:val="0000EE"/>
              </w:rPr>
            </w:pPr>
            <w:hyperlink w:anchor="page3">
              <w:r>
                <w:rPr>
                  <w:rFonts w:ascii="Arial" w:cs="Arial" w:eastAsia="Arial" w:hAnsi="Arial"/>
                  <w:sz w:val="17"/>
                  <w:szCs w:val="17"/>
                  <w:color w:val="0000EE"/>
                </w:rPr>
                <w:t>3</w:t>
              </w:r>
            </w:hyperlink>
          </w:p>
        </w:tc>
      </w:tr>
      <w:tr>
        <w:trPr>
          <w:trHeight w:val="20"/>
        </w:trPr>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160" w:type="dxa"/>
            <w:vAlign w:val="bottom"/>
            <w:gridSpan w:val="10"/>
          </w:tcPr>
          <w:p>
            <w:pPr>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Consolidated Balance Sheets as of September 30, 2014 and December 31, 2013</w:t>
              </w:r>
            </w:hyperlink>
          </w:p>
        </w:tc>
        <w:tc>
          <w:tcPr>
            <w:tcW w:w="4460" w:type="dxa"/>
            <w:vAlign w:val="bottom"/>
            <w:gridSpan w:val="5"/>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
              <w:r>
                <w:rPr>
                  <w:rFonts w:ascii="Arial" w:cs="Arial" w:eastAsia="Arial" w:hAnsi="Arial"/>
                  <w:sz w:val="17"/>
                  <w:szCs w:val="17"/>
                  <w:color w:val="0000EE"/>
                </w:rPr>
                <w:t>3</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20" w:type="dxa"/>
            <w:vAlign w:val="bottom"/>
            <w:gridSpan w:val="15"/>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Consolidated Statements of Income for the Three and Nine Months Ended September 30, 2014 and 2013</w:t>
              </w:r>
            </w:hyperlink>
          </w:p>
        </w:tc>
        <w:tc>
          <w:tcPr>
            <w:tcW w:w="340" w:type="dxa"/>
            <w:vAlign w:val="bottom"/>
            <w:gridSpan w:val="3"/>
          </w:tcPr>
          <w:p>
            <w:pPr>
              <w:jc w:val="right"/>
              <w:spacing w:after="0"/>
              <w:rPr>
                <w:rFonts w:ascii="Arial" w:cs="Arial" w:eastAsia="Arial" w:hAnsi="Arial"/>
                <w:sz w:val="17"/>
                <w:szCs w:val="17"/>
                <w:color w:val="0000EE"/>
              </w:rPr>
            </w:pPr>
            <w:hyperlink w:anchor="page3">
              <w:r>
                <w:rPr>
                  <w:rFonts w:ascii="Arial" w:cs="Arial" w:eastAsia="Arial" w:hAnsi="Arial"/>
                  <w:sz w:val="17"/>
                  <w:szCs w:val="17"/>
                  <w:color w:val="0000EE"/>
                </w:rPr>
                <w:t>4</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bottom w:val="single" w:sz="8" w:color="0000EE"/>
            </w:tcBorders>
            <w:shd w:val="clear" w:color="auto" w:fill="0000EE"/>
          </w:tcPr>
          <w:p>
            <w:pPr>
              <w:spacing w:after="0" w:line="20" w:lineRule="exact"/>
              <w:rPr>
                <w:sz w:val="1"/>
                <w:szCs w:val="1"/>
                <w:color w:val="auto"/>
              </w:rPr>
            </w:pPr>
          </w:p>
        </w:tc>
        <w:tc>
          <w:tcPr>
            <w:tcW w:w="140" w:type="dxa"/>
            <w:vAlign w:val="bottom"/>
            <w:tcBorders>
              <w:bottom w:val="single" w:sz="8" w:color="0000EE"/>
            </w:tcBorders>
            <w:shd w:val="clear" w:color="auto" w:fill="0000EE"/>
          </w:tcPr>
          <w:p>
            <w:pPr>
              <w:spacing w:after="0" w:line="20" w:lineRule="exact"/>
              <w:rPr>
                <w:sz w:val="1"/>
                <w:szCs w:val="1"/>
                <w:color w:val="auto"/>
              </w:rPr>
            </w:pPr>
          </w:p>
        </w:tc>
        <w:tc>
          <w:tcPr>
            <w:tcW w:w="120" w:type="dxa"/>
            <w:vAlign w:val="bottom"/>
            <w:tcBorders>
              <w:bottom w:val="single" w:sz="8" w:color="0000EE"/>
            </w:tcBorders>
            <w:shd w:val="clear" w:color="auto" w:fill="0000EE"/>
          </w:tcPr>
          <w:p>
            <w:pPr>
              <w:spacing w:after="0" w:line="20" w:lineRule="exact"/>
              <w:rPr>
                <w:sz w:val="1"/>
                <w:szCs w:val="1"/>
                <w:color w:val="auto"/>
              </w:rPr>
            </w:pPr>
          </w:p>
        </w:tc>
        <w:tc>
          <w:tcPr>
            <w:tcW w:w="400" w:type="dxa"/>
            <w:vAlign w:val="bottom"/>
            <w:tcBorders>
              <w:bottom w:val="single" w:sz="8" w:color="0000EE"/>
            </w:tcBorders>
            <w:shd w:val="clear" w:color="auto" w:fill="0000EE"/>
          </w:tcPr>
          <w:p>
            <w:pPr>
              <w:spacing w:after="0" w:line="20" w:lineRule="exact"/>
              <w:rPr>
                <w:sz w:val="1"/>
                <w:szCs w:val="1"/>
                <w:color w:val="auto"/>
              </w:rPr>
            </w:pPr>
          </w:p>
        </w:tc>
        <w:tc>
          <w:tcPr>
            <w:tcW w:w="38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2200" w:type="dxa"/>
            <w:vAlign w:val="bottom"/>
            <w:tcBorders>
              <w:bottom w:val="single" w:sz="8" w:color="0000EE"/>
            </w:tcBorders>
            <w:gridSpan w:val="3"/>
            <w:shd w:val="clear" w:color="auto" w:fill="0000EE"/>
          </w:tcPr>
          <w:p>
            <w:pPr>
              <w:spacing w:after="0" w:line="20" w:lineRule="exact"/>
              <w:rPr>
                <w:sz w:val="1"/>
                <w:szCs w:val="1"/>
                <w:color w:val="auto"/>
              </w:rPr>
            </w:pPr>
          </w:p>
        </w:tc>
        <w:tc>
          <w:tcPr>
            <w:tcW w:w="120" w:type="dxa"/>
            <w:vAlign w:val="bottom"/>
            <w:tcBorders>
              <w:bottom w:val="single" w:sz="8" w:color="0000EE"/>
            </w:tcBorders>
            <w:shd w:val="clear" w:color="auto" w:fill="0000EE"/>
          </w:tcPr>
          <w:p>
            <w:pPr>
              <w:spacing w:after="0" w:line="20" w:lineRule="exact"/>
              <w:rPr>
                <w:sz w:val="1"/>
                <w:szCs w:val="1"/>
                <w:color w:val="auto"/>
              </w:rPr>
            </w:pPr>
          </w:p>
        </w:tc>
        <w:tc>
          <w:tcPr>
            <w:tcW w:w="1900" w:type="dxa"/>
            <w:vAlign w:val="bottom"/>
            <w:tcBorders>
              <w:left w:val="single" w:sz="8" w:color="0000EE"/>
              <w:bottom w:val="single" w:sz="8" w:color="0000EE"/>
            </w:tcBorders>
            <w:gridSpan w:val="2"/>
            <w:shd w:val="clear" w:color="auto" w:fill="0000EE"/>
          </w:tcPr>
          <w:p>
            <w:pPr>
              <w:spacing w:after="0" w:line="20" w:lineRule="exact"/>
              <w:rPr>
                <w:sz w:val="1"/>
                <w:szCs w:val="1"/>
                <w:color w:val="auto"/>
              </w:rPr>
            </w:pPr>
          </w:p>
        </w:tc>
        <w:tc>
          <w:tcPr>
            <w:tcW w:w="560" w:type="dxa"/>
            <w:vAlign w:val="bottom"/>
            <w:tcBorders>
              <w:bottom w:val="single" w:sz="8" w:color="0000EE"/>
            </w:tcBorders>
            <w:shd w:val="clear" w:color="auto" w:fill="0000EE"/>
          </w:tcPr>
          <w:p>
            <w:pPr>
              <w:spacing w:after="0" w:line="20" w:lineRule="exact"/>
              <w:rPr>
                <w:sz w:val="1"/>
                <w:szCs w:val="1"/>
                <w:color w:val="auto"/>
              </w:rPr>
            </w:pPr>
          </w:p>
        </w:tc>
        <w:tc>
          <w:tcPr>
            <w:tcW w:w="420" w:type="dxa"/>
            <w:vAlign w:val="bottom"/>
            <w:tcBorders>
              <w:bottom w:val="single" w:sz="8" w:color="0000EE"/>
            </w:tcBorders>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0"/>
        </w:trPr>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300" w:type="dxa"/>
            <w:vAlign w:val="bottom"/>
            <w:gridSpan w:val="14"/>
          </w:tcPr>
          <w:p>
            <w:pPr>
              <w:spacing w:after="0"/>
              <w:rPr>
                <w:rFonts w:ascii="Arial" w:cs="Arial" w:eastAsia="Arial" w:hAnsi="Arial"/>
                <w:sz w:val="16"/>
                <w:szCs w:val="16"/>
                <w:color w:val="0000EE"/>
                <w:w w:val="90"/>
              </w:rPr>
            </w:pPr>
            <w:hyperlink w:anchor="page4">
              <w:r>
                <w:rPr>
                  <w:rFonts w:ascii="Arial" w:cs="Arial" w:eastAsia="Arial" w:hAnsi="Arial"/>
                  <w:sz w:val="16"/>
                  <w:szCs w:val="16"/>
                  <w:color w:val="0000EE"/>
                  <w:w w:val="90"/>
                </w:rPr>
                <w:t>Consolidated Statements of Comprehensive Income (Loss) for the Three and Nine Months Ended September 30, 2014 and 2013</w:t>
              </w:r>
            </w:hyperlink>
          </w:p>
        </w:tc>
        <w:tc>
          <w:tcPr>
            <w:tcW w:w="1320" w:type="dxa"/>
            <w:vAlign w:val="bottom"/>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
              <w:r>
                <w:rPr>
                  <w:rFonts w:ascii="Arial" w:cs="Arial" w:eastAsia="Arial" w:hAnsi="Arial"/>
                  <w:sz w:val="17"/>
                  <w:szCs w:val="17"/>
                  <w:color w:val="0000EE"/>
                </w:rPr>
                <w:t>5</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300" w:type="dxa"/>
            <w:vAlign w:val="bottom"/>
            <w:gridSpan w:val="14"/>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Statements of Cash Flows for the Nine Months Ended September 30, 2014 and 2013</w:t>
              </w:r>
            </w:hyperlink>
          </w:p>
        </w:tc>
        <w:tc>
          <w:tcPr>
            <w:tcW w:w="1320" w:type="dxa"/>
            <w:vAlign w:val="bottom"/>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5">
              <w:r>
                <w:rPr>
                  <w:rFonts w:ascii="Arial" w:cs="Arial" w:eastAsia="Arial" w:hAnsi="Arial"/>
                  <w:sz w:val="17"/>
                  <w:szCs w:val="17"/>
                  <w:color w:val="0000EE"/>
                </w:rPr>
                <w:t>6</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360" w:type="dxa"/>
            <w:vAlign w:val="bottom"/>
            <w:gridSpan w:val="12"/>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Notes to the Unaudited Consolidated Financial Statements</w:t>
              </w:r>
            </w:hyperlink>
          </w:p>
        </w:tc>
        <w:tc>
          <w:tcPr>
            <w:tcW w:w="3260" w:type="dxa"/>
            <w:vAlign w:val="bottom"/>
            <w:gridSpan w:val="3"/>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7">
              <w:r>
                <w:rPr>
                  <w:rFonts w:ascii="Arial" w:cs="Arial" w:eastAsia="Arial" w:hAnsi="Arial"/>
                  <w:sz w:val="17"/>
                  <w:szCs w:val="17"/>
                  <w:color w:val="0000EE"/>
                </w:rPr>
                <w:t>7</w:t>
              </w:r>
            </w:hyperlink>
          </w:p>
        </w:tc>
      </w:tr>
      <w:tr>
        <w:trPr>
          <w:trHeight w:val="20"/>
        </w:trPr>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2.</w:t>
            </w:r>
          </w:p>
        </w:tc>
        <w:tc>
          <w:tcPr>
            <w:tcW w:w="620" w:type="dxa"/>
            <w:vAlign w:val="bottom"/>
            <w:gridSpan w:val="2"/>
          </w:tcPr>
          <w:p>
            <w:pPr>
              <w:spacing w:after="0"/>
              <w:rPr>
                <w:sz w:val="21"/>
                <w:szCs w:val="21"/>
                <w:color w:val="auto"/>
              </w:rPr>
            </w:pPr>
          </w:p>
        </w:tc>
        <w:tc>
          <w:tcPr>
            <w:tcW w:w="5800" w:type="dxa"/>
            <w:vAlign w:val="bottom"/>
            <w:gridSpan w:val="11"/>
          </w:tcPr>
          <w:p>
            <w:pPr>
              <w:spacing w:after="0"/>
              <w:rPr>
                <w:rFonts w:ascii="Arial" w:cs="Arial" w:eastAsia="Arial" w:hAnsi="Arial"/>
                <w:sz w:val="16"/>
                <w:szCs w:val="16"/>
                <w:color w:val="0000EE"/>
                <w:w w:val="91"/>
              </w:rPr>
            </w:pPr>
            <w:hyperlink w:anchor="page19">
              <w:r>
                <w:rPr>
                  <w:rFonts w:ascii="Arial" w:cs="Arial" w:eastAsia="Arial" w:hAnsi="Arial"/>
                  <w:sz w:val="16"/>
                  <w:szCs w:val="16"/>
                  <w:color w:val="0000EE"/>
                  <w:w w:val="91"/>
                </w:rPr>
                <w:t>Management's Discussion and Analysis of Financial Condition and Results of Operations</w:t>
              </w:r>
            </w:hyperlink>
          </w:p>
        </w:tc>
        <w:tc>
          <w:tcPr>
            <w:tcW w:w="3820" w:type="dxa"/>
            <w:vAlign w:val="bottom"/>
            <w:gridSpan w:val="4"/>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19">
              <w:r>
                <w:rPr>
                  <w:rFonts w:ascii="Arial" w:cs="Arial" w:eastAsia="Arial" w:hAnsi="Arial"/>
                  <w:sz w:val="17"/>
                  <w:szCs w:val="17"/>
                  <w:color w:val="0000EE"/>
                </w:rPr>
                <w:t>19</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3.</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Arial" w:cs="Arial" w:eastAsia="Arial" w:hAnsi="Arial"/>
                <w:sz w:val="16"/>
                <w:szCs w:val="16"/>
                <w:color w:val="0000EE"/>
                <w:w w:val="92"/>
              </w:rPr>
            </w:pPr>
            <w:hyperlink w:anchor="page39">
              <w:r>
                <w:rPr>
                  <w:rFonts w:ascii="Arial" w:cs="Arial" w:eastAsia="Arial" w:hAnsi="Arial"/>
                  <w:sz w:val="16"/>
                  <w:szCs w:val="16"/>
                  <w:color w:val="0000EE"/>
                  <w:w w:val="92"/>
                </w:rPr>
                <w:t>Quantitative and Qualitative Disclosures About Market Risk</w:t>
              </w:r>
            </w:hyperlink>
          </w:p>
        </w:tc>
        <w:tc>
          <w:tcPr>
            <w:tcW w:w="1900" w:type="dxa"/>
            <w:vAlign w:val="bottom"/>
            <w:gridSpan w:val="2"/>
          </w:tcPr>
          <w:p>
            <w:pPr>
              <w:spacing w:after="0"/>
              <w:rPr>
                <w:sz w:val="20"/>
                <w:szCs w:val="20"/>
                <w:color w:val="auto"/>
              </w:rPr>
            </w:pPr>
          </w:p>
        </w:tc>
        <w:tc>
          <w:tcPr>
            <w:tcW w:w="3820" w:type="dxa"/>
            <w:vAlign w:val="bottom"/>
            <w:gridSpan w:val="4"/>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9">
              <w:r>
                <w:rPr>
                  <w:rFonts w:ascii="Arial" w:cs="Arial" w:eastAsia="Arial" w:hAnsi="Arial"/>
                  <w:sz w:val="17"/>
                  <w:szCs w:val="17"/>
                  <w:color w:val="0000EE"/>
                </w:rPr>
                <w:t>39</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5720" w:type="dxa"/>
            <w:vAlign w:val="bottom"/>
            <w:tcBorders>
              <w:left w:val="single" w:sz="8" w:color="0000EE"/>
            </w:tcBorders>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4.</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Controls and Procedures</w:t>
              </w:r>
            </w:hyperlink>
          </w:p>
        </w:tc>
        <w:tc>
          <w:tcPr>
            <w:tcW w:w="5720" w:type="dxa"/>
            <w:vAlign w:val="bottom"/>
            <w:gridSpan w:val="6"/>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0">
              <w:r>
                <w:rPr>
                  <w:rFonts w:ascii="Arial" w:cs="Arial" w:eastAsia="Arial" w:hAnsi="Arial"/>
                  <w:sz w:val="17"/>
                  <w:szCs w:val="17"/>
                  <w:color w:val="0000EE"/>
                </w:rPr>
                <w:t>40</w:t>
              </w:r>
            </w:hyperlink>
          </w:p>
        </w:tc>
      </w:tr>
      <w:tr>
        <w:trPr>
          <w:trHeight w:val="20"/>
        </w:trPr>
        <w:tc>
          <w:tcPr>
            <w:tcW w:w="4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2660" w:type="dxa"/>
            <w:vAlign w:val="bottom"/>
            <w:tcBorders>
              <w:bottom w:val="single" w:sz="8" w:color="0000EE"/>
            </w:tcBorders>
            <w:gridSpan w:val="9"/>
          </w:tcPr>
          <w:p>
            <w:pPr>
              <w:spacing w:after="0"/>
              <w:rPr>
                <w:rFonts w:ascii="Arial" w:cs="Arial" w:eastAsia="Arial" w:hAnsi="Arial"/>
                <w:sz w:val="17"/>
                <w:szCs w:val="17"/>
                <w:b w:val="1"/>
                <w:bCs w:val="1"/>
                <w:color w:val="0000EE"/>
              </w:rPr>
            </w:pPr>
            <w:hyperlink w:anchor="page41">
              <w:r>
                <w:rPr>
                  <w:rFonts w:ascii="Arial" w:cs="Arial" w:eastAsia="Arial" w:hAnsi="Arial"/>
                  <w:sz w:val="17"/>
                  <w:szCs w:val="17"/>
                  <w:b w:val="1"/>
                  <w:bCs w:val="1"/>
                  <w:color w:val="0000EE"/>
                </w:rPr>
                <w:t>PART II—OTHER INFORMATION</w:t>
              </w:r>
            </w:hyperlink>
          </w:p>
        </w:tc>
        <w:tc>
          <w:tcPr>
            <w:tcW w:w="8040" w:type="dxa"/>
            <w:vAlign w:val="bottom"/>
            <w:gridSpan w:val="10"/>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1.</w:t>
            </w:r>
          </w:p>
        </w:tc>
        <w:tc>
          <w:tcPr>
            <w:tcW w:w="620" w:type="dxa"/>
            <w:vAlign w:val="bottom"/>
            <w:gridSpan w:val="2"/>
          </w:tcPr>
          <w:p>
            <w:pPr>
              <w:spacing w:after="0"/>
              <w:rPr>
                <w:sz w:val="21"/>
                <w:szCs w:val="21"/>
                <w:color w:val="auto"/>
              </w:rPr>
            </w:pPr>
          </w:p>
        </w:tc>
        <w:tc>
          <w:tcPr>
            <w:tcW w:w="1200" w:type="dxa"/>
            <w:vAlign w:val="bottom"/>
            <w:gridSpan w:val="4"/>
          </w:tcPr>
          <w:p>
            <w:pPr>
              <w:spacing w:after="0"/>
              <w:rPr>
                <w:rFonts w:ascii="Arial" w:cs="Arial" w:eastAsia="Arial" w:hAnsi="Arial"/>
                <w:sz w:val="16"/>
                <w:szCs w:val="16"/>
                <w:color w:val="0000EE"/>
                <w:w w:val="89"/>
              </w:rPr>
            </w:pPr>
            <w:hyperlink w:anchor="page41">
              <w:r>
                <w:rPr>
                  <w:rFonts w:ascii="Arial" w:cs="Arial" w:eastAsia="Arial" w:hAnsi="Arial"/>
                  <w:sz w:val="16"/>
                  <w:szCs w:val="16"/>
                  <w:color w:val="0000EE"/>
                  <w:w w:val="89"/>
                </w:rPr>
                <w:t>Legal Proceedings</w:t>
              </w:r>
            </w:hyperlink>
          </w:p>
        </w:tc>
        <w:tc>
          <w:tcPr>
            <w:tcW w:w="8420" w:type="dxa"/>
            <w:vAlign w:val="bottom"/>
            <w:gridSpan w:val="11"/>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1">
              <w:r>
                <w:rPr>
                  <w:rFonts w:ascii="Arial" w:cs="Arial" w:eastAsia="Arial" w:hAnsi="Arial"/>
                  <w:sz w:val="17"/>
                  <w:szCs w:val="17"/>
                  <w:color w:val="0000EE"/>
                </w:rPr>
                <w:t>40</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1080" w:type="dxa"/>
            <w:vAlign w:val="bottom"/>
            <w:gridSpan w:val="4"/>
          </w:tcPr>
          <w:p>
            <w:pPr>
              <w:spacing w:after="0"/>
              <w:rPr>
                <w:sz w:val="20"/>
                <w:szCs w:val="20"/>
                <w:color w:val="auto"/>
              </w:rPr>
            </w:pPr>
            <w:r>
              <w:rPr>
                <w:rFonts w:ascii="Arial" w:cs="Arial" w:eastAsia="Arial" w:hAnsi="Arial"/>
                <w:sz w:val="16"/>
                <w:szCs w:val="16"/>
                <w:color w:val="auto"/>
              </w:rPr>
              <w:t>Item 1A.</w:t>
            </w:r>
          </w:p>
        </w:tc>
        <w:tc>
          <w:tcPr>
            <w:tcW w:w="9620" w:type="dxa"/>
            <w:vAlign w:val="bottom"/>
            <w:gridSpan w:val="15"/>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Risk Factors</w:t>
              </w:r>
            </w:hyperlink>
          </w:p>
        </w:tc>
        <w:tc>
          <w:tcPr>
            <w:tcW w:w="340" w:type="dxa"/>
            <w:vAlign w:val="bottom"/>
            <w:gridSpan w:val="3"/>
          </w:tcPr>
          <w:p>
            <w:pPr>
              <w:jc w:val="right"/>
              <w:spacing w:after="0"/>
              <w:rPr>
                <w:rFonts w:ascii="Arial" w:cs="Arial" w:eastAsia="Arial" w:hAnsi="Arial"/>
                <w:sz w:val="17"/>
                <w:szCs w:val="17"/>
                <w:color w:val="0000EE"/>
              </w:rPr>
            </w:pPr>
            <w:hyperlink w:anchor="page41">
              <w:r>
                <w:rPr>
                  <w:rFonts w:ascii="Arial" w:cs="Arial" w:eastAsia="Arial" w:hAnsi="Arial"/>
                  <w:sz w:val="17"/>
                  <w:szCs w:val="17"/>
                  <w:color w:val="0000EE"/>
                </w:rPr>
                <w:t>41</w:t>
              </w:r>
            </w:hyperlink>
          </w:p>
        </w:tc>
      </w:tr>
      <w:tr>
        <w:trPr>
          <w:trHeight w:val="20"/>
        </w:trPr>
        <w:tc>
          <w:tcPr>
            <w:tcW w:w="560" w:type="dxa"/>
            <w:vAlign w:val="bottom"/>
            <w:gridSpan w:val="3"/>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20" w:type="dxa"/>
            <w:vAlign w:val="bottom"/>
            <w:gridSpan w:val="15"/>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Unregistered Sales of Equity Securities and Use of Proceeds</w:t>
              </w:r>
            </w:hyperlink>
          </w:p>
        </w:tc>
        <w:tc>
          <w:tcPr>
            <w:tcW w:w="340" w:type="dxa"/>
            <w:vAlign w:val="bottom"/>
            <w:gridSpan w:val="3"/>
          </w:tcPr>
          <w:p>
            <w:pPr>
              <w:jc w:val="right"/>
              <w:spacing w:after="0"/>
              <w:rPr>
                <w:rFonts w:ascii="Arial" w:cs="Arial" w:eastAsia="Arial" w:hAnsi="Arial"/>
                <w:sz w:val="17"/>
                <w:szCs w:val="17"/>
                <w:color w:val="0000EE"/>
              </w:rPr>
            </w:pPr>
            <w:hyperlink w:anchor="page42">
              <w:r>
                <w:rPr>
                  <w:rFonts w:ascii="Arial" w:cs="Arial" w:eastAsia="Arial" w:hAnsi="Arial"/>
                  <w:sz w:val="17"/>
                  <w:szCs w:val="17"/>
                  <w:color w:val="0000EE"/>
                </w:rPr>
                <w:t>41</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20" w:type="dxa"/>
            <w:vAlign w:val="bottom"/>
            <w:gridSpan w:val="7"/>
            <w:shd w:val="clear" w:color="auto" w:fill="0000EE"/>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6.</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Exhibits</w:t>
              </w:r>
            </w:hyperlink>
          </w:p>
        </w:tc>
        <w:tc>
          <w:tcPr>
            <w:tcW w:w="5720" w:type="dxa"/>
            <w:vAlign w:val="bottom"/>
            <w:gridSpan w:val="6"/>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2">
              <w:r>
                <w:rPr>
                  <w:rFonts w:ascii="Arial" w:cs="Arial" w:eastAsia="Arial" w:hAnsi="Arial"/>
                  <w:sz w:val="17"/>
                  <w:szCs w:val="17"/>
                  <w:color w:val="0000EE"/>
                </w:rPr>
                <w:t>42</w:t>
              </w:r>
            </w:hyperlink>
          </w:p>
        </w:tc>
      </w:tr>
      <w:tr>
        <w:trPr>
          <w:trHeight w:val="20"/>
        </w:trPr>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940" w:type="dxa"/>
            <w:vAlign w:val="bottom"/>
            <w:gridSpan w:val="1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5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gridSpan w:val="2"/>
          </w:tcPr>
          <w:p>
            <w:pPr>
              <w:spacing w:after="0"/>
              <w:rPr>
                <w:rFonts w:ascii="Arial" w:cs="Arial" w:eastAsia="Arial" w:hAnsi="Arial"/>
                <w:sz w:val="16"/>
                <w:szCs w:val="16"/>
                <w:color w:val="0000EE"/>
                <w:w w:val="86"/>
              </w:rPr>
            </w:pPr>
            <w:hyperlink w:anchor="page43">
              <w:r>
                <w:rPr>
                  <w:rFonts w:ascii="Arial" w:cs="Arial" w:eastAsia="Arial" w:hAnsi="Arial"/>
                  <w:sz w:val="16"/>
                  <w:szCs w:val="16"/>
                  <w:color w:val="0000EE"/>
                  <w:w w:val="86"/>
                </w:rPr>
                <w:t>Signatures</w:t>
              </w:r>
            </w:hyperlink>
          </w:p>
        </w:tc>
        <w:tc>
          <w:tcPr>
            <w:tcW w:w="8940" w:type="dxa"/>
            <w:vAlign w:val="bottom"/>
            <w:gridSpan w:val="13"/>
          </w:tcPr>
          <w:p>
            <w:pPr>
              <w:spacing w:after="0"/>
              <w:rPr>
                <w:sz w:val="24"/>
                <w:szCs w:val="24"/>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3">
              <w:r>
                <w:rPr>
                  <w:rFonts w:ascii="Arial" w:cs="Arial" w:eastAsia="Arial" w:hAnsi="Arial"/>
                  <w:sz w:val="17"/>
                  <w:szCs w:val="17"/>
                  <w:color w:val="0000EE"/>
                </w:rPr>
                <w:t>43</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ectPr>
          <w:pgSz w:w="11900" w:h="16838" w:orient="portrait"/>
          <w:cols w:equalWidth="0" w:num="1">
            <w:col w:w="11040"/>
          </w:cols>
          <w:pgMar w:left="440" w:top="364" w:right="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3"/>
                <w:szCs w:val="13"/>
                <w:color w:val="auto"/>
              </w:rPr>
            </w:pPr>
          </w:p>
        </w:tc>
        <w:tc>
          <w:tcPr>
            <w:tcW w:w="110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451,187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209,826</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59,157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77,987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 PINs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68,760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92,757</w:t>
            </w:r>
          </w:p>
        </w:tc>
        <w:tc>
          <w:tcPr>
            <w:tcW w:w="0" w:type="dxa"/>
            <w:vAlign w:val="bottom"/>
          </w:tcPr>
          <w:p>
            <w:pPr>
              <w:spacing w:after="0"/>
              <w:rPr>
                <w:sz w:val="1"/>
                <w:szCs w:val="1"/>
                <w:color w:val="auto"/>
              </w:rPr>
            </w:pP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1"/>
              </w:rPr>
              <w:t>Trade accounts receivable, net of allowances for doubtful accounts of $22,923 at September 30, 2014 and $22,079</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at December 31, 2013</w:t>
            </w: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321,361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390,563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103,954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69,242</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1,004,419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840,375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Property and equipment, net of accumulated depreciation of $243,617 at September 30, 2014 and $231,327 at December</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31, 2013</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123,359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116,230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619,285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498,435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Acquired intangible assets, net of accumulated amortization of $110,131 at September 30, 2014 and $132,927 at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December 31, 2013</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170,184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93,026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w w:val="93"/>
              </w:rPr>
              <w:t>Other assets, net of accumulated amortization of $28,611 at September 30, 2014 and $25,363 at December 31, 2013</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48,786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50,049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1,966,033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1,598,115</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385,615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457,274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371,707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213,284</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Current portion of capital lease obligations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2,332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10,903</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16,572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15,656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32,533</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813,170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732,011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364,910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188,510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Capital lease obligations, net of current portion</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1,892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37,888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17,695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17,922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18,572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1,235,782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959,660</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Equity:</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Common Stock, $0.02 par value. 90,000,000 shares authorized; 56,265,576 issued at September 30, 2014 and</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54,276,761 issued at December 31, 2013</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Additional paid-in-capital</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885,200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809,640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Treasury stock, at cost, 3,669,074 shares at September 30, 2014 and 3,650,519 shares at December 31, 2013</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(68,122)</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(96,029)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(10,453)</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728,198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636,122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37"/>
        </w:trPr>
        <w:tc>
          <w:tcPr>
            <w:tcW w:w="8800" w:type="dxa"/>
            <w:vAlign w:val="bottom"/>
          </w:tcPr>
          <w:p>
            <w:pPr>
              <w:ind w:left="820"/>
              <w:spacing w:after="0"/>
              <w:rPr>
                <w:sz w:val="20"/>
                <w:szCs w:val="20"/>
                <w:color w:val="auto"/>
              </w:rPr>
            </w:pPr>
            <w:r>
              <w:rPr>
                <w:rFonts w:ascii="Arial" w:cs="Arial" w:eastAsia="Arial" w:hAnsi="Arial"/>
                <w:sz w:val="18"/>
                <w:szCs w:val="18"/>
                <w:color w:val="auto"/>
              </w:rPr>
              <w:t>Total equity</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730,251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638,455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1,966,033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1,598,115</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125" w:right="239" w:bottom="314"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314"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240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2400" w:type="dxa"/>
            <w:vAlign w:val="bottom"/>
            <w:gridSpan w:val="4"/>
          </w:tcPr>
          <w:p>
            <w:pPr>
              <w:jc w:val="right"/>
              <w:ind w:right="771"/>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46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8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453,422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360,580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1,202,199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1,037,767</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6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274,814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223,551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743,789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656,933</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64,587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52,819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178,529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153,298</w:t>
            </w:r>
          </w:p>
        </w:tc>
      </w:tr>
      <w:tr>
        <w:trPr>
          <w:trHeight w:val="27"/>
        </w:trPr>
        <w:tc>
          <w:tcPr>
            <w:tcW w:w="5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117,820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95,714</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Acquisition-related contingent consideration gain</w:t>
            </w: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(19,319)</w:t>
            </w:r>
          </w:p>
        </w:tc>
      </w:tr>
      <w:tr>
        <w:trPr>
          <w:trHeight w:val="27"/>
        </w:trPr>
        <w:tc>
          <w:tcPr>
            <w:tcW w:w="5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6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19,321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52,819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48,838</w:t>
            </w:r>
          </w:p>
        </w:tc>
      </w:tr>
      <w:tr>
        <w:trPr>
          <w:trHeight w:val="237"/>
        </w:trPr>
        <w:tc>
          <w:tcPr>
            <w:tcW w:w="546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6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402,690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305,235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1,092,957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935,464</w:t>
            </w:r>
          </w:p>
        </w:tc>
      </w:tr>
      <w:tr>
        <w:trPr>
          <w:trHeight w:val="27"/>
        </w:trPr>
        <w:tc>
          <w:tcPr>
            <w:tcW w:w="54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6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50,732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55,345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109,242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102,303</w:t>
            </w:r>
          </w:p>
        </w:tc>
      </w:tr>
      <w:tr>
        <w:trPr>
          <w:trHeight w:val="237"/>
        </w:trPr>
        <w:tc>
          <w:tcPr>
            <w:tcW w:w="54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6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6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1,438</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(8,372)</w:t>
            </w:r>
          </w:p>
        </w:tc>
      </w:tr>
      <w:tr>
        <w:trPr>
          <w:trHeight w:val="27"/>
        </w:trPr>
        <w:tc>
          <w:tcPr>
            <w:tcW w:w="5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income from unconsolidated affiliates</w:t>
            </w:r>
          </w:p>
        </w:tc>
        <w:tc>
          <w:tcPr>
            <w:tcW w:w="6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Foreign currency exchange (loss) gain, net</w:t>
            </w: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2,899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2,658</w:t>
            </w:r>
          </w:p>
        </w:tc>
      </w:tr>
      <w:tr>
        <w:trPr>
          <w:trHeight w:val="27"/>
        </w:trPr>
        <w:tc>
          <w:tcPr>
            <w:tcW w:w="5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gains</w:t>
            </w:r>
          </w:p>
        </w:tc>
        <w:tc>
          <w:tcPr>
            <w:tcW w:w="6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2,397</w:t>
            </w:r>
          </w:p>
        </w:tc>
      </w:tr>
      <w:tr>
        <w:trPr>
          <w:trHeight w:val="237"/>
        </w:trPr>
        <w:tc>
          <w:tcPr>
            <w:tcW w:w="5460" w:type="dxa"/>
            <w:vAlign w:val="bottom"/>
          </w:tcPr>
          <w:p>
            <w:pPr>
              <w:ind w:left="600"/>
              <w:spacing w:after="0"/>
              <w:rPr>
                <w:sz w:val="20"/>
                <w:szCs w:val="20"/>
                <w:color w:val="auto"/>
              </w:rPr>
            </w:pPr>
            <w:r>
              <w:rPr>
                <w:rFonts w:ascii="Arial" w:cs="Arial" w:eastAsia="Arial" w:hAnsi="Arial"/>
                <w:sz w:val="18"/>
                <w:szCs w:val="18"/>
                <w:color w:val="auto"/>
              </w:rPr>
              <w:t>Other (expense) income, net</w:t>
            </w:r>
          </w:p>
        </w:tc>
        <w:tc>
          <w:tcPr>
            <w:tcW w:w="6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3,297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(10,651)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(1,619)</w:t>
            </w:r>
          </w:p>
        </w:tc>
      </w:tr>
      <w:tr>
        <w:trPr>
          <w:trHeight w:val="27"/>
        </w:trPr>
        <w:tc>
          <w:tcPr>
            <w:tcW w:w="5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6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47,739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58,642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98,591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100,684</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(22,485)</w:t>
            </w:r>
          </w:p>
        </w:tc>
      </w:tr>
      <w:tr>
        <w:trPr>
          <w:trHeight w:val="27"/>
        </w:trPr>
        <w:tc>
          <w:tcPr>
            <w:tcW w:w="54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6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34,909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47,974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71,330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78,199</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Net loss (income) attributable to noncontrolling interests</w:t>
            </w: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7"/>
        </w:trPr>
        <w:tc>
          <w:tcPr>
            <w:tcW w:w="54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Euronet Worldwide, Inc.</w:t>
            </w:r>
          </w:p>
        </w:tc>
        <w:tc>
          <w:tcPr>
            <w:tcW w:w="8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35,037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47,874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71,561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77,991</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5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Earnings per share attributable to Euronet Worldwide, Inc. stockholders:</w:t>
            </w:r>
          </w:p>
        </w:tc>
        <w:tc>
          <w:tcPr>
            <w:tcW w:w="6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304"/>
        </w:trPr>
        <w:tc>
          <w:tcPr>
            <w:tcW w:w="5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6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0.67</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0.96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1.57</w:t>
            </w:r>
          </w:p>
        </w:tc>
      </w:tr>
      <w:tr>
        <w:trPr>
          <w:trHeight w:val="251"/>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8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0.64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0.92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6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304"/>
        </w:trPr>
        <w:tc>
          <w:tcPr>
            <w:tcW w:w="5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6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52,512,474</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50,093,786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51,658,823</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49,829,379</w:t>
            </w:r>
          </w:p>
        </w:tc>
      </w:tr>
      <w:tr>
        <w:trPr>
          <w:trHeight w:val="251"/>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6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54,619,793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52,200,472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53,740,151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51,579,644</w:t>
            </w:r>
          </w:p>
        </w:tc>
      </w:tr>
      <w:tr>
        <w:trPr>
          <w:trHeight w:val="20"/>
        </w:trPr>
        <w:tc>
          <w:tcPr>
            <w:tcW w:w="606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8800" w:type="dxa"/>
            <w:vAlign w:val="bottom"/>
            <w:gridSpan w:val="8"/>
          </w:tcPr>
          <w:p>
            <w:pPr>
              <w:jc w:val="center"/>
              <w:ind w:left="2530"/>
              <w:spacing w:after="0"/>
              <w:rPr>
                <w:sz w:val="20"/>
                <w:szCs w:val="20"/>
                <w:color w:val="auto"/>
              </w:rPr>
            </w:pPr>
            <w:r>
              <w:rPr>
                <w:rFonts w:ascii="Arial" w:cs="Arial" w:eastAsia="Arial" w:hAnsi="Arial"/>
                <w:sz w:val="18"/>
                <w:szCs w:val="18"/>
                <w:color w:val="auto"/>
                <w:w w:val="89"/>
              </w:rPr>
              <w:t>See accompanying notes to the unaudited consolidated financial statements.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59"/>
        </w:trPr>
        <w:tc>
          <w:tcPr>
            <w:tcW w:w="5460" w:type="dxa"/>
            <w:vAlign w:val="bottom"/>
          </w:tcPr>
          <w:p>
            <w:pPr>
              <w:spacing w:after="0"/>
              <w:rPr>
                <w:sz w:val="24"/>
                <w:szCs w:val="24"/>
                <w:color w:val="auto"/>
              </w:rPr>
            </w:pPr>
          </w:p>
        </w:tc>
        <w:tc>
          <w:tcPr>
            <w:tcW w:w="600" w:type="dxa"/>
            <w:vAlign w:val="bottom"/>
          </w:tcPr>
          <w:p>
            <w:pPr>
              <w:jc w:val="right"/>
              <w:ind w:right="21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80" w:right="2640"/>
        <w:spacing w:after="0" w:line="266" w:lineRule="auto"/>
        <w:rPr>
          <w:sz w:val="20"/>
          <w:szCs w:val="20"/>
          <w:color w:val="auto"/>
        </w:rPr>
      </w:pPr>
      <w:r>
        <w:rPr>
          <w:rFonts w:ascii="Arial" w:cs="Arial" w:eastAsia="Arial" w:hAnsi="Arial"/>
          <w:sz w:val="18"/>
          <w:szCs w:val="18"/>
          <w:b w:val="1"/>
          <w:bCs w:val="1"/>
          <w:color w:val="auto"/>
        </w:rPr>
        <w:t>EURONET WORLDWIDE, INC. AND SUBSIDIARIES CONSOLIDATED STATEMENTS OF COMPREHENSIVE INCOME (LOSS) (Unaudited,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2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34,909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71,330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78,199</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Translation adjustment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(61,557)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22,072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(54,221)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(6,004)</w:t>
            </w:r>
          </w:p>
        </w:tc>
      </w:tr>
      <w:tr>
        <w:trPr>
          <w:trHeight w:val="27"/>
        </w:trPr>
        <w:tc>
          <w:tcPr>
            <w:tcW w:w="6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(loss)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(26,648)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70,046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17,109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72,195</w:t>
            </w:r>
          </w:p>
        </w:tc>
      </w:tr>
      <w:tr>
        <w:trPr>
          <w:trHeight w:val="243"/>
        </w:trPr>
        <w:tc>
          <w:tcPr>
            <w:tcW w:w="6500" w:type="dxa"/>
            <w:vAlign w:val="bottom"/>
          </w:tcPr>
          <w:p>
            <w:pPr>
              <w:ind w:left="380"/>
              <w:spacing w:after="0"/>
              <w:rPr>
                <w:sz w:val="20"/>
                <w:szCs w:val="20"/>
                <w:color w:val="auto"/>
              </w:rPr>
            </w:pPr>
            <w:r>
              <w:rPr>
                <w:rFonts w:ascii="Arial" w:cs="Arial" w:eastAsia="Arial" w:hAnsi="Arial"/>
                <w:sz w:val="18"/>
                <w:szCs w:val="18"/>
                <w:color w:val="auto"/>
              </w:rPr>
              <w:t>Comprehensive loss (income) attributable to noncontrolling interests</w:t>
            </w:r>
          </w:p>
        </w:tc>
        <w:tc>
          <w:tcPr>
            <w:tcW w:w="28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7"/>
        </w:trPr>
        <w:tc>
          <w:tcPr>
            <w:tcW w:w="6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(loss) income attributable to Euronet Worldwide,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69,839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17,480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71,889</w:t>
            </w:r>
          </w:p>
        </w:tc>
      </w:tr>
      <w:tr>
        <w:trPr>
          <w:trHeight w:val="20"/>
        </w:trPr>
        <w:tc>
          <w:tcPr>
            <w:tcW w:w="6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2013</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78,199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48,838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9,631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9,012</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foreign exchange loss (gain),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(income) from unconsolidated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797</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 gain</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(19,319)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Gain on sale of equity method investment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(2,827)</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working capital, net of amounts acquired: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Income taxes payable, net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3,181</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Inventory — PINs and other</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20,287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37,599</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50,767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8,782</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(128,449)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(6,697)</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66,097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Changes in noncurrent assets and liabilities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2,389</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224,639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150,564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net of cash acquired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(30,847)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(45,673)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(27,631)</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other long-term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sale of equity method investment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7,609</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731</w:t>
            </w:r>
          </w:p>
        </w:tc>
      </w:tr>
      <w:tr>
        <w:trPr>
          <w:trHeight w:val="237"/>
        </w:trPr>
        <w:tc>
          <w:tcPr>
            <w:tcW w:w="858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(134,433)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(54,994)</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issuance of shares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7,360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7,487</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from revolving credit agreements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2,001,386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1,508,463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Repayments of revolving credit agreements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(1,833,796)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(1,550,329)</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long-term debt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Repayments of long-term debt obligations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(8,086)</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capital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Borrowings from short-term debt obligations, net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subsidiary shares from noncontrolling interests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179,143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(52,522)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(27,988)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241,361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43,036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209,826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201,435</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97"/>
        </w:trPr>
        <w:tc>
          <w:tcPr>
            <w:tcW w:w="858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451,187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244,471</w:t>
            </w:r>
          </w:p>
        </w:tc>
      </w:tr>
      <w:tr>
        <w:trPr>
          <w:trHeight w:val="284"/>
        </w:trPr>
        <w:tc>
          <w:tcPr>
            <w:tcW w:w="8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paid during the period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Income taxes paid during the period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29,645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23,227</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Equity issued in connection with acquisitions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56,554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5,296</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consideration in connection with acquisition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21,725</w:t>
            </w:r>
          </w:p>
        </w:tc>
      </w:tr>
      <w:tr>
        <w:trPr>
          <w:trHeight w:val="230"/>
        </w:trPr>
        <w:tc>
          <w:tcPr>
            <w:tcW w:w="8580" w:type="dxa"/>
            <w:vAlign w:val="bottom"/>
          </w:tcPr>
          <w:p>
            <w:pPr>
              <w:ind w:left="2980"/>
              <w:spacing w:after="0"/>
              <w:rPr>
                <w:sz w:val="20"/>
                <w:szCs w:val="20"/>
                <w:color w:val="auto"/>
              </w:rPr>
            </w:pPr>
            <w:r>
              <w:rPr>
                <w:rFonts w:ascii="Arial" w:cs="Arial" w:eastAsia="Arial" w:hAnsi="Arial"/>
                <w:sz w:val="18"/>
                <w:szCs w:val="18"/>
                <w:color w:val="auto"/>
                <w:w w:val="91"/>
              </w:rPr>
              <w:t>See accompanying notes to the unaudited consolidated financial statements.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ectPr>
          <w:pgSz w:w="11900" w:h="16838" w:orient="portrait"/>
          <w:cols w:equalWidth="0" w:num="1">
            <w:col w:w="11420"/>
          </w:cols>
          <w:pgMar w:left="240" w:top="125" w:right="239" w:bottom="89" w:gutter="0" w:footer="0" w:header="0"/>
        </w:sectPr>
      </w:pPr>
    </w:p>
    <w:bookmarkStart w:id="6" w:name="page7"/>
    <w:bookmarkEnd w:id="6"/>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19"/>
          </w:cols>
          <w:pgMar w:left="1440" w:top="125" w:right="1440"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Euronet Worldwide, Inc. (together with its subsidiaries, the “Company” or “Euronet”) was established as a Delaware corporation on December 13, 1997 and succeeded Euronet Holding N.V. as the group holding company, which was founded and established in 1994. Euronet is a leading electronic payments provider. Euronet offers payment and transaction processing and distribution solutions to financial institutions, retailers, service providers and individual consumers. Euronet's primary product offerings include comprehensive automated teller machine (“ATM”), point-of-sale (“POS”), card outsourcing, card issuing and merchant acquiring services; electronic distribution of prepaid mobile airtime and other electronic payment products; and global money transfer services.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of normal interim closing procedures) necessary to present fairly on a consolidated basis the financial position of the Company as of September 30, 2014, the results of its operations for the three and nine months ended September 30, 2014 and 2013 and cash flows for the nine months ended September 30, 2014 and 2013. The unaudited consolidated financial statements should be read in conjunction with the audited consolidated financial statements of the Company for the year ended December 31, 2013, including the notes thereto, set forth in the Company’s 2013 Annual Report on Form 10-K.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reported period. Actual results could differ from those estimates. The results of operations for interim periods are not necessarily indicative of the results to be expected for the full year ending December 31, 2014.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Euronet’s EFT Processing segment and epay segment are significantly impacted by seasonality during the fourth quarter and first quarter of each year due to higher transaction levels during the holiday season and lower levels following the holiday season. Additionally, mostly in Europe, the EFT Processing business experiences its heaviest demand for dynamic currency conversion services during the third quarter of the fiscal year, coinciding with the tourist season. Seasonality in the money transfer segment varies by regions of the world. In most markets, Euronet usually experiences increased demand for money transfer services from the month of May through the fourth quarter of each year, coinciding with the increase in worker migration patterns and various holidays, and experiences its lowest transaction levels during the first quarter of each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AND ADOPTED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("ASU 2014-09"), which requires an entity to recognize the amount of revenue to which it expects to be entitled for the transfer of promised goods</w:t>
      </w:r>
      <w:r>
        <w:rPr>
          <w:rFonts w:ascii="Arial" w:cs="Arial" w:eastAsia="Arial" w:hAnsi="Arial"/>
          <w:sz w:val="16"/>
          <w:szCs w:val="16"/>
          <w:i w:val="1"/>
          <w:iCs w:val="1"/>
          <w:color w:val="auto"/>
        </w:rPr>
        <w:t xml:space="preserve"> </w:t>
      </w:r>
      <w:r>
        <w:rPr>
          <w:rFonts w:ascii="Arial" w:cs="Arial" w:eastAsia="Arial" w:hAnsi="Arial"/>
          <w:sz w:val="16"/>
          <w:szCs w:val="16"/>
          <w:color w:val="auto"/>
        </w:rPr>
        <w:t>or services to customers. ASU 2014-09 will replace most existing revenue recognition guidance in U.S. GAAP when it becomes effective. The new standard will become effective for the Company on January 1, 2017 and early adoption is not permitted. The standard permits the use of either the retrospective or cumulative effect transition method. The Company is evaluating the effect that ASU 2014-09 will have on its consolidated financial statements and related disclosures. The Company has not yet selected a transition method nor has it determined the effect of the standard on its ongoing financial reporting.</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In July 2013, the FASB issued Accounting Standards Update No. 2013-11, </w:t>
      </w:r>
      <w:r>
        <w:rPr>
          <w:rFonts w:ascii="Arial" w:cs="Arial" w:eastAsia="Arial" w:hAnsi="Arial"/>
          <w:sz w:val="18"/>
          <w:szCs w:val="18"/>
          <w:i w:val="1"/>
          <w:iCs w:val="1"/>
          <w:color w:val="auto"/>
        </w:rPr>
        <w:t>Presentation of an Unrecognized Tax Benefit When a Net Operating Loss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Carryforward, a Similar Tax Loss, or a Tax Credit Carryforward Exists </w:t>
      </w:r>
      <w:r>
        <w:rPr>
          <w:rFonts w:ascii="Arial" w:cs="Arial" w:eastAsia="Arial" w:hAnsi="Arial"/>
          <w:sz w:val="18"/>
          <w:szCs w:val="18"/>
          <w:color w:val="auto"/>
        </w:rPr>
        <w:t>("ASU 2013-11"). The amendments in ASU 2013-11 provide guidance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 presentation of an unrecognized tax benefit when a net operating loss carryforward, a similar tax loss, or a tax credit carryforward exists. The Company adopted ASU 2013-11 as of January 1, 2014, and its adoption did not have a material impact on the Company's results of operations, cash flows or financial position.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any potential dilution of options to purchase the Company's common stock, assumed vesting of restricted stock and the assumed conversion of the Company’s convertible debentures. The following table provides the computation of diluted weighted average number of common shares outstanding:</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8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2600" w:type="dxa"/>
            <w:vAlign w:val="bottom"/>
            <w:gridSpan w:val="3"/>
          </w:tcPr>
          <w:p>
            <w:pPr>
              <w:jc w:val="right"/>
              <w:ind w:right="59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960" w:type="dxa"/>
            <w:vAlign w:val="bottom"/>
          </w:tcPr>
          <w:p>
            <w:pPr>
              <w:spacing w:after="0"/>
              <w:rPr>
                <w:sz w:val="16"/>
                <w:szCs w:val="16"/>
                <w:color w:val="auto"/>
              </w:rPr>
            </w:pPr>
          </w:p>
        </w:tc>
        <w:tc>
          <w:tcPr>
            <w:tcW w:w="2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2600" w:type="dxa"/>
            <w:vAlign w:val="bottom"/>
            <w:gridSpan w:val="3"/>
          </w:tcPr>
          <w:p>
            <w:pPr>
              <w:jc w:val="right"/>
              <w:ind w:right="754"/>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96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52,512,474</w:t>
            </w:r>
          </w:p>
        </w:tc>
        <w:tc>
          <w:tcPr>
            <w:tcW w:w="120" w:type="dxa"/>
            <w:vAlign w:val="bottom"/>
          </w:tcPr>
          <w:p>
            <w:pPr>
              <w:spacing w:after="0"/>
              <w:rPr>
                <w:sz w:val="21"/>
                <w:szCs w:val="21"/>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50,093,786</w:t>
            </w:r>
          </w:p>
        </w:tc>
        <w:tc>
          <w:tcPr>
            <w:tcW w:w="20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51,658,823</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49,829,379</w:t>
            </w:r>
          </w:p>
        </w:tc>
      </w:tr>
      <w:tr>
        <w:trPr>
          <w:trHeight w:val="27"/>
        </w:trPr>
        <w:tc>
          <w:tcPr>
            <w:tcW w:w="5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Incremental shares from assumed exercise of stock options and vesting of</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restricted stock</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2,107,319</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2,025,802</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2,081,328</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1,664,274</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Incremental shares from assumed conversion of convertible debentures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80,884</w:t>
            </w:r>
          </w:p>
        </w:tc>
        <w:tc>
          <w:tcPr>
            <w:tcW w:w="2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85,991</w:t>
            </w:r>
          </w:p>
        </w:tc>
      </w:tr>
      <w:tr>
        <w:trPr>
          <w:trHeight w:val="27"/>
        </w:trPr>
        <w:tc>
          <w:tcPr>
            <w:tcW w:w="59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 weighted average shares outstanding</w:t>
            </w:r>
          </w:p>
        </w:tc>
        <w:tc>
          <w:tcPr>
            <w:tcW w:w="12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54,619,793</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52,200,472</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53,740,151</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51,579,644</w:t>
            </w:r>
          </w:p>
        </w:tc>
      </w:tr>
      <w:tr>
        <w:trPr>
          <w:trHeight w:val="20"/>
        </w:trPr>
        <w:tc>
          <w:tcPr>
            <w:tcW w:w="5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table includes the impact of all stock options and restricted stock that are dilutive to the Company’s weighted average common shares outstanding during the three and nine months ended September 30, 2014 and 2013. The calculation of diluted earnings per share excludes stock options or shares of restricted stock that are anti-dilutive to the Company’s weighted average common shares outstanding of approximately 693,000 and 695,000 for the three and nine months ended September 30, 2014, respectively, and approximately 528,000 and 1,029,000 for the three and nine months ended September 30, 2013, respectively.</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During the three and nine months ended September 30, 2013, the Company had convertible debentures outstanding that, if converted, would have had a potentially dilutive effect on the Company’s common stock. In September 2013, the Company repurchased at par the remaining $3.6 million of principal amount of the convertible debentures outstanding. As required by Accounting Standards Codification ("ASC") Topic 260, Earnings per Share, if dilutive, the impact of the contingently issuable common shares must be included in the calculation of diluted earnings per share under the “if-converted” method, regardless of whether the conditions upon which the debentures would be convertible into shares of the Company’s common stock have been met. Under the if-converted method, the dilutive effect of the assumed conversion of the debentures was 80,884 shares and 85,991 shares for the three and nine months ended September 30, 2013,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15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Accumulated other comprehensive loss consists entirely of foreign currency translation adjustments. The Company recorded a foreign currency translation loss of $61.6 million and $54.2 million for the three and nine months ended September 30, 2014, respectively, and a foreign currency translation gain of $22.1 million and a loss of $6.0 million for the three and nine months ended September 30, 2013, respectively. For the three and nine months ended September 30, 2013, the Company reclassified $0.3 million of foreign currency translation into the consolidated statements of income. There were no reclassifications of foreign currency translation into the consolidated statements of income for the three and nine months ended September 30, 2014.</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May 20, 2014, the Company completed the acquisition of all of the capital stock of EIM (FX) Limited and TBK (FM) Limited (the "Acquired Companies") pursuant to a Share Purchase Agreement dated March 7, 2014 (the "Purchase Agreement") among the Company and the selling shareholders (the "Sellers"). The Acquired Companies, each a United Kingdom limited company, own subsidiaries that operate under the brand names HiFX and HiFM, respectively.</w:t>
      </w:r>
    </w:p>
    <w:p>
      <w:pPr>
        <w:spacing w:after="0" w:line="7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HiFX offers account-to-account international payment services to high-income individuals and small-to-medium sized businesses, complementing Euronet’s existing consumer-to-consumer money transfer business. HiFX has an innovative multi-channel platform which allows customers to make transfers, track payments and manage their international payment activity online or through a customer service representative. HiFM offers cash management solutions and foreign currency risk management services to small-to-medium sized businesses.</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terms of the Purchase Agreement, the Sellers received purchase consideration (the "Purchase Consideration") of £111.8 million in cash ($188.0 million), including working capital adjustments finalized in the third quarter of 2014, and 1,262,654 shares of Euronet common stock, with a fair value at date of acquisition of $56.6 million (the "Consideration Shares"). An amount equal to $16.0 million of the cash portion of the Purchase Consideration and all of the Consideration Shares were placed in escrow at closing as security for the Sellers' indemnification and other obligations under the Purchase Agreement. Any Purchase Consideration remaining in escrow will be released to the Sellers two years following the closing date, net of any pending indemnification or other claims under the Purchase Agreement.</w:t>
      </w:r>
    </w:p>
    <w:p>
      <w:pPr>
        <w:spacing w:after="0" w:line="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Purchase Consideration was allocated to the assets acquired and liabilities assumed, including identifiable intangible assets, based on their respective fair values at the date of acquisition. None of the goodwill or intangible asset amounts are expected to be deductible for income tax purposes. Pro-forma results of operations, assuming this acquisition was made at the beginning of the earliest period presented, have not been presented because the effect of this acquisition was not material to our results. The net assets of the Acquired Companies and their results from operations are included in the Money Transfer Segment's results.</w:t>
      </w:r>
    </w:p>
    <w:p>
      <w:pPr>
        <w:spacing w:after="0" w:line="8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third quarter of 2014, the Company adjusted the purchase price allocation of the Acquired Companies and expects to finalize the allocation by the end of 2014. Changes from our preliminary estimates as of June 30, 2014 were not material to our consolidated financial statements. The following table summarizes the estimated fair values of the assets acquired and liabilities assumed as of the acquisition date.</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9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99"/>
              </w:rPr>
              <w:t>As of May 20, 2014</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103,319</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Derivative assets</w:t>
            </w:r>
          </w:p>
        </w:tc>
        <w:tc>
          <w:tcPr>
            <w:tcW w:w="4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26,597</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4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4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102,841</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4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37"/>
        </w:trPr>
        <w:tc>
          <w:tcPr>
            <w:tcW w:w="4500" w:type="dxa"/>
            <w:vAlign w:val="bottom"/>
          </w:tcPr>
          <w:p>
            <w:pPr>
              <w:ind w:left="180"/>
              <w:spacing w:after="0"/>
              <w:rPr>
                <w:sz w:val="20"/>
                <w:szCs w:val="20"/>
                <w:color w:val="auto"/>
              </w:rPr>
            </w:pPr>
            <w:r>
              <w:rPr>
                <w:rFonts w:ascii="Arial" w:cs="Arial" w:eastAsia="Arial" w:hAnsi="Arial"/>
                <w:sz w:val="18"/>
                <w:szCs w:val="18"/>
                <w:color w:val="auto"/>
              </w:rPr>
              <w:t>Total assets acquired</w:t>
            </w:r>
          </w:p>
        </w:tc>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236,286</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500" w:type="dxa"/>
            <w:vAlign w:val="bottom"/>
            <w:shd w:val="clear" w:color="auto" w:fill="CCEEFF"/>
          </w:tcPr>
          <w:p>
            <w:pPr>
              <w:spacing w:after="0"/>
              <w:rPr>
                <w:sz w:val="24"/>
                <w:szCs w:val="24"/>
                <w:color w:val="auto"/>
              </w:rPr>
            </w:pPr>
          </w:p>
        </w:tc>
        <w:tc>
          <w:tcPr>
            <w:tcW w:w="4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Trade accounts payable</w:t>
            </w:r>
          </w:p>
        </w:tc>
        <w:tc>
          <w:tcPr>
            <w:tcW w:w="4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4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(7,037)</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4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(18,187)</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obligations and customer deposits</w:t>
            </w:r>
          </w:p>
        </w:tc>
        <w:tc>
          <w:tcPr>
            <w:tcW w:w="4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(97,781)</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4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(23,524)</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4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37"/>
        </w:trPr>
        <w:tc>
          <w:tcPr>
            <w:tcW w:w="4500" w:type="dxa"/>
            <w:vAlign w:val="bottom"/>
          </w:tcPr>
          <w:p>
            <w:pPr>
              <w:ind w:left="180"/>
              <w:spacing w:after="0"/>
              <w:rPr>
                <w:sz w:val="20"/>
                <w:szCs w:val="20"/>
                <w:color w:val="auto"/>
              </w:rPr>
            </w:pPr>
            <w:r>
              <w:rPr>
                <w:rFonts w:ascii="Arial" w:cs="Arial" w:eastAsia="Arial" w:hAnsi="Arial"/>
                <w:sz w:val="18"/>
                <w:szCs w:val="18"/>
                <w:color w:val="auto"/>
              </w:rPr>
              <w:t>Total liabilities assumed</w:t>
            </w:r>
          </w:p>
        </w:tc>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(148,459)</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500" w:type="dxa"/>
            <w:vAlign w:val="bottom"/>
            <w:shd w:val="clear" w:color="auto" w:fill="CCEEFF"/>
          </w:tcPr>
          <w:p>
            <w:pPr>
              <w:spacing w:after="0"/>
              <w:rPr>
                <w:sz w:val="24"/>
                <w:szCs w:val="24"/>
                <w:color w:val="auto"/>
              </w:rPr>
            </w:pPr>
          </w:p>
        </w:tc>
        <w:tc>
          <w:tcPr>
            <w:tcW w:w="4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Goodwill</w:t>
            </w:r>
          </w:p>
        </w:tc>
        <w:tc>
          <w:tcPr>
            <w:tcW w:w="4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156,748</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500" w:type="dxa"/>
            <w:vAlign w:val="bottom"/>
            <w:shd w:val="clear" w:color="auto" w:fill="CCEEFF"/>
          </w:tcPr>
          <w:p>
            <w:pPr>
              <w:spacing w:after="0"/>
              <w:rPr>
                <w:sz w:val="24"/>
                <w:szCs w:val="24"/>
                <w:color w:val="auto"/>
              </w:rPr>
            </w:pPr>
          </w:p>
        </w:tc>
        <w:tc>
          <w:tcPr>
            <w:tcW w:w="4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50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5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244,575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960" w:type="dxa"/>
            <w:vAlign w:val="bottom"/>
            <w:vMerge w:val="restart"/>
          </w:tcPr>
          <w:p>
            <w:pPr>
              <w:jc w:val="right"/>
              <w:ind w:right="36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500" w:type="dxa"/>
            <w:vAlign w:val="bottom"/>
          </w:tcPr>
          <w:p>
            <w:pPr>
              <w:spacing w:after="0"/>
              <w:rPr>
                <w:sz w:val="24"/>
                <w:szCs w:val="24"/>
                <w:color w:val="auto"/>
              </w:rPr>
            </w:pPr>
          </w:p>
        </w:tc>
        <w:tc>
          <w:tcPr>
            <w:tcW w:w="4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intangible assets of the Acquired Companies are being amortized on a straight-line basis, and the estimated fair values consist of the following:</w:t>
      </w: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Proprietary software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61,704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 years</w:t>
            </w:r>
          </w:p>
        </w:tc>
        <w:tc>
          <w:tcPr>
            <w:tcW w:w="0" w:type="dxa"/>
            <w:vAlign w:val="bottom"/>
          </w:tcPr>
          <w:p>
            <w:pPr>
              <w:spacing w:after="0"/>
              <w:rPr>
                <w:sz w:val="1"/>
                <w:szCs w:val="1"/>
                <w:color w:val="auto"/>
              </w:rPr>
            </w:pPr>
          </w:p>
        </w:tc>
      </w:tr>
      <w:tr>
        <w:trPr>
          <w:trHeight w:val="243"/>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26,764</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8 years</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12,247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 years</w:t>
            </w:r>
          </w:p>
        </w:tc>
        <w:tc>
          <w:tcPr>
            <w:tcW w:w="0" w:type="dxa"/>
            <w:vAlign w:val="bottom"/>
          </w:tcPr>
          <w:p>
            <w:pPr>
              <w:spacing w:after="0"/>
              <w:rPr>
                <w:sz w:val="1"/>
                <w:szCs w:val="1"/>
                <w:color w:val="auto"/>
              </w:rPr>
            </w:pPr>
          </w:p>
        </w:tc>
      </w:tr>
      <w:tr>
        <w:trPr>
          <w:trHeight w:val="243"/>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Non-compete agreements</w:t>
            </w: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2,126</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3 years</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intangible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102,841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ACQUIRED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nine months ended September 30, 2014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Acquired</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Intangible</w:t>
            </w:r>
          </w:p>
        </w:tc>
        <w:tc>
          <w:tcPr>
            <w:tcW w:w="220" w:type="dxa"/>
            <w:vAlign w:val="bottom"/>
          </w:tcPr>
          <w:p>
            <w:pPr>
              <w:spacing w:after="0"/>
              <w:rPr>
                <w:sz w:val="12"/>
                <w:szCs w:val="12"/>
                <w:color w:val="auto"/>
              </w:rPr>
            </w:pPr>
          </w:p>
        </w:tc>
        <w:tc>
          <w:tcPr>
            <w:tcW w:w="10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Goodwill</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93,026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498,435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591,461</w:t>
            </w:r>
          </w:p>
        </w:tc>
        <w:tc>
          <w:tcPr>
            <w:tcW w:w="0" w:type="dxa"/>
            <w:vAlign w:val="bottom"/>
          </w:tcPr>
          <w:p>
            <w:pPr>
              <w:spacing w:after="0"/>
              <w:rPr>
                <w:sz w:val="1"/>
                <w:szCs w:val="1"/>
                <w:color w:val="auto"/>
              </w:rPr>
            </w:pP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102,841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156,748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259,589</w:t>
            </w:r>
          </w:p>
        </w:tc>
        <w:tc>
          <w:tcPr>
            <w:tcW w:w="0" w:type="dxa"/>
            <w:vAlign w:val="bottom"/>
          </w:tcPr>
          <w:p>
            <w:pPr>
              <w:spacing w:after="0"/>
              <w:rPr>
                <w:sz w:val="1"/>
                <w:szCs w:val="1"/>
                <w:color w:val="auto"/>
              </w:rPr>
            </w:pP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(17,661)</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(35,898)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(43,920)</w:t>
            </w:r>
          </w:p>
        </w:tc>
        <w:tc>
          <w:tcPr>
            <w:tcW w:w="0" w:type="dxa"/>
            <w:vAlign w:val="bottom"/>
          </w:tcPr>
          <w:p>
            <w:pPr>
              <w:spacing w:after="0"/>
              <w:rPr>
                <w:sz w:val="1"/>
                <w:szCs w:val="1"/>
                <w:color w:val="auto"/>
              </w:rPr>
            </w:pPr>
          </w:p>
        </w:tc>
      </w:tr>
      <w:tr>
        <w:trPr>
          <w:trHeight w:val="25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Balance as of September 30, 2014</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170,184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619,285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789,469</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Estimated amortization expense on intangible assets with finite lives, before income taxes, as of September 30, 2014, is expected to total $6.9 million for the remainder of 2014, $22.7 million for 2015, $21.1 million for 2016, $18.9 million for 2017, $16.5 million for 2018 and $15.7 million for 2019.</w:t>
      </w:r>
    </w:p>
    <w:p>
      <w:pPr>
        <w:spacing w:after="0" w:line="3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annual goodwill impairment test is performed during the fourth quarter of its fiscal year. The annual impairment test for the year ended December 31, 2013 resulted in the Company recording a non-cash goodwill impairment charge of $18.4 million during the fourth quarter of 2013 with respect to certain reporting units included in the Company's epay segment.</w:t>
      </w:r>
    </w:p>
    <w:p>
      <w:pPr>
        <w:spacing w:after="0" w:line="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Determining the fair value of reporting units requires significant management judgment in estimating future cash flows and assessing potential market and economic conditions. It is reasonably possible that the Company’s operations will not perform as expected, or that the estimates or assumptions included in the 2013 annual impairment test could change, which may result in the Company recording additional material non-cash impairment charges during the year in which these changes take place.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3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74"/>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188,311</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84,429</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w w:val="94"/>
              </w:rPr>
              <w:t>Accrued amounts due to mobile operators and other content providers</w:t>
            </w:r>
          </w:p>
        </w:tc>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58,829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78,398</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transfer settlement obligations</w:t>
            </w: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49,757</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34,287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57"/>
        </w:trPr>
        <w:tc>
          <w:tcPr>
            <w:tcW w:w="5320" w:type="dxa"/>
            <w:vAlign w:val="bottom"/>
          </w:tcPr>
          <w:p>
            <w:pPr>
              <w:ind w:left="160"/>
              <w:spacing w:after="0"/>
              <w:rPr>
                <w:sz w:val="20"/>
                <w:szCs w:val="20"/>
                <w:color w:val="auto"/>
              </w:rPr>
            </w:pPr>
            <w:r>
              <w:rPr>
                <w:rFonts w:ascii="Arial" w:cs="Arial" w:eastAsia="Arial" w:hAnsi="Arial"/>
                <w:sz w:val="18"/>
                <w:szCs w:val="18"/>
                <w:color w:val="auto"/>
              </w:rPr>
              <w:t>Total</w:t>
            </w:r>
          </w:p>
        </w:tc>
        <w:tc>
          <w:tcPr>
            <w:tcW w:w="3660" w:type="dxa"/>
            <w:vAlign w:val="bottom"/>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371,707</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213,284</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3540" w:type="dxa"/>
            <w:vAlign w:val="bottom"/>
            <w:vMerge w:val="restart"/>
          </w:tcPr>
          <w:p>
            <w:pPr>
              <w:jc w:val="right"/>
              <w:ind w:right="30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2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obligation activity for the nine months ended September 30, 2014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Revolving</w:t>
            </w: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Other Debt</w:t>
            </w:r>
          </w:p>
        </w:tc>
        <w:tc>
          <w:tcPr>
            <w:tcW w:w="200" w:type="dxa"/>
            <w:vAlign w:val="bottom"/>
          </w:tcPr>
          <w:p>
            <w:pPr>
              <w:spacing w:after="0"/>
              <w:rPr>
                <w:sz w:val="14"/>
                <w:szCs w:val="14"/>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Credit</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8"/>
              </w:rPr>
              <w:t>Term Loan A</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0"/>
              </w:rPr>
              <w:t>Facilities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Obligations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Leases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129,010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204,646</w:t>
            </w:r>
          </w:p>
        </w:tc>
        <w:tc>
          <w:tcPr>
            <w:tcW w:w="0" w:type="dxa"/>
            <w:vAlign w:val="bottom"/>
          </w:tcPr>
          <w:p>
            <w:pPr>
              <w:spacing w:after="0"/>
              <w:rPr>
                <w:sz w:val="1"/>
                <w:szCs w:val="1"/>
                <w:color w:val="auto"/>
              </w:rPr>
            </w:pPr>
          </w:p>
        </w:tc>
      </w:tr>
      <w:tr>
        <w:trPr>
          <w:trHeight w:val="243"/>
        </w:trPr>
        <w:tc>
          <w:tcPr>
            <w:tcW w:w="556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borrowings (repayments)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182,625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189,500</w:t>
            </w:r>
          </w:p>
        </w:tc>
        <w:tc>
          <w:tcPr>
            <w:tcW w:w="0" w:type="dxa"/>
            <w:vAlign w:val="bottom"/>
          </w:tcPr>
          <w:p>
            <w:pPr>
              <w:spacing w:after="0"/>
              <w:rPr>
                <w:sz w:val="1"/>
                <w:szCs w:val="1"/>
                <w:color w:val="auto"/>
              </w:rPr>
            </w:pPr>
          </w:p>
        </w:tc>
      </w:tr>
      <w:tr>
        <w:trPr>
          <w:trHeight w:val="243"/>
        </w:trPr>
        <w:tc>
          <w:tcPr>
            <w:tcW w:w="5560" w:type="dxa"/>
            <w:vAlign w:val="bottom"/>
            <w:gridSpan w:val="2"/>
          </w:tcPr>
          <w:p>
            <w:pPr>
              <w:ind w:left="180"/>
              <w:spacing w:after="0"/>
              <w:rPr>
                <w:sz w:val="20"/>
                <w:szCs w:val="20"/>
                <w:color w:val="auto"/>
              </w:rPr>
            </w:pPr>
            <w:r>
              <w:rPr>
                <w:rFonts w:ascii="Arial" w:cs="Arial" w:eastAsia="Arial" w:hAnsi="Arial"/>
                <w:sz w:val="18"/>
                <w:szCs w:val="18"/>
                <w:color w:val="auto"/>
              </w:rPr>
              <w:t>Capital lease interest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exchange gain</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(15,164)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(15,816)</w:t>
            </w:r>
          </w:p>
        </w:tc>
        <w:tc>
          <w:tcPr>
            <w:tcW w:w="0" w:type="dxa"/>
            <w:vAlign w:val="bottom"/>
          </w:tcPr>
          <w:p>
            <w:pPr>
              <w:spacing w:after="0"/>
              <w:rPr>
                <w:sz w:val="1"/>
                <w:szCs w:val="1"/>
                <w:color w:val="auto"/>
              </w:rPr>
            </w:pPr>
          </w:p>
        </w:tc>
      </w:tr>
      <w:tr>
        <w:trPr>
          <w:trHeight w:val="237"/>
        </w:trPr>
        <w:tc>
          <w:tcPr>
            <w:tcW w:w="5560" w:type="dxa"/>
            <w:vAlign w:val="bottom"/>
            <w:gridSpan w:val="2"/>
          </w:tcPr>
          <w:p>
            <w:pPr>
              <w:ind w:left="40"/>
              <w:spacing w:after="0"/>
              <w:rPr>
                <w:sz w:val="20"/>
                <w:szCs w:val="20"/>
                <w:color w:val="auto"/>
              </w:rPr>
            </w:pPr>
            <w:r>
              <w:rPr>
                <w:rFonts w:ascii="Arial" w:cs="Arial" w:eastAsia="Arial" w:hAnsi="Arial"/>
                <w:sz w:val="18"/>
                <w:szCs w:val="18"/>
                <w:color w:val="auto"/>
              </w:rPr>
              <w:t>Balance at September 30, 2014</w:t>
            </w: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296,471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4,737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4,224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73,125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378,557</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 current maturities</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(11,755)</w:t>
            </w:r>
          </w:p>
        </w:tc>
        <w:tc>
          <w:tcPr>
            <w:tcW w:w="0" w:type="dxa"/>
            <w:vAlign w:val="bottom"/>
          </w:tcPr>
          <w:p>
            <w:pPr>
              <w:spacing w:after="0"/>
              <w:rPr>
                <w:sz w:val="1"/>
                <w:szCs w:val="1"/>
                <w:color w:val="auto"/>
              </w:rPr>
            </w:pPr>
          </w:p>
        </w:tc>
      </w:tr>
      <w:tr>
        <w:trPr>
          <w:trHeight w:val="257"/>
        </w:trPr>
        <w:tc>
          <w:tcPr>
            <w:tcW w:w="5560" w:type="dxa"/>
            <w:vAlign w:val="bottom"/>
            <w:gridSpan w:val="2"/>
          </w:tcPr>
          <w:p>
            <w:pPr>
              <w:ind w:left="40"/>
              <w:spacing w:after="0"/>
              <w:rPr>
                <w:sz w:val="20"/>
                <w:szCs w:val="20"/>
                <w:color w:val="auto"/>
              </w:rPr>
            </w:pPr>
            <w:r>
              <w:rPr>
                <w:rFonts w:ascii="Arial" w:cs="Arial" w:eastAsia="Arial" w:hAnsi="Arial"/>
                <w:sz w:val="18"/>
                <w:szCs w:val="18"/>
                <w:color w:val="auto"/>
              </w:rPr>
              <w:t>Long-term obligations at September 30, 2014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296,471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1,892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68,439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366,802</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jc w:val="both"/>
        <w:ind w:right="80"/>
        <w:spacing w:after="0" w:line="308" w:lineRule="auto"/>
        <w:rPr>
          <w:sz w:val="20"/>
          <w:szCs w:val="20"/>
          <w:color w:val="auto"/>
        </w:rPr>
      </w:pPr>
      <w:r>
        <w:rPr>
          <w:rFonts w:ascii="Arial" w:cs="Arial" w:eastAsia="Arial" w:hAnsi="Arial"/>
          <w:sz w:val="17"/>
          <w:szCs w:val="17"/>
          <w:color w:val="auto"/>
        </w:rPr>
        <w:t>As of September 30, 2014, the Company had a $675 million senior secured credit facility (the "Credit Facility") consisting of a $600 million revolving credit facility and a $75 million term loan ("Term Loan A"), which had been reduced to $73.1 million through principal amortization payments.</w:t>
      </w:r>
    </w:p>
    <w:p>
      <w:pPr>
        <w:spacing w:after="0" w:line="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9, 2014, the Company amended and restated the Credit Agreement to, among other things, (i) increase the amount of Term Loan A from $66 million to $75 million, (ii) increase the aggregate credit commitments under the revolving credit facility from $400 million to $600 million, (iii) reduce the margin over the London Inter-Bank Offered Rate (“LIBOR”) rate and base rate by 12.5 basis points, and (iv) extend the expiration date of the Credit Agreement from August 18, 2016 to April 9, 2019. In connection with the amendment, the Company incurred $2.5 million in debt issuance costs, which are being amortized over the term of the Credit Facility.</w:t>
      </w:r>
    </w:p>
    <w:p>
      <w:pPr>
        <w:spacing w:after="0" w:line="8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Interest on borrowings under the revolving credit facility and Term Loan A varies based upon the Company's consolidated total leverage ratio, as defined in the Company's Credit Agreement, and during the third quarter of 2014 was based on a margin over LIBOR or a margin over a base rate, as selected by the Company, with the applicable margin ranging from 1.375% to 2.375% for LIBOR loans or 0.375% to 1.375% for base rate loans. Accordingly, the weighted average interest rate for borrowings outstanding under the Company's revolving credit facility and Term Loan A was 1.96% and 1.78%, respectively, as of September 30, 2014, excluding amortization of deferred financing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INSTRUMENTS AND HEDGING ACTIVITIES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short-term borrowings that are payable in currencies other than the U.S dollar.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Accounting Standards Codification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primarily due to either the relatively short duration of the contract term or the effects of fluctuations in currency exchange rates are reflected concurrently in earnings for both the derivative instrument and the transaction and have an offsetting effect.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Ria Operations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United States, the Company uses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w:t>
      </w:r>
    </w:p>
    <w:p>
      <w:pPr>
        <w:spacing w:after="0" w:line="8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September 30, 2014, the Company had foreign currency forward contracts outstanding in the U.S. with a notional value of $97 million, primarily in Australian dollars, Canadian dollars, British pounds, euros and Mexican pesos.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HiFX Operations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As discussed in Note 4, Acquisitions, on May 20, 2014, the Company acquired EIM (FX) Limited, which owns subsidiaries that operate under the brand name HiFX. HiFX writes derivative instruments, primarily foreign currency forward contracts and cross-currency swaps, mostly with counterparties comprised of individuals and small-to-medium size businesses and derives a currency margin from this activity as part of its operations. HiFX aggregates its foreign currency exposures arising from customer contracts and hedges the resulting net currency risks by entering into offsetting contracts with established financial institution counterparties. Foreign exchange revenues from HiFX's total portfolio of positions were $15.9 million and $23.0 million for the three and nine months ended September 30, 2014, respectively. All of the derivative contracts used in the Company' s HiFX operations are economic hedges and are not designated as hedges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The duration of these derivative contracts is generally less than one year.</w:t>
      </w:r>
    </w:p>
    <w:p>
      <w:pPr>
        <w:spacing w:after="0" w:line="5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fair value of HiFX's total portfolio of positions can change significantly from period to period based on, among other factors, market movements and changes in customer contract positions. HiFX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HiFX does not expect any significant losses from counterparty defaults.</w:t>
      </w:r>
    </w:p>
    <w:p>
      <w:pPr>
        <w:spacing w:after="0" w:line="64"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aggregate equivalent U.S. dollar notional amounts of foreign currency derivative customer contracts held by the Company in its HiFX operations as of September 30, 2014 was approximately $831 million. The significant majority of customer contracts are written in major currencies such as the euro, Canadian dollar, British pound, and Australian dollar.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derivative instruments as recorded in the Consolidated Balance Sheets as of the dates below: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Asset Derivatives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tcBorders>
              <w:bottom w:val="single" w:sz="8" w:color="auto"/>
            </w:tcBorders>
            <w:gridSpan w:val="4"/>
          </w:tcPr>
          <w:p>
            <w:pPr>
              <w:ind w:left="1640"/>
              <w:spacing w:after="0"/>
              <w:rPr>
                <w:sz w:val="20"/>
                <w:szCs w:val="20"/>
                <w:color w:val="auto"/>
              </w:rPr>
            </w:pPr>
            <w:r>
              <w:rPr>
                <w:rFonts w:ascii="Arial" w:cs="Arial" w:eastAsia="Arial" w:hAnsi="Arial"/>
                <w:sz w:val="14"/>
                <w:szCs w:val="14"/>
                <w:b w:val="1"/>
                <w:bCs w:val="1"/>
                <w:color w:val="auto"/>
              </w:rPr>
              <w:t>Liability Derivatives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2"/>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1"/>
              </w:rPr>
              <w:t>Balance Sheet Location</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1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1"/>
              </w:rPr>
              <w:t>Balance Sheet Location</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3"/>
                <w:szCs w:val="13"/>
                <w:color w:val="auto"/>
              </w:rPr>
            </w:pPr>
          </w:p>
        </w:tc>
        <w:tc>
          <w:tcPr>
            <w:tcW w:w="100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24"/>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w:t>
            </w:r>
          </w:p>
        </w:tc>
        <w:tc>
          <w:tcPr>
            <w:tcW w:w="1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designated as hedging</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7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00" w:type="dxa"/>
            <w:vAlign w:val="bottom"/>
            <w:gridSpan w:val="2"/>
          </w:tcPr>
          <w:p>
            <w:pPr>
              <w:ind w:left="180"/>
              <w:spacing w:after="0"/>
              <w:rPr>
                <w:sz w:val="20"/>
                <w:szCs w:val="20"/>
                <w:color w:val="auto"/>
              </w:rPr>
            </w:pPr>
            <w:r>
              <w:rPr>
                <w:rFonts w:ascii="Arial" w:cs="Arial" w:eastAsia="Arial" w:hAnsi="Arial"/>
                <w:sz w:val="18"/>
                <w:szCs w:val="18"/>
                <w:color w:val="auto"/>
              </w:rPr>
              <w:t>Foreign currency</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ind w:left="340"/>
              <w:spacing w:after="0"/>
              <w:rPr>
                <w:sz w:val="20"/>
                <w:szCs w:val="20"/>
                <w:color w:val="auto"/>
              </w:rPr>
            </w:pPr>
            <w:r>
              <w:rPr>
                <w:rFonts w:ascii="Arial" w:cs="Arial" w:eastAsia="Arial" w:hAnsi="Arial"/>
                <w:sz w:val="18"/>
                <w:szCs w:val="18"/>
                <w:color w:val="auto"/>
              </w:rPr>
              <w:t>exchange contracts</w:t>
            </w:r>
          </w:p>
        </w:tc>
        <w:tc>
          <w:tcPr>
            <w:tcW w:w="1760" w:type="dxa"/>
            <w:vAlign w:val="bottom"/>
          </w:tcPr>
          <w:p>
            <w:pPr>
              <w:ind w:left="320"/>
              <w:spacing w:after="0"/>
              <w:rPr>
                <w:sz w:val="20"/>
                <w:szCs w:val="20"/>
                <w:color w:val="auto"/>
              </w:rPr>
            </w:pPr>
            <w:r>
              <w:rPr>
                <w:rFonts w:ascii="Arial" w:cs="Arial" w:eastAsia="Arial" w:hAnsi="Arial"/>
                <w:sz w:val="18"/>
                <w:szCs w:val="18"/>
                <w:color w:val="auto"/>
                <w:w w:val="87"/>
              </w:rPr>
              <w:t>Other current assets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4"/>
              <w:spacing w:after="0"/>
              <w:rPr>
                <w:sz w:val="20"/>
                <w:szCs w:val="20"/>
                <w:color w:val="auto"/>
              </w:rPr>
            </w:pPr>
            <w:r>
              <w:rPr>
                <w:rFonts w:ascii="Arial" w:cs="Arial" w:eastAsia="Arial" w:hAnsi="Arial"/>
                <w:sz w:val="18"/>
                <w:szCs w:val="18"/>
                <w:color w:val="auto"/>
              </w:rPr>
              <w:t>38,480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160" w:type="dxa"/>
            <w:vAlign w:val="bottom"/>
          </w:tcPr>
          <w:p>
            <w:pPr>
              <w:jc w:val="center"/>
              <w:ind w:right="42"/>
              <w:spacing w:after="0"/>
              <w:rPr>
                <w:sz w:val="20"/>
                <w:szCs w:val="20"/>
                <w:color w:val="auto"/>
              </w:rPr>
            </w:pPr>
            <w:r>
              <w:rPr>
                <w:rFonts w:ascii="Arial" w:cs="Arial" w:eastAsia="Arial" w:hAnsi="Arial"/>
                <w:sz w:val="18"/>
                <w:szCs w:val="18"/>
                <w:color w:val="auto"/>
                <w:w w:val="93"/>
              </w:rPr>
              <w:t>Other current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(34,287)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following tables summarize the gross and net fair value of derivative assets and liabilities as of September 30, 2014 and December 31, 2013 (in thousands):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Derivative Assets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Gross Amounts Not Offset in the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Consolidated Balance Sheet</w:t>
            </w: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Net Amounts</w:t>
            </w:r>
          </w:p>
        </w:tc>
        <w:tc>
          <w:tcPr>
            <w:tcW w:w="1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Amounts of</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Financial</w:t>
            </w:r>
          </w:p>
        </w:tc>
        <w:tc>
          <w:tcPr>
            <w:tcW w:w="14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Cash Collateral</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September 30, 2014</w:t>
            </w:r>
          </w:p>
        </w:tc>
        <w:tc>
          <w:tcPr>
            <w:tcW w:w="140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240" w:type="dxa"/>
            <w:vAlign w:val="bottom"/>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Net Amounts</w:t>
            </w:r>
          </w:p>
        </w:tc>
        <w:tc>
          <w:tcPr>
            <w:tcW w:w="0" w:type="dxa"/>
            <w:vAlign w:val="bottom"/>
          </w:tcPr>
          <w:p>
            <w:pPr>
              <w:spacing w:after="0"/>
              <w:rPr>
                <w:sz w:val="1"/>
                <w:szCs w:val="1"/>
                <w:color w:val="auto"/>
              </w:rPr>
            </w:pPr>
          </w:p>
        </w:tc>
      </w:tr>
      <w:tr>
        <w:trPr>
          <w:trHeight w:val="186"/>
        </w:trPr>
        <w:tc>
          <w:tcPr>
            <w:tcW w:w="3300" w:type="dxa"/>
            <w:vAlign w:val="bottom"/>
            <w:gridSpan w:val="2"/>
            <w:vMerge w:val="continue"/>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Recognized Assets</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Balance Sheet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Balance Sheet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Instruments</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Received</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1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r>
      <w:tr>
        <w:trPr>
          <w:trHeight w:val="237"/>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38,551</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38,480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(23,379)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8,714</w:t>
            </w:r>
          </w:p>
        </w:tc>
      </w:tr>
      <w:tr>
        <w:trPr>
          <w:trHeight w:val="588"/>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2013</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28"/>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7"/>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567"/>
        </w:trPr>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Derivative Liabilities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Gross Amounts Not Offset in the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Consolidated Balance Sheet</w:t>
            </w: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Gross Amounts of</w:t>
            </w: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Net Amounts</w:t>
            </w:r>
          </w:p>
        </w:tc>
        <w:tc>
          <w:tcPr>
            <w:tcW w:w="1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Financial</w:t>
            </w:r>
          </w:p>
        </w:tc>
        <w:tc>
          <w:tcPr>
            <w:tcW w:w="14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Cash Collateral</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September 30, 2014</w:t>
            </w: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240" w:type="dxa"/>
            <w:vAlign w:val="bottom"/>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Net Amounts</w:t>
            </w:r>
          </w:p>
        </w:tc>
        <w:tc>
          <w:tcPr>
            <w:tcW w:w="0" w:type="dxa"/>
            <w:vAlign w:val="bottom"/>
          </w:tcPr>
          <w:p>
            <w:pPr>
              <w:spacing w:after="0"/>
              <w:rPr>
                <w:sz w:val="1"/>
                <w:szCs w:val="1"/>
                <w:color w:val="auto"/>
              </w:rPr>
            </w:pPr>
          </w:p>
        </w:tc>
      </w:tr>
      <w:tr>
        <w:trPr>
          <w:trHeight w:val="186"/>
        </w:trPr>
        <w:tc>
          <w:tcPr>
            <w:tcW w:w="3300" w:type="dxa"/>
            <w:vAlign w:val="bottom"/>
            <w:gridSpan w:val="2"/>
            <w:vMerge w:val="continue"/>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Liabilities</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Balance Sheet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Balance Sheet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Instruments</w:t>
            </w:r>
          </w:p>
        </w:tc>
        <w:tc>
          <w:tcPr>
            <w:tcW w:w="14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Paid</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1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r>
      <w:tr>
        <w:trPr>
          <w:trHeight w:val="237"/>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(34,358)</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(34,287)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23,379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(10,002)</w:t>
            </w:r>
          </w:p>
        </w:tc>
      </w:tr>
      <w:tr>
        <w:trPr>
          <w:trHeight w:val="588"/>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2013</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28"/>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3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Statement Presentation</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tables summarize the location and amount of gains and losses of derivatives in the Consolidated Statements of Income for the three and nine months ended September 30, 2014 and 2013: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gridSpan w:val="8"/>
          </w:tcPr>
          <w:p>
            <w:pPr>
              <w:ind w:left="200"/>
              <w:spacing w:after="0"/>
              <w:rPr>
                <w:sz w:val="20"/>
                <w:szCs w:val="20"/>
                <w:color w:val="auto"/>
              </w:rPr>
            </w:pPr>
            <w:r>
              <w:rPr>
                <w:rFonts w:ascii="Arial" w:cs="Arial" w:eastAsia="Arial" w:hAnsi="Arial"/>
                <w:sz w:val="14"/>
                <w:szCs w:val="14"/>
                <w:b w:val="1"/>
                <w:bCs w:val="1"/>
                <w:color w:val="auto"/>
                <w:w w:val="92"/>
              </w:rPr>
              <w:t>Amount of Gain (Loss) Recognized in Income on Derivative Contracts (a)</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8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80" w:type="dxa"/>
            <w:vAlign w:val="bottom"/>
            <w:gridSpan w:val="3"/>
          </w:tcPr>
          <w:p>
            <w:pPr>
              <w:jc w:val="right"/>
              <w:ind w:right="179"/>
              <w:spacing w:after="0" w:line="153" w:lineRule="exact"/>
              <w:rPr>
                <w:sz w:val="20"/>
                <w:szCs w:val="20"/>
                <w:color w:val="auto"/>
              </w:rPr>
            </w:pPr>
            <w:r>
              <w:rPr>
                <w:rFonts w:ascii="Arial" w:cs="Arial" w:eastAsia="Arial" w:hAnsi="Arial"/>
                <w:sz w:val="14"/>
                <w:szCs w:val="14"/>
                <w:b w:val="1"/>
                <w:bCs w:val="1"/>
                <w:color w:val="auto"/>
              </w:rPr>
              <w:t>Nine Months Ended</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Location of Gain (Loss) Recognized in</w:t>
            </w: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3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6"/>
                <w:szCs w:val="6"/>
                <w:color w:val="auto"/>
              </w:rPr>
            </w:pPr>
          </w:p>
        </w:tc>
        <w:tc>
          <w:tcPr>
            <w:tcW w:w="92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6"/>
                <w:szCs w:val="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 on Derivative Contracts</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Foreign currency exchange contracts -</w:t>
            </w:r>
          </w:p>
        </w:tc>
        <w:tc>
          <w:tcPr>
            <w:tcW w:w="12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exchange loss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Ria Operations</w:t>
            </w:r>
          </w:p>
        </w:tc>
        <w:tc>
          <w:tcPr>
            <w:tcW w:w="120" w:type="dxa"/>
            <w:vAlign w:val="bottom"/>
            <w:shd w:val="clear" w:color="auto" w:fill="CCEEFF"/>
          </w:tcPr>
          <w:p>
            <w:pPr>
              <w:spacing w:after="0"/>
              <w:rPr>
                <w:sz w:val="20"/>
                <w:szCs w:val="20"/>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1,501</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348</w:t>
            </w:r>
          </w:p>
        </w:tc>
        <w:tc>
          <w:tcPr>
            <w:tcW w:w="9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(269)</w:t>
            </w:r>
          </w:p>
        </w:tc>
        <w:tc>
          <w:tcPr>
            <w:tcW w:w="0" w:type="dxa"/>
            <w:vAlign w:val="bottom"/>
          </w:tcPr>
          <w:p>
            <w:pPr>
              <w:spacing w:after="0"/>
              <w:rPr>
                <w:sz w:val="1"/>
                <w:szCs w:val="1"/>
                <w:color w:val="auto"/>
              </w:rPr>
            </w:pPr>
          </w:p>
        </w:tc>
      </w:tr>
      <w:tr>
        <w:trPr>
          <w:trHeight w:val="27"/>
        </w:trPr>
        <w:tc>
          <w:tcPr>
            <w:tcW w:w="3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80" w:firstLine="8"/>
        <w:spacing w:after="0" w:line="255" w:lineRule="auto"/>
        <w:tabs>
          <w:tab w:leader="none" w:pos="24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enters into derivative contracts such as foreign currency exchange forwards and cross-currency swaps as part of its HiFX operations. These derivative contracts are excluded from this table as they are part of the broader disclosure of foreign currency exchange revenues for this business discussed above.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See Note 9, Fair Value Measurements, for the determination of the fair values of derivatives.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Fair value measurements used in the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28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Unadjusted quoted prices in active markets for identical assets or liabilities.</w:t>
      </w:r>
    </w:p>
    <w:p>
      <w:pPr>
        <w:spacing w:after="0" w:line="117"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62"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financial assets and liabilities measured and recorded at fair value on a recurring basis: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4"/>
                <w:szCs w:val="14"/>
                <w:b w:val="1"/>
                <w:bCs w:val="1"/>
                <w:color w:val="auto"/>
              </w:rPr>
              <w:t>As of September 30, 2014</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22"/>
                <w:szCs w:val="22"/>
                <w:color w:val="auto"/>
              </w:rPr>
            </w:pPr>
          </w:p>
        </w:tc>
        <w:tc>
          <w:tcPr>
            <w:tcW w:w="22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Balance Sheet Classification</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Total</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90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38,480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38,480</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90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(34,287)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(34,287)</w:t>
            </w:r>
          </w:p>
        </w:tc>
      </w:tr>
      <w:tr>
        <w:trPr>
          <w:trHeight w:val="399"/>
        </w:trPr>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4"/>
                <w:szCs w:val="14"/>
                <w:b w:val="1"/>
                <w:bCs w:val="1"/>
                <w:color w:val="auto"/>
              </w:rPr>
              <w:t>As of December 31, 2013</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22"/>
                <w:szCs w:val="22"/>
                <w:color w:val="auto"/>
              </w:rPr>
            </w:pPr>
          </w:p>
        </w:tc>
        <w:tc>
          <w:tcPr>
            <w:tcW w:w="22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Balance Sheet Classification</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Total</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640" w:type="dxa"/>
            <w:vAlign w:val="bottom"/>
            <w:gridSpan w:val="2"/>
          </w:tcPr>
          <w:p>
            <w:pPr>
              <w:spacing w:after="0"/>
              <w:rPr>
                <w:sz w:val="2"/>
                <w:szCs w:val="2"/>
                <w:color w:val="auto"/>
              </w:rPr>
            </w:pPr>
          </w:p>
        </w:tc>
        <w:tc>
          <w:tcPr>
            <w:tcW w:w="23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3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900" w:type="dxa"/>
            <w:vAlign w:val="bottom"/>
            <w:shd w:val="clear" w:color="auto" w:fill="CCEEFF"/>
          </w:tcPr>
          <w:p>
            <w:pPr>
              <w:jc w:val="right"/>
              <w:ind w:right="697"/>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97"/>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3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Other Fair Value Disclosures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252525"/>
        </w:rPr>
        <w:t>The carrying amounts of cash and cash equivalents, accounts receivable, trade accounts payable, accrued expenses and other current obligations approximate their fair values because of the relatively short-term maturities of these financial instruments. The carrying values of the Company’s long-term debt, including the current portion, approximate fair value because interest is primarily based on LIBOR, which resets at various intervals of less than one year.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5"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The Company’s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The Company currently operates in the following three reportable operating segments:</w:t>
      </w:r>
    </w:p>
    <w:p>
      <w:pPr>
        <w:spacing w:after="0" w:line="62" w:lineRule="exact"/>
        <w:rPr>
          <w:sz w:val="20"/>
          <w:szCs w:val="20"/>
          <w:color w:val="auto"/>
        </w:rPr>
      </w:pPr>
    </w:p>
    <w:p>
      <w:pPr>
        <w:ind w:left="980" w:right="20" w:hanging="648"/>
        <w:spacing w:after="0" w:line="25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cash withdrawal services, ATM network participation, outsourced ATM and POS management solutions, credit and debit card outsourcing, dynamic currency conversion and other value added services. Through this segment, the Company also offers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700" w:hanging="648"/>
        <w:spacing w:after="0" w:line="308"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Through the epay Segment, the Company provides distribution, processing and collection services for prepaid mobile airtime and other electronic payment products in Europe, the Middle East, Asia Pacific, the United States and South America.</w:t>
      </w:r>
    </w:p>
    <w:p>
      <w:pPr>
        <w:spacing w:after="0" w:line="38" w:lineRule="exact"/>
        <w:rPr>
          <w:rFonts w:ascii="Arial" w:cs="Arial" w:eastAsia="Arial" w:hAnsi="Arial"/>
          <w:sz w:val="17"/>
          <w:szCs w:val="17"/>
          <w:color w:val="auto"/>
        </w:rPr>
      </w:pPr>
    </w:p>
    <w:p>
      <w:pPr>
        <w:ind w:left="980" w:right="80" w:hanging="648"/>
        <w:spacing w:after="0" w:line="272"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Through the Money Transfer Segment, the Company provides global money transfer services under the brand names Ria and HiFX. Ria provides global consumer-to-consumer money transfer services through a network of sending agents, Company-owned stores and a Company-owned website, disbursing money transfers through a worldwide correspondent network. HiFX offers account-to-account international payment services to high-income individuals and small-to-medium sized businesses. The Company also offers customers bill payment services, payment alternatives such as money orders and prepaid debit cards, comprehensive check cashing services, foreign currency exchange services and mobile top-up. The Company provides cash management solutions and foreign currency risk management services to small-to-medium sized businesses under the brand name HiFM.</w:t>
      </w:r>
    </w:p>
    <w:p>
      <w:pPr>
        <w:spacing w:after="0" w:line="70"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In addition, the Company accounts for non-operating activity, most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reportable segment results for the three and nine months ended September 30, 2014 and 2013:</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For the Three Months Ended September 30, 2014</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107,503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195,086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151,250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453,422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46,612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153,121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75,455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274,814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12,155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14,356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32,219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5,857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64,587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23,747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43,968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8,010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3,998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7,246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19,321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73,293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182,635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138,667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8,095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402,690</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34,210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12,451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12,583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50,732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For the Three Months Ended September 30, 2013</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83,594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182,629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95,276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360,580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36,576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142,284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45,588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223,551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10,195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13,494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23,120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6,010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52,819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14,521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33,254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Acquisition-related contingent consideration gain</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(19,319)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6,273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4,036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14,930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38,974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170,501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87,759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8,001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305,235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44,620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12,128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7,517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55,345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For the Nine Months Ended September 30, 2014</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271,580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562,129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369,568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1,202,199</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125,773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434,984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183,985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743,789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35,127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41,856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83,472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18,074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178,529</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31,433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57,438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9,782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117,820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22,951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12,323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17,337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52,819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203,018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520,596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342,232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27,111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1,092,957</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68,562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41,533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27,336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(28,189)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109,242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For the Nine Months Ended September 30, 2013</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219,149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548,867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271,536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1,037,767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104,103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424,343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130,221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656,933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29,409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41,976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64,601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17,312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153,298</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40,621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7,874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95,714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Acquisition-related contingent consideration gain</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(19,319)</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22,242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12,569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48,838</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152,965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509,577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249,194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23,728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935,464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66,184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39,290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22,342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102,303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property and equipment and total assets by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w w:val="95"/>
              </w:rPr>
              <w:t>Property and Equipment, net as of</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4"/>
                <w:szCs w:val="14"/>
                <w:b w:val="1"/>
                <w:bCs w:val="1"/>
                <w:color w:val="auto"/>
              </w:rPr>
              <w:t>Total Assets as of</w:t>
            </w: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September 30,</w:t>
            </w: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December 31, 2013</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September 30,</w:t>
            </w: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192"/>
        </w:trPr>
        <w:tc>
          <w:tcPr>
            <w:tcW w:w="6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71,714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452,212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347,073</w:t>
            </w:r>
          </w:p>
        </w:tc>
        <w:tc>
          <w:tcPr>
            <w:tcW w:w="0" w:type="dxa"/>
            <w:vAlign w:val="bottom"/>
          </w:tcPr>
          <w:p>
            <w:pPr>
              <w:spacing w:after="0"/>
              <w:rPr>
                <w:sz w:val="1"/>
                <w:szCs w:val="1"/>
                <w:color w:val="auto"/>
              </w:rPr>
            </w:pP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2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25,230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27,176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615,769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757,942</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26,202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872,515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472,390</w:t>
            </w:r>
          </w:p>
        </w:tc>
        <w:tc>
          <w:tcPr>
            <w:tcW w:w="0" w:type="dxa"/>
            <w:vAlign w:val="bottom"/>
          </w:tcPr>
          <w:p>
            <w:pPr>
              <w:spacing w:after="0"/>
              <w:rPr>
                <w:sz w:val="1"/>
                <w:szCs w:val="1"/>
                <w:color w:val="auto"/>
              </w:rPr>
            </w:pPr>
          </w:p>
        </w:tc>
      </w:tr>
      <w:tr>
        <w:trPr>
          <w:trHeight w:val="304"/>
        </w:trPr>
        <w:tc>
          <w:tcPr>
            <w:tcW w:w="6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25,537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20,710</w:t>
            </w:r>
          </w:p>
        </w:tc>
        <w:tc>
          <w:tcPr>
            <w:tcW w:w="0" w:type="dxa"/>
            <w:vAlign w:val="bottom"/>
          </w:tcPr>
          <w:p>
            <w:pPr>
              <w:spacing w:after="0"/>
              <w:rPr>
                <w:sz w:val="1"/>
                <w:szCs w:val="1"/>
                <w:color w:val="auto"/>
              </w:rPr>
            </w:pPr>
          </w:p>
        </w:tc>
      </w:tr>
      <w:tr>
        <w:trPr>
          <w:trHeight w:val="251"/>
        </w:trPr>
        <w:tc>
          <w:tcPr>
            <w:tcW w:w="61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123,359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116,230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1,966,033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1,598,115</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Company's effective income tax rates were 26.9% and 18.2% for the three months ended September 30, 2014 and 2013, respectively, and 27.7% and 22.3% for the nine months ended September 30, 2014 and 2013, respectively. The Company's effective income tax rates for the three and nine months ended September 30, 2014 and 2013 were lower than the applicable statutory income tax rate of 35% primarily because of the Company's U.S. income tax positions. The Company does not have a history of significant taxable income in the U.S.; therefore, the Company has recorded a valuation allowance against its U.S. federal tax net operating loss carryforwards. Accordingly, in instances when the Company's U.S. legal entities generate pre-tax U.S. GAAP income, no income tax expense is recognized to the extent there are net operating loss carryforwards to offset pre-tax U.S. GAAP income. The Company’s effective income tax rates for the three and nine months ended September 30, 2013 were lower than the applicable statutory income tax rate of 35% primarily because of the Company’s U.S. income tax positions and the recognition of nontaxable gains from the change in fair value of an acquisition-related contingent consideration liability and the sale of an equity method investment.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As of September 30, 2014, the Company had $92.6 million of stand-by letters of credit/bank guarantees issued on its behalf, of which $49.9 million are outstanding under the revolving credit facility. The remaining stand-by letters of credit/bank guarantees are collateralized by $4.3 million of cash deposits held by the respective issuing banks.</w:t>
      </w:r>
    </w:p>
    <w:p>
      <w:pPr>
        <w:spacing w:after="0" w:line="7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Under certain circumstances, Euronet grants guarantees in support of obligations of subsidiaries. As of September 30, 2014, the Company had granted off balance sheet guarantees for cash in various ATM networks amounting to $15.5 million over the terms of the cash supply agreements and performance guarantees amounting to approximately $29.9 million over the terms of agreements with the customers.</w:t>
      </w:r>
    </w:p>
    <w:p>
      <w:pPr>
        <w:spacing w:after="0" w:line="154"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Once each of Euronet's subsidiaries reaches a certain size, it is required under the Credit Agreement to provide a guarantee of all or a portion of the outstanding obligations under the Credit Agreement depending upon whether the subsidiary is a domestic or foreign entity.</w:t>
      </w:r>
    </w:p>
    <w:p>
      <w:pPr>
        <w:spacing w:after="0" w:line="9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36" w:lineRule="exact"/>
        <w:rPr>
          <w:sz w:val="20"/>
          <w:szCs w:val="20"/>
          <w:color w:val="auto"/>
        </w:rPr>
      </w:pPr>
    </w:p>
    <w:p>
      <w:pPr>
        <w:jc w:val="both"/>
        <w:ind w:left="580" w:right="20" w:hanging="329"/>
        <w:spacing w:after="0" w:line="312"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connection with contracts with financial institutions in the EFT Processing Segment, the Company is responsible for damage to ATMs and theft of ATM network cash that is not recorded on the Company’s Consolidated Balance Sheets. As of September 30, 2014, the balance of ATM network cash for which the Company was responsible was approximately $433 million. The Company maintains insurance policies to mitigate this exposure;</w:t>
      </w:r>
    </w:p>
    <w:p>
      <w:pPr>
        <w:spacing w:after="0" w:line="38" w:lineRule="exact"/>
        <w:rPr>
          <w:rFonts w:ascii="Arial" w:cs="Arial" w:eastAsia="Arial" w:hAnsi="Arial"/>
          <w:sz w:val="16"/>
          <w:szCs w:val="16"/>
          <w:color w:val="auto"/>
        </w:rPr>
      </w:pPr>
    </w:p>
    <w:p>
      <w:pPr>
        <w:ind w:left="580" w:right="100" w:hanging="329"/>
        <w:spacing w:after="0" w:line="312"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connection with contracts with financial institutions in the EFT Processing Segment, the Company is responsible for losses suffered by its customers and other parties as a result of the breach of its computer systems, including in particular, losses arising from fraudulent transactions made using information stolen through its processing systems. The Company maintains insurance policies to mitigate this exposure;</w:t>
      </w:r>
    </w:p>
    <w:p>
      <w:pPr>
        <w:spacing w:after="0" w:line="38" w:lineRule="exact"/>
        <w:rPr>
          <w:rFonts w:ascii="Arial" w:cs="Arial" w:eastAsia="Arial" w:hAnsi="Arial"/>
          <w:sz w:val="16"/>
          <w:szCs w:val="16"/>
          <w:color w:val="auto"/>
        </w:rPr>
      </w:pPr>
    </w:p>
    <w:p>
      <w:pPr>
        <w:ind w:left="580" w:right="160" w:hanging="329"/>
        <w:spacing w:after="0" w:line="264"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80" w:right="140" w:hanging="329"/>
        <w:spacing w:after="0" w:line="264"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73" w:lineRule="exact"/>
        <w:rPr>
          <w:rFonts w:ascii="Arial" w:cs="Arial" w:eastAsia="Arial" w:hAnsi="Arial"/>
          <w:sz w:val="18"/>
          <w:szCs w:val="18"/>
          <w:color w:val="auto"/>
        </w:rPr>
      </w:pPr>
    </w:p>
    <w:p>
      <w:pPr>
        <w:ind w:left="580" w:right="60" w:hanging="329"/>
        <w:spacing w:after="0" w:line="293"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56" w:lineRule="exact"/>
        <w:rPr>
          <w:rFonts w:ascii="Arial" w:cs="Arial" w:eastAsia="Arial" w:hAnsi="Arial"/>
          <w:sz w:val="16"/>
          <w:szCs w:val="16"/>
          <w:color w:val="auto"/>
        </w:rPr>
      </w:pPr>
    </w:p>
    <w:p>
      <w:pPr>
        <w:ind w:left="580" w:right="420" w:hanging="329"/>
        <w:spacing w:after="0" w:line="264"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September 30, 2014 or December 31,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LITIGATION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u w:val="single" w:color="auto"/>
          <w:color w:val="auto"/>
        </w:rPr>
        <w:t>Unclaimed property compliance</w:t>
      </w:r>
      <w:r>
        <w:rPr>
          <w:rFonts w:ascii="Arial" w:cs="Arial" w:eastAsia="Arial" w:hAnsi="Arial"/>
          <w:sz w:val="17"/>
          <w:szCs w:val="17"/>
          <w:color w:val="auto"/>
        </w:rPr>
        <w:t xml:space="preserve"> </w:t>
      </w:r>
      <w:r>
        <w:rPr>
          <w:rFonts w:ascii="Arial" w:cs="Arial" w:eastAsia="Arial" w:hAnsi="Arial"/>
          <w:sz w:val="17"/>
          <w:szCs w:val="17"/>
          <w:i w:val="1"/>
          <w:iCs w:val="1"/>
          <w:color w:val="auto"/>
        </w:rPr>
        <w:t>-</w:t>
      </w:r>
      <w:r>
        <w:rPr>
          <w:rFonts w:ascii="Arial" w:cs="Arial" w:eastAsia="Arial" w:hAnsi="Arial"/>
          <w:sz w:val="17"/>
          <w:szCs w:val="17"/>
          <w:color w:val="auto"/>
        </w:rPr>
        <w:t xml:space="preserve"> In September 2013, the Company entered into a voluntary disclosure agreement with the Secretary of State of the State of Delaware to determine compliance with Delaware unclaimed property laws. Types of property under examination include, but are not limited to, payroll checks, accounts payable checks and accounts receivable credits for the period 1996 through 2007. The total amount of exposure of this contingency is dependent upon the manner in which the State of Delaware applies its unclaimed property laws. The Company does not currently expect the outcome of this matter to have a material adverse effect on the Company's consolidated financial condition or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From time to time, the Company is a party to legal or regulatory proceedings arising in the ordinary course of its business. Currently, there are no legal proceeding or regulatory findings that management believes, either individually or in the aggregate, would have a material adverse effect on the Company's consolidated financial condition or results of operations.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terms "Euronet," the "Company," "we" and "us" as used herein refer to Euronet Worldwide, Inc. and its subsidiaries.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report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80" w:lineRule="exact"/>
        <w:rPr>
          <w:sz w:val="20"/>
          <w:szCs w:val="20"/>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plans and financing plans and requirements;</w:t>
      </w:r>
    </w:p>
    <w:p>
      <w:pPr>
        <w:spacing w:after="0" w:line="23"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trends affecting our business plans and financing plans and requirements;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trends affecting our business;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adequacy of capital to meet our capital requirements and expansion plans;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assumptions underlying our business plans;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estimated capital expenditures;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outcome of loss contingencies;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regarding the closing of pending acquisitions;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advances; and</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projected costs and revenues.</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Although we believe that the expectations reflected in these forward-looking statements are reasonable, we can give no assurance that these expectations will prove to be correct.</w:t>
      </w:r>
    </w:p>
    <w:p>
      <w:pPr>
        <w:spacing w:after="0" w:line="6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economic conditions in specific countries and regions; technological developments affecting the market for our products and services; our ability to successfully introduce new products and services; foreign currency exchange rate fluctuations; the effects of any potential future security breaches;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requirements; changes in laws and regulations affecting our business, including immigration laws; changes in our relationships with, or in fees charged by, our business partners; competition; the outcome of claims and other loss contingencies affecting Euronet; and those other factors referred to above and as set forth and more fully described in Part I, Item 1A — Risk Factors of our Annual Report on Form 10-K for the year ended December 31, 2013. Our Annual Report on Form 10-K is available on the SEC's EDGAR website at www.sec.gov, and a copy may also be obtained by contacting the Company. All forward-looking statements made in this Form 10-Q speak only as of the date of this report. We do not intend, and do not undertake any obligation, to update any forward-looking statements to reflect future events or circumstances after the date of such statements.</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and card outsourcing services, card issuing and merchant acquiring services; electronic distribution of prepaid mobile airtime and other electronic payment products; and global money transfer services. We operate in the following three segments:</w:t>
      </w:r>
    </w:p>
    <w:p>
      <w:pPr>
        <w:spacing w:after="0" w:line="79" w:lineRule="exact"/>
        <w:rPr>
          <w:sz w:val="20"/>
          <w:szCs w:val="20"/>
          <w:color w:val="auto"/>
        </w:rPr>
      </w:pPr>
    </w:p>
    <w:p>
      <w:pPr>
        <w:ind w:left="980" w:hanging="648"/>
        <w:spacing w:after="0" w:line="25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EFT Processing Segment, which processes transactions for a network of 19,808 ATMs and approximately 72,000 POS terminals across Europe, the Middle East and Asia Pacific. We provide comprehensive electronic payment solutions consisting of ATM cash withdrawal services, ATM network participation, outsourced ATM and POS management solutions, credit and debit card outsourcing, dynamic currency conversion, and other value added services. Through this segment, we also offer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80" w:hanging="648"/>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epay Segment, which provides distribution, processing and collection services for prepaid mobile airtime and other electronic payment products. We operate a network of approximately 667,000 POS terminals providing electronic processing of prepaid mobile airtime top-up services and other electronic payment products in Europe, the Middle East, Asia Pacific, the United States and South America. We also provide vouchers and physical gift fulfillment services in Europe.</w:t>
      </w:r>
    </w:p>
    <w:p>
      <w:pPr>
        <w:spacing w:after="0" w:line="78" w:lineRule="exact"/>
        <w:rPr>
          <w:rFonts w:ascii="Arial" w:cs="Arial" w:eastAsia="Arial" w:hAnsi="Arial"/>
          <w:sz w:val="18"/>
          <w:szCs w:val="18"/>
          <w:color w:val="auto"/>
        </w:rPr>
      </w:pPr>
    </w:p>
    <w:p>
      <w:pPr>
        <w:ind w:left="980" w:hanging="648"/>
        <w:spacing w:after="0" w:line="290"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Money Transfer Segment, which provides global consumer-to-consumer money transfer services, primarily under the brand name Ria and global account-to-account money transfer services under the brand name HiFX. We offer services under Ria, through a network of sending agents, Company-owned stores (primarily in North America and Europe) and via the Company's website (riamoneytransfer.com), disbursing money transfers through a worldwide correspondent network that includes approximately 241,000 locations. We offer services under HiFX via the Company's website (www.hifx.com) or by contacting a HiFX customer service representative.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mobile top-up. Under our HiFM brand, we offer cash management solutions and foreign currency risk management services to small-to-medium sized businesses.</w:t>
      </w:r>
    </w:p>
    <w:p>
      <w:pPr>
        <w:spacing w:after="0" w:line="58" w:lineRule="exact"/>
        <w:rPr>
          <w:sz w:val="20"/>
          <w:szCs w:val="20"/>
          <w:color w:val="auto"/>
        </w:rPr>
      </w:pPr>
    </w:p>
    <w:p>
      <w:pPr>
        <w:ind w:left="60" w:right="100"/>
        <w:spacing w:after="0" w:line="259" w:lineRule="auto"/>
        <w:rPr>
          <w:sz w:val="20"/>
          <w:szCs w:val="20"/>
          <w:color w:val="auto"/>
        </w:rPr>
      </w:pPr>
      <w:r>
        <w:rPr>
          <w:rFonts w:ascii="Arial" w:cs="Arial" w:eastAsia="Arial" w:hAnsi="Arial"/>
          <w:sz w:val="18"/>
          <w:szCs w:val="18"/>
          <w:color w:val="auto"/>
        </w:rPr>
        <w:t>We have five processing centers in Europe, four in Asia Pacific and two in North America. We have 31 principal offices in Europe, 11 in Asia Pacific, six in North America, three in the Middle East, two in South America and one in Africa. Our executive offices are located in Leawood, Kansas, USA. With approximately 75% of our revenues denominated in currencies other than the U.S. dollar, any significant changes in foreign currency exchange rates will likely have a significant impact on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Euronet primarily earns revenues and income based on ATM management fees, transaction fees, commissions and foreign currency exchange margin. Each operating segment’s sources of revenues are described below.</w:t>
      </w:r>
    </w:p>
    <w:p>
      <w:pPr>
        <w:spacing w:after="0" w:line="6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EFT Processing Segment </w:t>
      </w:r>
      <w:r>
        <w:rPr>
          <w:rFonts w:ascii="Arial" w:cs="Arial" w:eastAsia="Arial" w:hAnsi="Arial"/>
          <w:sz w:val="16"/>
          <w:szCs w:val="16"/>
          <w:color w:val="auto"/>
        </w:rPr>
        <w:t>— Revenues in the EFT Processing Segment, which represented 24% and 22% of our total consolidated revenues for the third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and first nine months of 2014, respectively, are primarily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dynamic currency conversion transactions, and other value added services such as advertising, prepaid telecommunication recharges, bill payment, and money transfers provided over ATMs. Revenues in this segment are also derived from license fees, professional services and maintenance fees for proprietary application software and sales of related hardware.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i w:val="1"/>
          <w:iCs w:val="1"/>
          <w:color w:val="auto"/>
        </w:rPr>
        <w:t xml:space="preserve">epay Segment </w:t>
      </w:r>
      <w:r>
        <w:rPr>
          <w:rFonts w:ascii="Arial" w:cs="Arial" w:eastAsia="Arial" w:hAnsi="Arial"/>
          <w:sz w:val="17"/>
          <w:szCs w:val="17"/>
          <w:color w:val="auto"/>
        </w:rPr>
        <w:t>— Revenues in the epay Segment, which represented 43% and 47% of our total consolidated revenues for the third quarter and first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of 2014, respectively, are primarily derived from commissions or processing fees received from mobile phone operators for the processing and distribution of prepaid mobile airtime and commissions earned from the distribution of other electronic payment products, vouchers, and physical gifts. Due to certain provisions in our mobile phone operator agreements, the operators have the ability to reduce the overall commission paid on top-up transactions. However, by virtue of our agreements with retailers (distributors where POS terminals are located) in certain markets, not all of these reductions are absorbed by us because we are able to pass a significant portion of the reductions to retailers. Accordingly, under certain retailer agreements, the effect is to reduce revenues and reduce our direct operating costs, resulting in only a small impact on gross profit and operating income. In some markets, reductions in commissions can significantly impact our results as it may not be possible, either contractually or commercially in the concerned market, to pass a reduction in commissions to the retailers. In certain markets, retailers may negotiate directly with the mobile phone operators and prepaid content providers for their own commission rates, which also limits our ability to pass through reductions in commissions. Agreements with mobile operators and prepaid content providers are important to the success of our business. These agreements permit us to distribute prepaid mobile airtime and other electronic payment products to the end consumer. Other electronic payment products offered by this segment include prepaid long distance calling card plans, prepaid Internet plans, prepaid debit cards, gift cards, vouchers, transport payments, lottery payments, bill payment, money transfer and digital content such as music, games and software.</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Money Transfer Segment </w:t>
      </w:r>
      <w:r>
        <w:rPr>
          <w:rFonts w:ascii="Arial" w:cs="Arial" w:eastAsia="Arial" w:hAnsi="Arial"/>
          <w:sz w:val="18"/>
          <w:szCs w:val="18"/>
          <w:color w:val="auto"/>
        </w:rPr>
        <w:t>— Revenues in the Money Transfer Segment, which represented 33% and 31% of our total consolidated revenues for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and first nine months of 2014, respectively, are primarily derived from transaction fees, as well as the margin earned from purchasing foreign currency at wholesale exchange rates and selling the foreign currency to customers at retail exchange rates. We have a sending network in place comprised of agents, customer service representatives, Company-owned stores, primarily in North America and Europe, and our websites riamoneytransfer.com and www.hifx.com,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w:t>
      </w:r>
    </w:p>
    <w:p>
      <w:pPr>
        <w:spacing w:after="0" w:line="8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currently focused on eight primary areas:</w:t>
      </w:r>
    </w:p>
    <w:p>
      <w:pPr>
        <w:spacing w:after="0" w:line="117" w:lineRule="exact"/>
        <w:rPr>
          <w:sz w:val="20"/>
          <w:szCs w:val="20"/>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the number of ATMs in our independent ATM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transactions processed on our network of owned and operated ATMs and POS devices;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signing new outsourced ATM and POS terminal management contracts;</w:t>
      </w:r>
    </w:p>
    <w:p>
      <w:pPr>
        <w:spacing w:after="0" w:line="117" w:lineRule="exact"/>
        <w:rPr>
          <w:rFonts w:ascii="Arial" w:cs="Arial" w:eastAsia="Arial" w:hAnsi="Arial"/>
          <w:sz w:val="18"/>
          <w:szCs w:val="18"/>
          <w:color w:val="auto"/>
        </w:rPr>
      </w:pPr>
    </w:p>
    <w:p>
      <w:pPr>
        <w:ind w:left="980" w:right="500" w:hanging="648"/>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value added services in our EFT Processing Segment, including the sale of dynamic currency conversion services to banks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our epay processing network and portfolio of electronic payment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our money transfer services, cross-currency payment products and bill payment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our cash management solutions and foreign currency risk management services;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our credit and debit card outsourcing business.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demand for our ATM outsourcing services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products or services, including value added services, to drive increases in transactions and revenues;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expansion of our various business lines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entry into additional card acceptance and ATM management agreements with banks;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required licenses in markets we intend to enter or expand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enter into and renew ATM network cash supply agreements with financial institutions;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financing for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efficiently install ATMs contracted under newly awarded outsourcing agreements;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renew existing contracts at profitable rates;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pricing at current levels or mitigate price reductions in certain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reductions in ATM interchange fees;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expand and sign additional customers for the cross-border merchant processing and acquiring business;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consistently evaluate and add prospects to our list of potential ATM outsourcing customers. However, we cannot predict any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several months. The process is further complicated by legal and regulatory considerations in local countries. These agreements tend to cover large numbers of ATMs, so significant increases and decreases in our pool of managed ATMs could result from the acquisition or termination of one or more of these management contracts. Therefore, the timing of both current and new contract revenues is uncertain and unpredictable.</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Software products are an integral part of our product lines, and our investment in research, development, delivery and customer support reflects our ongoing commitment to an expanded customer base.</w:t>
      </w:r>
    </w:p>
    <w:p>
      <w:pPr>
        <w:spacing w:after="0" w:line="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our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980" w:right="320" w:hanging="648"/>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and renew existing agreements, and to negotiate new agreements in additional markets with mobile phone operators, content providers, agent financial institutions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use existing expertise and relationships with mobile operators, content providers and retailers to our advantage;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continued use of third-party providers such as ourselves to supply electronic processing solutions for existing and additional content;</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development of mobile phone networks in the markets in which we do business and the increase in the number of mobile phone users;</w:t>
      </w:r>
    </w:p>
    <w:p>
      <w:pPr>
        <w:spacing w:after="0" w:line="140" w:lineRule="exact"/>
        <w:rPr>
          <w:rFonts w:ascii="Arial" w:cs="Arial" w:eastAsia="Arial" w:hAnsi="Arial"/>
          <w:sz w:val="16"/>
          <w:szCs w:val="16"/>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overall pace of growth in the prepaid mobile phone market, including consumer shifts between prepaid and postpaid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market share of the retail distribution capacity;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POS distribution of prepaid mobile airtime and other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commission that is paid to the various intermediaries in the electronic payment distribution chain;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fully recover monies collected by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add new and differentiated products in addition to those offered by mobile operators;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and effectively market additional value added services;</w:t>
      </w:r>
    </w:p>
    <w:p>
      <w:pPr>
        <w:spacing w:after="0" w:line="117" w:lineRule="exact"/>
        <w:rPr>
          <w:rFonts w:ascii="Arial" w:cs="Arial" w:eastAsia="Arial" w:hAnsi="Arial"/>
          <w:sz w:val="18"/>
          <w:szCs w:val="18"/>
          <w:color w:val="auto"/>
        </w:rPr>
      </w:pPr>
    </w:p>
    <w:p>
      <w:pPr>
        <w:ind w:left="980" w:right="360" w:hanging="648"/>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Money Transfer Segment, including providing money transfer services through our distribution network;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125" w:right="3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all of the markets in which we operate, we are experiencing significant competition which will impact the rate at which we may be able to grow organically. Competition among prepaid mobile airtime distributors results in the increase of commissions paid to retailers and increases in retailer attrition rates. To grow, we must capture market share from other prepaid mobile airtime distributors, offer a superior product offering and demonstrate the value of a global network. In certain markets in which we operate, we believe that many of the factors that may contribute to rapid growth (growth in electronic payment products, expansion of our network of retailers and access to all mobile operators' products) remain present.</w:t>
      </w:r>
    </w:p>
    <w:p>
      <w:pPr>
        <w:spacing w:after="0" w:line="6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continued expansion and development of our Money Transfer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continued growth in worker migration and employment opportunities;</w:t>
      </w:r>
    </w:p>
    <w:p>
      <w:pPr>
        <w:spacing w:after="0" w:line="117" w:lineRule="exact"/>
        <w:rPr>
          <w:rFonts w:ascii="Arial" w:cs="Arial" w:eastAsia="Arial" w:hAnsi="Arial"/>
          <w:sz w:val="18"/>
          <w:szCs w:val="18"/>
          <w:color w:val="auto"/>
        </w:rPr>
      </w:pPr>
    </w:p>
    <w:p>
      <w:pPr>
        <w:ind w:left="980" w:right="22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mitigation of economic and political factors that have had an adverse impact on money transfer volumes, such as changes in the economic sectors in which immigrants work and the developments in immigration policies in the U.S.;</w:t>
      </w:r>
    </w:p>
    <w:p>
      <w:pPr>
        <w:spacing w:after="0" w:line="62" w:lineRule="exact"/>
        <w:rPr>
          <w:rFonts w:ascii="Arial" w:cs="Arial" w:eastAsia="Arial" w:hAnsi="Arial"/>
          <w:sz w:val="18"/>
          <w:szCs w:val="18"/>
          <w:color w:val="auto"/>
        </w:rPr>
      </w:pPr>
    </w:p>
    <w:p>
      <w:pPr>
        <w:ind w:left="980" w:right="72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services among immigrant workers and the unbanked population in our markets;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our agent and correspondent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offer our products and services or develop new products and services at competitive prices to drive increases in transactions;</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our money transfer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expansion of our services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strengthen our brands;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fund working capital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17"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epay Segment, including providing prepaid services through Ria’s stores and agents worldwide;</w:t>
      </w:r>
    </w:p>
    <w:p>
      <w:pPr>
        <w:spacing w:after="0" w:line="62"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leverage our banking and merchant/retailer relationships to expand money transfer corridors to Europe, Asia and Africa, including high growth corridors to Central and Eastern European countries;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 and</w:t>
      </w:r>
    </w:p>
    <w:p>
      <w:pPr>
        <w:spacing w:after="0" w:line="117"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expand our agent network in Europe using our payment institution licenses under the Payment Services Directive and in the United States.</w:t>
      </w:r>
    </w:p>
    <w:p>
      <w:pPr>
        <w:spacing w:after="0" w:line="27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Any inability to continue to effectively manage expansion could have a material adverse effect on our business, growth, financial condition and results of operations. Inadequate technology and resources would impair our ability to maintain current processing technology and efficiencies, as well as deliver new and innovative services to compete in the marketplace.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Revenues and operating income by segment for the three and nine months ended September 30, 2014 and 2013 are summarized in the tables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11"/>
          </w:tcPr>
          <w:p>
            <w:pPr>
              <w:ind w:left="100"/>
              <w:spacing w:after="0"/>
              <w:rPr>
                <w:sz w:val="20"/>
                <w:szCs w:val="20"/>
                <w:color w:val="auto"/>
              </w:rPr>
            </w:pPr>
            <w:r>
              <w:rPr>
                <w:rFonts w:ascii="Arial" w:cs="Arial" w:eastAsia="Arial" w:hAnsi="Arial"/>
                <w:sz w:val="14"/>
                <w:szCs w:val="14"/>
                <w:b w:val="1"/>
                <w:bCs w:val="1"/>
                <w:color w:val="auto"/>
              </w:rPr>
              <w:t>Revenues for the Three Months</w:t>
            </w:r>
          </w:p>
        </w:tc>
        <w:tc>
          <w:tcPr>
            <w:tcW w:w="140" w:type="dxa"/>
            <w:vAlign w:val="bottom"/>
          </w:tcPr>
          <w:p>
            <w:pPr>
              <w:spacing w:after="0"/>
              <w:rPr>
                <w:sz w:val="14"/>
                <w:szCs w:val="14"/>
                <w:color w:val="auto"/>
              </w:rPr>
            </w:pPr>
          </w:p>
        </w:tc>
        <w:tc>
          <w:tcPr>
            <w:tcW w:w="1880" w:type="dxa"/>
            <w:vAlign w:val="bottom"/>
            <w:gridSpan w:val="5"/>
            <w:vMerge w:val="restart"/>
          </w:tcPr>
          <w:p>
            <w:pPr>
              <w:jc w:val="right"/>
              <w:ind w:right="20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gridSpan w:val="2"/>
            <w:vMerge w:val="restart"/>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1"/>
              </w:rPr>
              <w:t>Revenues for the Nine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5"/>
            <w:vMerge w:val="restart"/>
          </w:tcPr>
          <w:p>
            <w:pPr>
              <w:jc w:val="right"/>
              <w:ind w:right="26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4"/>
                <w:szCs w:val="14"/>
                <w:b w:val="1"/>
                <w:bCs w:val="1"/>
                <w:color w:val="auto"/>
              </w:rPr>
              <w:t>Ended September 30,</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Increase</w:t>
            </w:r>
          </w:p>
        </w:tc>
        <w:tc>
          <w:tcPr>
            <w:tcW w:w="80" w:type="dxa"/>
            <w:vAlign w:val="bottom"/>
          </w:tcPr>
          <w:p>
            <w:pPr>
              <w:spacing w:after="0"/>
              <w:rPr>
                <w:sz w:val="13"/>
                <w:szCs w:val="13"/>
                <w:color w:val="auto"/>
              </w:rPr>
            </w:pPr>
          </w:p>
        </w:tc>
        <w:tc>
          <w:tcPr>
            <w:tcW w:w="1160" w:type="dxa"/>
            <w:vAlign w:val="bottom"/>
            <w:gridSpan w:val="3"/>
          </w:tcPr>
          <w:p>
            <w:pPr>
              <w:ind w:left="180"/>
              <w:spacing w:after="0" w:line="153" w:lineRule="exact"/>
              <w:rPr>
                <w:sz w:val="20"/>
                <w:szCs w:val="20"/>
                <w:color w:val="auto"/>
              </w:rPr>
            </w:pPr>
            <w:r>
              <w:rPr>
                <w:rFonts w:ascii="Arial" w:cs="Arial" w:eastAsia="Arial" w:hAnsi="Arial"/>
                <w:sz w:val="14"/>
                <w:szCs w:val="14"/>
                <w:b w:val="1"/>
                <w:bCs w:val="1"/>
                <w:color w:val="auto"/>
              </w:rPr>
              <w:t>Increase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3"/>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Increase</w:t>
            </w:r>
          </w:p>
        </w:tc>
        <w:tc>
          <w:tcPr>
            <w:tcW w:w="80" w:type="dxa"/>
            <w:vAlign w:val="bottom"/>
          </w:tcPr>
          <w:p>
            <w:pPr>
              <w:spacing w:after="0"/>
              <w:rPr>
                <w:sz w:val="13"/>
                <w:szCs w:val="13"/>
                <w:color w:val="auto"/>
              </w:rPr>
            </w:pPr>
          </w:p>
        </w:tc>
        <w:tc>
          <w:tcPr>
            <w:tcW w:w="940" w:type="dxa"/>
            <w:vAlign w:val="bottom"/>
          </w:tcPr>
          <w:p>
            <w:pPr>
              <w:jc w:val="right"/>
              <w:ind w:right="18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1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(dollar amounts in thousands)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gridSpan w:val="2"/>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gridSpan w:val="2"/>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107,503</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83,594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23,909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271,580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219,149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52,431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3"/>
        </w:trPr>
        <w:tc>
          <w:tcPr>
            <w:tcW w:w="194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195,086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182,629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12,457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562,129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548,867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13,262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151,250</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95,276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55,974</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369,568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271,536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98,032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37"/>
        </w:trPr>
        <w:tc>
          <w:tcPr>
            <w:tcW w:w="19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453,839</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361,499</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92,340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1,203,277</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1,039,552</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163,725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9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7"/>
              </w:rPr>
              <w:t>eliminations and other</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502</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center"/>
              <w:ind w:left="275"/>
              <w:spacing w:after="0"/>
              <w:rPr>
                <w:sz w:val="20"/>
                <w:szCs w:val="20"/>
                <w:color w:val="auto"/>
              </w:rPr>
            </w:pPr>
            <w:r>
              <w:rPr>
                <w:rFonts w:ascii="Arial" w:cs="Arial" w:eastAsia="Arial" w:hAnsi="Arial"/>
                <w:sz w:val="18"/>
                <w:szCs w:val="18"/>
                <w:color w:val="auto"/>
                <w:w w:val="93"/>
              </w:rPr>
              <w:t>707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7"/>
        </w:trPr>
        <w:tc>
          <w:tcPr>
            <w:tcW w:w="194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453,422</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360,580</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92,842</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1,202,199</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1,037,767</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164,432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140" w:type="dxa"/>
            <w:vAlign w:val="bottom"/>
            <w:gridSpan w:val="10"/>
          </w:tcPr>
          <w:p>
            <w:pPr>
              <w:ind w:left="20"/>
              <w:spacing w:after="0"/>
              <w:rPr>
                <w:sz w:val="20"/>
                <w:szCs w:val="20"/>
                <w:color w:val="auto"/>
              </w:rPr>
            </w:pPr>
            <w:r>
              <w:rPr>
                <w:rFonts w:ascii="Arial" w:cs="Arial" w:eastAsia="Arial" w:hAnsi="Arial"/>
                <w:sz w:val="14"/>
                <w:szCs w:val="14"/>
                <w:b w:val="1"/>
                <w:bCs w:val="1"/>
                <w:color w:val="auto"/>
                <w:w w:val="98"/>
              </w:rPr>
              <w:t>Operating Income (Expense) for</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40" w:type="dxa"/>
            <w:vAlign w:val="bottom"/>
            <w:gridSpan w:val="7"/>
            <w:vMerge w:val="restart"/>
          </w:tcPr>
          <w:p>
            <w:pPr>
              <w:jc w:val="right"/>
              <w:ind w:right="220"/>
              <w:spacing w:after="0"/>
              <w:rPr>
                <w:sz w:val="20"/>
                <w:szCs w:val="20"/>
                <w:color w:val="auto"/>
              </w:rPr>
            </w:pPr>
            <w:r>
              <w:rPr>
                <w:rFonts w:ascii="Arial" w:cs="Arial" w:eastAsia="Arial" w:hAnsi="Arial"/>
                <w:sz w:val="14"/>
                <w:szCs w:val="14"/>
                <w:b w:val="1"/>
                <w:bCs w:val="1"/>
                <w:color w:val="auto"/>
                <w:w w:val="92"/>
              </w:rPr>
              <w:t>Operating Income (Expense) for the</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8"/>
          </w:tcPr>
          <w:p>
            <w:pPr>
              <w:jc w:val="right"/>
              <w:ind w:right="360"/>
              <w:spacing w:after="0" w:line="149" w:lineRule="exact"/>
              <w:rPr>
                <w:sz w:val="20"/>
                <w:szCs w:val="20"/>
                <w:color w:val="auto"/>
              </w:rPr>
            </w:pPr>
            <w:r>
              <w:rPr>
                <w:rFonts w:ascii="Arial" w:cs="Arial" w:eastAsia="Arial" w:hAnsi="Arial"/>
                <w:sz w:val="14"/>
                <w:szCs w:val="14"/>
                <w:b w:val="1"/>
                <w:bCs w:val="1"/>
                <w:color w:val="auto"/>
                <w:w w:val="93"/>
              </w:rPr>
              <w:t>the Three Months Ended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gridSpan w:val="6"/>
            <w:vMerge w:val="restart"/>
          </w:tcPr>
          <w:p>
            <w:pPr>
              <w:jc w:val="right"/>
              <w:ind w:right="420"/>
              <w:spacing w:after="0"/>
              <w:rPr>
                <w:sz w:val="20"/>
                <w:szCs w:val="20"/>
                <w:color w:val="auto"/>
              </w:rPr>
            </w:pPr>
            <w:r>
              <w:rPr>
                <w:rFonts w:ascii="Arial" w:cs="Arial" w:eastAsia="Arial" w:hAnsi="Arial"/>
                <w:sz w:val="14"/>
                <w:szCs w:val="14"/>
                <w:b w:val="1"/>
                <w:bCs w:val="1"/>
                <w:color w:val="auto"/>
                <w:w w:val="96"/>
              </w:rPr>
              <w:t>Year-over-Year Change</w:t>
            </w:r>
          </w:p>
        </w:tc>
        <w:tc>
          <w:tcPr>
            <w:tcW w:w="16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40" w:type="dxa"/>
            <w:vAlign w:val="bottom"/>
            <w:gridSpan w:val="7"/>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gridSpan w:val="5"/>
            <w:vMerge w:val="restart"/>
          </w:tcPr>
          <w:p>
            <w:pPr>
              <w:jc w:val="right"/>
              <w:ind w:right="3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tcPr>
          <w:p>
            <w:pPr>
              <w:jc w:val="right"/>
              <w:ind w:right="47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right"/>
              <w:ind w:right="53"/>
              <w:spacing w:after="0"/>
              <w:rPr>
                <w:sz w:val="20"/>
                <w:szCs w:val="20"/>
                <w:color w:val="auto"/>
              </w:rPr>
            </w:pPr>
            <w:r>
              <w:rPr>
                <w:rFonts w:ascii="Arial" w:cs="Arial" w:eastAsia="Arial" w:hAnsi="Arial"/>
                <w:sz w:val="14"/>
                <w:szCs w:val="14"/>
                <w:b w:val="1"/>
                <w:bCs w:val="1"/>
                <w:color w:val="auto"/>
                <w:w w:val="94"/>
              </w:rPr>
              <w:t>Nine Months Ended September 30,</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1"/>
              </w:rPr>
              <w:t>Increase</w:t>
            </w:r>
          </w:p>
        </w:tc>
        <w:tc>
          <w:tcPr>
            <w:tcW w:w="80" w:type="dxa"/>
            <w:vAlign w:val="bottom"/>
          </w:tcPr>
          <w:p>
            <w:pPr>
              <w:spacing w:after="0"/>
              <w:rPr>
                <w:sz w:val="13"/>
                <w:szCs w:val="13"/>
                <w:color w:val="auto"/>
              </w:rPr>
            </w:pPr>
          </w:p>
        </w:tc>
        <w:tc>
          <w:tcPr>
            <w:tcW w:w="1160" w:type="dxa"/>
            <w:vAlign w:val="bottom"/>
            <w:gridSpan w:val="3"/>
          </w:tcPr>
          <w:p>
            <w:pPr>
              <w:jc w:val="center"/>
              <w:ind w:right="160"/>
              <w:spacing w:after="0" w:line="153" w:lineRule="exact"/>
              <w:rPr>
                <w:sz w:val="20"/>
                <w:szCs w:val="20"/>
                <w:color w:val="auto"/>
              </w:rPr>
            </w:pPr>
            <w:r>
              <w:rPr>
                <w:rFonts w:ascii="Arial" w:cs="Arial" w:eastAsia="Arial" w:hAnsi="Arial"/>
                <w:sz w:val="14"/>
                <w:szCs w:val="14"/>
                <w:b w:val="1"/>
                <w:bCs w:val="1"/>
                <w:color w:val="auto"/>
                <w:w w:val="91"/>
              </w:rPr>
              <w:t>Increase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1"/>
              </w:rPr>
              <w:t>Increase</w:t>
            </w:r>
          </w:p>
        </w:tc>
        <w:tc>
          <w:tcPr>
            <w:tcW w:w="80" w:type="dxa"/>
            <w:vAlign w:val="bottom"/>
          </w:tcPr>
          <w:p>
            <w:pPr>
              <w:spacing w:after="0"/>
              <w:rPr>
                <w:sz w:val="13"/>
                <w:szCs w:val="13"/>
                <w:color w:val="auto"/>
              </w:rPr>
            </w:pPr>
          </w:p>
        </w:tc>
        <w:tc>
          <w:tcPr>
            <w:tcW w:w="9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(Decrease)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6"/>
              </w:rPr>
              <w:t>(dollar amounts in thousands)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(Decrease)Amount</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1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(Decrease)Amount</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34,210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4"/>
              </w:rPr>
              <w:t>44,620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68,562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66,184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center"/>
              <w:ind w:left="275"/>
              <w:spacing w:after="0"/>
              <w:rPr>
                <w:sz w:val="20"/>
                <w:szCs w:val="20"/>
                <w:color w:val="auto"/>
              </w:rPr>
            </w:pPr>
            <w:r>
              <w:rPr>
                <w:rFonts w:ascii="Arial" w:cs="Arial" w:eastAsia="Arial" w:hAnsi="Arial"/>
                <w:sz w:val="18"/>
                <w:szCs w:val="18"/>
                <w:color w:val="auto"/>
                <w:w w:val="88"/>
              </w:rPr>
              <w:t>2,378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194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12,451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w w:val="94"/>
              </w:rPr>
              <w:t>12,128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3 %</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41,533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39,290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center"/>
              <w:ind w:left="275"/>
              <w:spacing w:after="0"/>
              <w:rPr>
                <w:sz w:val="20"/>
                <w:szCs w:val="20"/>
                <w:color w:val="auto"/>
              </w:rPr>
            </w:pPr>
            <w:r>
              <w:rPr>
                <w:rFonts w:ascii="Arial" w:cs="Arial" w:eastAsia="Arial" w:hAnsi="Arial"/>
                <w:sz w:val="18"/>
                <w:szCs w:val="18"/>
                <w:color w:val="auto"/>
                <w:w w:val="88"/>
              </w:rPr>
              <w:t>2,243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12,583</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7,517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5,066</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67 %</w:t>
            </w:r>
          </w:p>
        </w:tc>
        <w:tc>
          <w:tcPr>
            <w:tcW w:w="1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27,336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22,342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center"/>
              <w:ind w:left="275"/>
              <w:spacing w:after="0"/>
              <w:rPr>
                <w:sz w:val="20"/>
                <w:szCs w:val="20"/>
                <w:color w:val="auto"/>
              </w:rPr>
            </w:pPr>
            <w:r>
              <w:rPr>
                <w:rFonts w:ascii="Arial" w:cs="Arial" w:eastAsia="Arial" w:hAnsi="Arial"/>
                <w:sz w:val="18"/>
                <w:szCs w:val="18"/>
                <w:color w:val="auto"/>
                <w:w w:val="88"/>
              </w:rPr>
              <w:t>4,994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19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59,244</w:t>
            </w: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4"/>
              </w:rPr>
              <w:t>64,265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(5,021)</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137,431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2"/>
              </w:rPr>
              <w:t>127,816</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center"/>
              <w:ind w:left="275"/>
              <w:spacing w:after="0"/>
              <w:rPr>
                <w:sz w:val="20"/>
                <w:szCs w:val="20"/>
                <w:color w:val="auto"/>
              </w:rPr>
            </w:pPr>
            <w:r>
              <w:rPr>
                <w:rFonts w:ascii="Arial" w:cs="Arial" w:eastAsia="Arial" w:hAnsi="Arial"/>
                <w:sz w:val="18"/>
                <w:szCs w:val="18"/>
                <w:color w:val="auto"/>
                <w:w w:val="88"/>
              </w:rPr>
              <w:t>9,615</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eliminations and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9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(8,512)</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(28,189)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(25,513)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center"/>
              <w:ind w:left="175"/>
              <w:spacing w:after="0"/>
              <w:rPr>
                <w:sz w:val="20"/>
                <w:szCs w:val="20"/>
                <w:color w:val="auto"/>
              </w:rPr>
            </w:pPr>
            <w:r>
              <w:rPr>
                <w:rFonts w:ascii="Arial" w:cs="Arial" w:eastAsia="Arial" w:hAnsi="Arial"/>
                <w:sz w:val="18"/>
                <w:szCs w:val="18"/>
                <w:color w:val="auto"/>
                <w:w w:val="91"/>
              </w:rPr>
              <w:t>(2,676)</w:t>
            </w:r>
          </w:p>
        </w:tc>
        <w:tc>
          <w:tcPr>
            <w:tcW w:w="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19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50,732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4"/>
              </w:rPr>
              <w:t>55,345</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(4,613)</w:t>
            </w:r>
          </w:p>
        </w:tc>
        <w:tc>
          <w:tcPr>
            <w:tcW w:w="80" w:type="dxa"/>
            <w:vAlign w:val="bottom"/>
            <w:tcBorders>
              <w:top w:val="single" w:sz="8" w:color="auto"/>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109,242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2"/>
              </w:rPr>
              <w:t>102,303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center"/>
              <w:ind w:left="275"/>
              <w:spacing w:after="0"/>
              <w:rPr>
                <w:sz w:val="20"/>
                <w:szCs w:val="20"/>
                <w:color w:val="auto"/>
              </w:rPr>
            </w:pPr>
            <w:r>
              <w:rPr>
                <w:rFonts w:ascii="Arial" w:cs="Arial" w:eastAsia="Arial" w:hAnsi="Arial"/>
                <w:sz w:val="18"/>
                <w:szCs w:val="18"/>
                <w:color w:val="auto"/>
                <w:w w:val="88"/>
              </w:rPr>
              <w:t>6,939</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revenues and local expenses are recorded in the functional currencies of our operating entities; therefore, amounts we earn outside the U.S. are negatively impacted by the stronger U.S. dollar and positively impacted by the weaker U.S. dollar. Despite the strengthening of the U.S. dollar towards the end of the third quarter of 2014, on average, the U.S. dollar was weaker in the reported 2014 periods than the same 2013 periods compared to currencies of several key markets in which we operate. Considering the results by country and the associated functional currency, we estimate that our consolidated operating income for the third quarter of 2014 was not significantly influenced by the changes in foreign currency exchange rates when compared to the same period of 2013. We estimate that our consolidated operating income for the first nine months of 2014 was approximately 2% higher when compared to the same periods of 2013 as a result of changes in foreign currency exchange rates.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provide further perspective on the impact of foreign currency exchange rates, the following table shows the changes in values relative to the U.S. dollar of the currencies of the countries in which we have our most significant operations: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Average Translation Rate</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Average Translation Rate</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w w:val="95"/>
              </w:rPr>
              <w:t>Three Months Ended September 30,</w:t>
            </w:r>
          </w:p>
        </w:tc>
        <w:tc>
          <w:tcPr>
            <w:tcW w:w="100" w:type="dxa"/>
            <w:vAlign w:val="bottom"/>
          </w:tcPr>
          <w:p>
            <w:pPr>
              <w:spacing w:after="0"/>
              <w:rPr>
                <w:sz w:val="16"/>
                <w:szCs w:val="16"/>
                <w:color w:val="auto"/>
              </w:rPr>
            </w:pPr>
          </w:p>
        </w:tc>
        <w:tc>
          <w:tcPr>
            <w:tcW w:w="14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Increase</w:t>
            </w: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4"/>
                <w:szCs w:val="14"/>
                <w:b w:val="1"/>
                <w:bCs w:val="1"/>
                <w:color w:val="auto"/>
                <w:w w:val="96"/>
              </w:rPr>
              <w:t>Nine Months Ended September 30,</w:t>
            </w:r>
          </w:p>
        </w:tc>
        <w:tc>
          <w:tcPr>
            <w:tcW w:w="100" w:type="dxa"/>
            <w:vAlign w:val="bottom"/>
          </w:tcPr>
          <w:p>
            <w:pPr>
              <w:spacing w:after="0"/>
              <w:rPr>
                <w:sz w:val="16"/>
                <w:szCs w:val="16"/>
                <w:color w:val="auto"/>
              </w:rPr>
            </w:pPr>
          </w:p>
        </w:tc>
        <w:tc>
          <w:tcPr>
            <w:tcW w:w="1260" w:type="dxa"/>
            <w:vAlign w:val="bottom"/>
            <w:vMerge w:val="restart"/>
          </w:tcPr>
          <w:p>
            <w:pPr>
              <w:jc w:val="right"/>
              <w:ind w:right="282"/>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Currency (dollars per foreign currency)</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4"/>
              </w:rPr>
              <w:t>(Decrease)Percent</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(Decrease)Percent</w:t>
            </w: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0.9244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0.9155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0.9179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0.9812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Brazilian real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0.4398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0.4373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0.4374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0.4740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1.5517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1.5464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3"/>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euro</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1.3246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1.3256</w:t>
            </w:r>
          </w:p>
        </w:tc>
        <w:tc>
          <w:tcPr>
            <w:tcW w:w="100" w:type="dxa"/>
            <w:vAlign w:val="bottom"/>
          </w:tcPr>
          <w:p>
            <w:pPr>
              <w:spacing w:after="0"/>
              <w:rPr>
                <w:sz w:val="21"/>
                <w:szCs w:val="21"/>
                <w:color w:val="auto"/>
              </w:rPr>
            </w:pPr>
          </w:p>
        </w:tc>
        <w:tc>
          <w:tcPr>
            <w:tcW w:w="1480" w:type="dxa"/>
            <w:vAlign w:val="bottom"/>
            <w:gridSpan w:val="2"/>
          </w:tcPr>
          <w:p>
            <w:pPr>
              <w:ind w:left="740"/>
              <w:spacing w:after="0"/>
              <w:rPr>
                <w:sz w:val="20"/>
                <w:szCs w:val="20"/>
                <w:color w:val="auto"/>
              </w:rPr>
            </w:pPr>
            <w:r>
              <w:rPr>
                <w:rFonts w:ascii="Arial" w:cs="Arial" w:eastAsia="Arial" w:hAnsi="Arial"/>
                <w:sz w:val="18"/>
                <w:szCs w:val="18"/>
                <w:color w:val="auto"/>
              </w:rPr>
              <w:t>n/m</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1.3554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1.3174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Hungarian forint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0.0045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0.0044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Indian rupee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0.0165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0.0161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0.0165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0.0175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Polish zloty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0.3126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0.3140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310"/>
        </w:trPr>
        <w:tc>
          <w:tcPr>
            <w:tcW w:w="2520" w:type="dxa"/>
            <w:vAlign w:val="bottom"/>
          </w:tcPr>
          <w:p>
            <w:pPr>
              <w:spacing w:after="0"/>
              <w:rPr>
                <w:sz w:val="20"/>
                <w:szCs w:val="20"/>
                <w:color w:val="auto"/>
              </w:rPr>
            </w:pPr>
            <w:r>
              <w:rPr>
                <w:rFonts w:ascii="Arial" w:cs="Arial" w:eastAsia="Arial" w:hAnsi="Arial"/>
                <w:sz w:val="18"/>
                <w:szCs w:val="18"/>
                <w:color w:val="auto"/>
              </w:rPr>
              <w:t>___________________</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1"/>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gridSpan w:val="2"/>
          </w:tcPr>
          <w:p>
            <w:pPr>
              <w:jc w:val="right"/>
              <w:ind w:right="902"/>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125" w:right="3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THREE AND NINE MONTHS ENDED SEPTEMBER 30, 2014 AND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results of operations for the three and nine months ended September 30, 2014 and 2013 for our EFT Processing Segment: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940" w:type="dxa"/>
            <w:vAlign w:val="bottom"/>
            <w:gridSpan w:val="3"/>
            <w:vMerge w:val="restart"/>
          </w:tcPr>
          <w:p>
            <w:pPr>
              <w:jc w:val="right"/>
              <w:ind w:right="224"/>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tcPr>
          <w:p>
            <w:pPr>
              <w:ind w:left="24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720" w:type="dxa"/>
            <w:vAlign w:val="bottom"/>
            <w:gridSpan w:val="3"/>
            <w:vMerge w:val="restart"/>
          </w:tcPr>
          <w:p>
            <w:pPr>
              <w:jc w:val="right"/>
              <w:ind w:right="122"/>
              <w:spacing w:after="0"/>
              <w:rPr>
                <w:sz w:val="20"/>
                <w:szCs w:val="20"/>
                <w:color w:val="auto"/>
              </w:rPr>
            </w:pPr>
            <w:r>
              <w:rPr>
                <w:rFonts w:ascii="Arial" w:cs="Arial" w:eastAsia="Arial" w:hAnsi="Arial"/>
                <w:sz w:val="14"/>
                <w:szCs w:val="14"/>
                <w:b w:val="1"/>
                <w:bCs w:val="1"/>
                <w:color w:val="auto"/>
                <w:w w:val="96"/>
              </w:rPr>
              <w:t>Year-over-Year Change</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15"/>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2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4"/>
              </w:rPr>
              <w:t>Increase</w:t>
            </w:r>
          </w:p>
        </w:tc>
        <w:tc>
          <w:tcPr>
            <w:tcW w:w="120" w:type="dxa"/>
            <w:vAlign w:val="bottom"/>
          </w:tcPr>
          <w:p>
            <w:pPr>
              <w:spacing w:after="0"/>
              <w:rPr>
                <w:sz w:val="13"/>
                <w:szCs w:val="13"/>
                <w:color w:val="auto"/>
              </w:rPr>
            </w:pPr>
          </w:p>
        </w:tc>
        <w:tc>
          <w:tcPr>
            <w:tcW w:w="86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8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107,503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83,594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23,909</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271,580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219,149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52,431</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46,612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10,036</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125,773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104,103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21,670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274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12,155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10,195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1,960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35,127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29,409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5,718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1,267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19,167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2,637</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2740" w:type="dxa"/>
            <w:vAlign w:val="bottom"/>
            <w:gridSpan w:val="2"/>
          </w:tcPr>
          <w:p>
            <w:pPr>
              <w:ind w:left="180"/>
              <w:spacing w:after="0"/>
              <w:rPr>
                <w:sz w:val="20"/>
                <w:szCs w:val="20"/>
                <w:color w:val="auto"/>
              </w:rPr>
            </w:pPr>
            <w:r>
              <w:rPr>
                <w:rFonts w:ascii="Arial" w:cs="Arial" w:eastAsia="Arial" w:hAnsi="Arial"/>
                <w:sz w:val="18"/>
                <w:szCs w:val="18"/>
                <w:color w:val="auto"/>
              </w:rPr>
              <w:t>Acquisition-related contingent</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ind w:left="260"/>
              <w:spacing w:after="0"/>
              <w:rPr>
                <w:sz w:val="20"/>
                <w:szCs w:val="20"/>
                <w:color w:val="auto"/>
              </w:rPr>
            </w:pPr>
            <w:r>
              <w:rPr>
                <w:rFonts w:ascii="Arial" w:cs="Arial" w:eastAsia="Arial" w:hAnsi="Arial"/>
                <w:sz w:val="18"/>
                <w:szCs w:val="18"/>
                <w:color w:val="auto"/>
              </w:rPr>
              <w:t>consideration gain</w:t>
            </w:r>
          </w:p>
        </w:tc>
        <w:tc>
          <w:tcPr>
            <w:tcW w:w="2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19,319</w:t>
            </w:r>
          </w:p>
        </w:tc>
        <w:tc>
          <w:tcPr>
            <w:tcW w:w="120" w:type="dxa"/>
            <w:vAlign w:val="bottom"/>
          </w:tcPr>
          <w:p>
            <w:pPr>
              <w:spacing w:after="0"/>
              <w:rPr>
                <w:sz w:val="20"/>
                <w:szCs w:val="20"/>
                <w:color w:val="auto"/>
              </w:rPr>
            </w:pP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(19,319)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19,319</w:t>
            </w:r>
          </w:p>
        </w:tc>
        <w:tc>
          <w:tcPr>
            <w:tcW w:w="120" w:type="dxa"/>
            <w:vAlign w:val="bottom"/>
          </w:tcPr>
          <w:p>
            <w:pPr>
              <w:spacing w:after="0"/>
              <w:rPr>
                <w:sz w:val="20"/>
                <w:szCs w:val="20"/>
                <w:color w:val="auto"/>
              </w:rPr>
            </w:pPr>
          </w:p>
        </w:tc>
        <w:tc>
          <w:tcPr>
            <w:tcW w:w="860" w:type="dxa"/>
            <w:vAlign w:val="bottom"/>
          </w:tcPr>
          <w:p>
            <w:pPr>
              <w:jc w:val="right"/>
              <w:ind w:right="10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6,273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1,737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22,951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709</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274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73,293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38,974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34,319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88 %</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203,018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152,965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50,053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34,210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44,620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68,562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66,184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2,378</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740" w:type="dxa"/>
            <w:vAlign w:val="bottom"/>
            <w:gridSpan w:val="2"/>
          </w:tcPr>
          <w:p>
            <w:pPr>
              <w:ind w:left="180"/>
              <w:spacing w:after="0"/>
              <w:rPr>
                <w:sz w:val="20"/>
                <w:szCs w:val="20"/>
                <w:color w:val="auto"/>
              </w:rPr>
            </w:pPr>
            <w:r>
              <w:rPr>
                <w:rFonts w:ascii="Arial" w:cs="Arial" w:eastAsia="Arial" w:hAnsi="Arial"/>
                <w:sz w:val="18"/>
                <w:szCs w:val="18"/>
                <w:color w:val="auto"/>
                <w:w w:val="94"/>
              </w:rPr>
              <w:t>Transactions processed (millions)</w:t>
            </w:r>
          </w:p>
        </w:tc>
        <w:tc>
          <w:tcPr>
            <w:tcW w:w="240" w:type="dxa"/>
            <w:vAlign w:val="bottom"/>
          </w:tcPr>
          <w:p>
            <w:pPr>
              <w:spacing w:after="0"/>
              <w:rPr>
                <w:sz w:val="20"/>
                <w:szCs w:val="20"/>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65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ATMs as of September 30,</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19,808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2,013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2,013</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2740" w:type="dxa"/>
            <w:vAlign w:val="bottom"/>
            <w:gridSpan w:val="2"/>
          </w:tcPr>
          <w:p>
            <w:pPr>
              <w:ind w:left="180"/>
              <w:spacing w:after="0"/>
              <w:rPr>
                <w:sz w:val="20"/>
                <w:szCs w:val="20"/>
                <w:color w:val="auto"/>
              </w:rPr>
            </w:pPr>
            <w:r>
              <w:rPr>
                <w:rFonts w:ascii="Arial" w:cs="Arial" w:eastAsia="Arial" w:hAnsi="Arial"/>
                <w:sz w:val="18"/>
                <w:szCs w:val="18"/>
                <w:color w:val="auto"/>
              </w:rPr>
              <w:t>Average ATMs</w:t>
            </w: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19,579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17,595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1,984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18,995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17,671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1,324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3"/>
        </w:trPr>
        <w:tc>
          <w:tcPr>
            <w:tcW w:w="2640" w:type="dxa"/>
            <w:vAlign w:val="bottom"/>
          </w:tcPr>
          <w:p>
            <w:pPr>
              <w:spacing w:after="0"/>
              <w:rPr>
                <w:sz w:val="20"/>
                <w:szCs w:val="20"/>
                <w:color w:val="auto"/>
              </w:rPr>
            </w:pPr>
            <w:r>
              <w:rPr>
                <w:rFonts w:ascii="Arial" w:cs="Arial" w:eastAsia="Arial" w:hAnsi="Arial"/>
                <w:sz w:val="18"/>
                <w:szCs w:val="18"/>
                <w:color w:val="auto"/>
              </w:rPr>
              <w:t>___________________</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740" w:type="dxa"/>
            <w:vAlign w:val="bottom"/>
            <w:gridSpan w:val="2"/>
          </w:tcPr>
          <w:p>
            <w:pPr>
              <w:spacing w:after="0"/>
              <w:rPr>
                <w:sz w:val="20"/>
                <w:szCs w:val="20"/>
                <w:color w:val="auto"/>
              </w:rPr>
            </w:pPr>
            <w:r>
              <w:rPr>
                <w:rFonts w:ascii="Arial" w:cs="Arial" w:eastAsia="Arial" w:hAnsi="Arial"/>
                <w:sz w:val="16"/>
                <w:szCs w:val="16"/>
                <w:color w:val="auto"/>
              </w:rPr>
              <w:t>n/m - Not meaningful</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revenues for the third quarter and first nine months of 2014 increased when compared to the same periods of 2013, primarily due to an increase in the number of ATMs under management, an increase in demand for dynamic currency conversion ("DCC") on both our ATMs and POS devices under management, growth in revenues from debit and credit card outsourcing services in Greece and the net impact of the U.S. dollar weakening against key foreign currencies. Also contributing to the increase in revenues for the first nine months of 2014 compared to the same period of 2013 was an increase in the number of transactions processed in Poland during the first nine months of 2014.</w:t>
      </w:r>
    </w:p>
    <w:p>
      <w:pPr>
        <w:spacing w:after="0" w:line="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Average monthly revenues per ATM were $1,830 for the third quarter and $1,589 for the first nine months of 2014 compared to $1,584 for the third quarter and $1,378 for the first nine of 2013. Revenues per transaction were $0.33 for the third quarter and $0.29 for the first nine months of 2014 compared to $0.27 for the third quarter and $0.25 for the first nine months of 2013. These increases were primarily the result of revenue growth from DCC on our ATMs under management, which earns higher revenues per transaction than other ATM or card based services, and the net impact of the U.S. dollar weakening against key foreign currencies.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Direct operating costs consist primarily of site rental fees, cash delivery costs, cash supply costs, maintenance, insurance, telecommunications, data center operations-related personnel, as well as the processing centers’ facility-related costs and other processing center-related expenses and commissions paid to retail merchants, banks and card processors involved with POS DCC transactions. Direct operating costs increased for the third quarter and first nine months of 2014 compared to the same periods of 2013, primarily due to an increase in the number of ATMs under management, an increase in demand for DCC on POS devices, growth in revenues from debit and credit card outsourcing services in Greece and the net impact of the U.S. dollar weakening against key foreign currencies.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Gross profit, which is calculated as revenues less direct operating costs, was $60.9 million for the third quarter and $145.8 million for the first nine months of 2014 compared to $47.0 million for the third quarter and $115.0 million for the first nine months of 2013. The increase in gross profit was primarily due to growth in revenues from DCC and growth in revenues from debit and credit card outsourcing services in Greece. Also contributing to the increase in gross profit for the first nine months of 2014 compared to the same period of 2013 was an increase in the number of transactions processed in Poland and India and the net impact of the U.S. dollar weakening against key foreign currencies. Gross profit as a percentage of revenues (“gross margin”) was 56.6% for the third quarter and 53.7% for the first nine months of 2014 compared to 56.2% for the third quarter and 52.5% for the first nine months of 2013. The increase in gross margin was primarily due to revenue growth from DCC and other value added services on our ATMs under management, which earn higher gross profits than other services.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increase in salaries and benefits for the third quarter and first nine months of 2014 compared to the same periods of 2013 was primarily due to additional headcount to support an increase in the number of ATMs and POS devices under management. As a percentage of revenues, these costs decreased to 11.3% for the third quarter and 12.9% for the first nine months of 2014 from 12.2% for third quarter and 13.4% for the first nine months of 2013. These decreases were primarily due to the growth in revenues earned from DCC and other value added service transactions on our ATMs under management, which require minimal incremental support costs.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increase in selling, general and administrative expenses for the third quarter and first nine months of 2014 compared to the same periods of 2013 was primarily due to increased support costs as a result of the increase in the number of ATMs under management and growth in DCC transactions on POS devices. As a percentage of revenues, these expenses decreased slightly to 6.1% for the third quarter and 7.1% for the first nine months of 2014 from 6.3% for the third quarter and 7.5% for the first nine months of 2013. These decreases were primarily due to the growth in revenues earned from DCC and other value added service transactions on our ATMs under management, which require minimal incremental support costs.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related contingent consideration gain</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the third quarter of 2013, we adjusted to fair value the contingent consideration liability related to the acquisition of Pure Commerce Limited ("Pure Commerce") based on our assessment that the performance targets for gross profit and EBITDA would not be met. The change in fair value resulted in the recognition of a $19.3 million gain.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increase in depreciation and amortization expense for the third quarter and first nine months of 2014 compared to the same periods of 2013 was primarily due to an increase in depreciation on our ATMs under management, partly offset by certain software assets becoming fully amortized during 2013. As a percentage of revenues, depreciation and amortization expense decreased to 7.5% for the third quarter and 8.5% for the first nine months of 2014 from 7.5% for the third quarter and 10.1% for the first nine months of 2013, primarily due to the growth in revenues from DCC and other value added service transactions on our ATMs under management, which require minimal incremental support costs.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decrease in operating income for the third quarter of 2014 compared to the same period of 2013 was primarily due to the recognition of a $19.3 million acquisition-related contingent consideration gain in the third quarter of 2013, partly offset by an increase in the number of ATMs under management, growth in revenues earned from DCC and other value added service transactions, growth in revenues from debit and credit card management services in Greece and the net impact of the U.S. dollar weakening against key foreign currencies.</w:t>
      </w:r>
    </w:p>
    <w:p>
      <w:pPr>
        <w:spacing w:after="0" w:line="7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increase in operating income for the first nine months of 2014 compared to the same period of 2013 was primarily due to the increase in the number of ATMs under management, growth in revenues earned from DCC and other value added service transactions, growth in revenues from debit and credit card management services in Greece and the net impact of the U.S. dollar weakening against key foreign currencies, partly offset by the recognition of a $19.3 million acquisition-related contingent consideration gain in the third quarter of 2013.</w:t>
      </w:r>
    </w:p>
    <w:p>
      <w:pPr>
        <w:spacing w:after="0" w:line="7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Excluding the acquisition-related contingent consideration gain discussed above, operating income as a percentage of revenues (“operating margin”) increased to 31.8% for the third quarter and 25.2% for the first nine months of 2014 from 30.3% for the third quarter and 21.4% for the first nine months of 2013 and operating income per transaction increased to $0.11 for the third quarter and $0.07 for the first nine months of 2014 from $0.08 for the third quarter and $0.05 for the first nine months of 2013. These increases were primarily due to growth in revenues earned from DCC and other value added services on our ATMs under management and the net impact of the U.S. dollar weakening against key foreign currencies.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219"/>
          </w:cols>
          <w:pgMar w:left="240" w:top="125" w:right="1440"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 and nine months ended September 30, 2014 and 2013 for our epay Segment: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60" w:type="dxa"/>
            <w:vAlign w:val="bottom"/>
            <w:gridSpan w:val="3"/>
            <w:vMerge w:val="restart"/>
          </w:tcPr>
          <w:p>
            <w:pPr>
              <w:jc w:val="right"/>
              <w:ind w:right="142"/>
              <w:spacing w:after="0"/>
              <w:rPr>
                <w:sz w:val="20"/>
                <w:szCs w:val="20"/>
                <w:color w:val="auto"/>
              </w:rPr>
            </w:pPr>
            <w:r>
              <w:rPr>
                <w:rFonts w:ascii="Arial" w:cs="Arial" w:eastAsia="Arial" w:hAnsi="Arial"/>
                <w:sz w:val="14"/>
                <w:szCs w:val="14"/>
                <w:b w:val="1"/>
                <w:bCs w:val="1"/>
                <w:color w:val="auto"/>
                <w:w w:val="98"/>
              </w:rPr>
              <w:t>Year-over-Year Change</w:t>
            </w:r>
          </w:p>
        </w:tc>
        <w:tc>
          <w:tcPr>
            <w:tcW w:w="2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2340" w:type="dxa"/>
            <w:vAlign w:val="bottom"/>
            <w:gridSpan w:val="3"/>
            <w:vMerge w:val="restart"/>
          </w:tcPr>
          <w:p>
            <w:pPr>
              <w:jc w:val="right"/>
              <w:ind w:right="482"/>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1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Increase</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126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860" w:type="dxa"/>
            <w:vAlign w:val="bottom"/>
            <w:gridSpan w:val="2"/>
          </w:tcPr>
          <w:p>
            <w:pPr>
              <w:jc w:val="right"/>
              <w:ind w:right="35"/>
              <w:spacing w:after="0" w:line="149" w:lineRule="exact"/>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Percent</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(Decrease)Amount</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4"/>
              </w:rPr>
              <w:t>(Decrease)Percent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8"/>
              </w:rPr>
              <w:t>195,086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182,629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12,457</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562,129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548,867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13,262</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Direct operating costs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8"/>
              </w:rPr>
              <w:t>153,121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10,837</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434,984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424,343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10,641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gridSpan w:val="2"/>
          </w:tcPr>
          <w:p>
            <w:pPr>
              <w:ind w:left="160"/>
              <w:spacing w:after="0"/>
              <w:rPr>
                <w:sz w:val="20"/>
                <w:szCs w:val="20"/>
                <w:color w:val="auto"/>
              </w:rPr>
            </w:pPr>
            <w:r>
              <w:rPr>
                <w:rFonts w:ascii="Arial" w:cs="Arial" w:eastAsia="Arial" w:hAnsi="Arial"/>
                <w:sz w:val="18"/>
                <w:szCs w:val="18"/>
                <w:color w:val="auto"/>
              </w:rPr>
              <w:t>Salaries and benefits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862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41,856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41,976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1260" w:type="dxa"/>
            <w:vAlign w:val="bottom"/>
          </w:tcPr>
          <w:p>
            <w:pPr>
              <w:jc w:val="right"/>
              <w:ind w:right="16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administrative</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11,160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473</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31,433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30,689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744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0" w:type="dxa"/>
            <w:vAlign w:val="bottom"/>
            <w:gridSpan w:val="2"/>
          </w:tcPr>
          <w:p>
            <w:pPr>
              <w:ind w:left="160"/>
              <w:spacing w:after="0"/>
              <w:rPr>
                <w:sz w:val="20"/>
                <w:szCs w:val="20"/>
                <w:color w:val="auto"/>
              </w:rPr>
            </w:pPr>
            <w:r>
              <w:rPr>
                <w:rFonts w:ascii="Arial" w:cs="Arial" w:eastAsia="Arial" w:hAnsi="Arial"/>
                <w:sz w:val="18"/>
                <w:szCs w:val="18"/>
                <w:color w:val="auto"/>
              </w:rPr>
              <w:t>Depreciation and</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tcPr>
          <w:p>
            <w:pPr>
              <w:ind w:left="32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0"/>
                <w:szCs w:val="20"/>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3,998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20"/>
                <w:szCs w:val="20"/>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12,323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12,569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4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w w:val="99"/>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8"/>
              </w:rPr>
              <w:t>182,635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12,134</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520,596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509,577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11,019</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400" w:type="dxa"/>
            <w:vAlign w:val="bottom"/>
            <w:tcBorders>
              <w:bottom w:val="single" w:sz="8" w:color="CCEEFF"/>
            </w:tcBorders>
            <w:gridSpan w:val="2"/>
          </w:tcPr>
          <w:p>
            <w:pPr>
              <w:ind w:left="58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12,451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323</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41,533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39,290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2,243</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8"/>
                <w:szCs w:val="18"/>
                <w:color w:val="auto"/>
              </w:rPr>
              <w:t>Transactions processed</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(millions)</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___________________</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20" w:type="dxa"/>
            <w:vAlign w:val="bottom"/>
            <w:gridSpan w:val="3"/>
          </w:tcPr>
          <w:p>
            <w:pPr>
              <w:spacing w:after="0"/>
              <w:rPr>
                <w:sz w:val="20"/>
                <w:szCs w:val="20"/>
                <w:color w:val="auto"/>
              </w:rPr>
            </w:pPr>
            <w:r>
              <w:rPr>
                <w:rFonts w:ascii="Arial" w:cs="Arial" w:eastAsia="Arial" w:hAnsi="Arial"/>
                <w:sz w:val="16"/>
                <w:szCs w:val="16"/>
                <w:color w:val="auto"/>
              </w:rPr>
              <w:t>n/m - Not meaningful</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increase in revenues for the third quarter and first nine months of 2014 compared to the same periods of 2013 was primarily due to an increase in the number of non-mobile transactions processed in Germany and the net impact of the U.S. dollar weakening against key foreign currencies. Our cadooz subsidiary also contributed to the third quarter increase with an increase in physical gift redemptions resulting from a marketing promotion and it contributed to the increase in the first nine months with an increase in voucher redemptions. Partially offsetting the increase in revenues for both the third quarter and first nine months of 2014 compared to the same periods of 2013 was a decrease in prepaid mobile transactions processed in Brazil, which was due to the continued impact of changes in certain mobile operators' distribution strategies, which limited our ability to distribute certain products within certain markets in Brazil.</w:t>
      </w:r>
    </w:p>
    <w:p>
      <w:pPr>
        <w:spacing w:after="0" w:line="5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Also, partially offsetting the increase in revenues for the first nine months of 2014 compared to the same period of 2013 was a decrease in prepaid mobile transactions processed in Australia and the U.S. during the first nine months of 2014, caused by increased competitive pressures.</w:t>
      </w:r>
    </w:p>
    <w:p>
      <w:pPr>
        <w:spacing w:after="0" w:line="3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currently expect most of our future revenue growth in the epay segment to be derived from: (i) additional electronic payment products sold over the base of POS terminals, (ii) value added services, (iii) developing markets or markets in which there is organic growth in the electronic top-up sector overall, and (iv) acquisitions, if available and commercially appropriate.</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Revenues per transaction decreased to $0.61 for the third quarter and $0.62 for the first nine months of 2014 from $0.68 for the third quarter and $0.66 for the first nine months of 2013, primarily due to growth in the number of prepaid mobile transactions processed in India, where revenues per transaction are considerably lower than average. The decrease in revenues per transaction was partly offset by the increase in the number of non-mobile transactions processed in Germany, for which we generally earn higher revenues per transaction than mobile transactions and the net impact of the U.S. dollar weakening against key foreign currencies.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Direct operating costs in our epay Segment include the commissions we pay to retail merchants for the distribution and sale of prepaid mobile airtime and other prepaid products, expenses required to operate POS terminals and the cost of vouchers sold and physical gifts fulfilled. The increase in direct operating costs for the third quarter and first nine months of 2014 compared to the same periods of 2013 was primarily due to the increase in non-mobile transactions processed in Germany, and the net impact of the U.S. dollar weakening against key foreign currencies, partly offset by the decrease in prepaid mobile transactions processed in Brazil. Our cadooz subsidiary also contributed to the third quarter increase with an increase in physical gift redemptions and it contributed to the increase in the first nine months with an increase in voucher redemptions.</w:t>
      </w:r>
    </w:p>
    <w:p>
      <w:pPr>
        <w:spacing w:after="0" w:line="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Also, partially offsetting the increase in direct operating costs for the first nine months of 2014 compared to the same period of 2013 was a decrease in prepaid mobile transactions processed in Australia and the 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Gross profit was $42.0 million for the third quarter and $127.1 million for the first nine months of 2014 compared to $40.3 million for the third quarter and $124.5 million for the first nine months of 2013. The increase in gross profit was primarily due to growth in non-mobile transactions processed in Germany and the net impact of the U.S. dollar weakening against key foreign currencies, partly offset by the decreases in revenues in Brazil.</w:t>
      </w:r>
    </w:p>
    <w:p>
      <w:pPr>
        <w:spacing w:after="0" w:line="5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Gross margin decreased to 21.5% for the third quarter of 2014 from 22.1% for the same period of 2013, primarily due to a decrease in revenues in Brazil, partly offset by growth in non-mobile transactions processed in Germany. Gross margin decreased slightly to 22.6% for the first nine months of 2014 from 22.7% for the same period of 2013.</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increase in salaries and benefits for the third quarter of 2014 compared to the same period of 2013 was primarily due to a higher headcount in Germany to support the increase in revenues discussed above and the net impact of the U.S. dollar weakening against key foreign currencies, partly offset by a lower headcount in Australia and Brazil in response to the decrease in the number of transactions processed. The decrease in salaries and benefits for the first nine months of 2014 compared to the same period of 2013 was due to a lower headcount in Australia and Brazil in response to the decrease in the number of transactions processed, partly offset by the increase in headcount in Germany discussed above.</w:t>
      </w:r>
    </w:p>
    <w:p>
      <w:pPr>
        <w:spacing w:after="0" w:line="6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As a percentage of revenues, salaries and benefits remained at 7.4% for the third quarters of 2014 and 2013 and decreased slightly to 7.4% for the first nine months of 2014 from 7.6% for the first nine months of 2013, primarily due to the increases in revenues in Germany discussed above.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increase in selling, general and administrative expenses for the third quarter and first nine months of 2014 compared to the same periods of 2013 was primarily due to an increase in marketing expenses and the net impact of the U.S. dollar weakening against key foreign currencies. Also contributing to the increase in selling, general and administrative expenses for the first nine months of 2014 compared to the same period of 2013 was an increase in bad debt expense.</w:t>
      </w:r>
    </w:p>
    <w:p>
      <w:pPr>
        <w:spacing w:after="0" w:line="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a percentage of revenues, selling, general and administrative expenses decreased slightly to 5.7% for the third quarter of 2014 compared to 5.9% for the same period of 2013, while remaining unchanged at 5.6% for both the first nine months of 2014 and 2013. The decrease for the third quarter of 2014 compared to same period of 2013 was due to the increase in revenues in Germany discussed above.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Depreciation and amortization expense primarily represents depreciation of POS terminals we place in retail stores and the amortization of acquired intangible assets. Depreciation and amortization expense was unchanged for the third quarter of 2014 compared to the same period of 2013. The decrease in depreciation and amortization expense for the first nine months of 2014 compared to the same period of 2013 was due to certain acquired intangible assets becoming fully amortized during the first quarter of 2013, partly offset by the net impact of the U.S. dollar weakening against key foreign currencies. As a percentage of revenues, depreciation and amortization expense decreased slightly to 2.0% for the third quarter and 2.2% for the first nine months of 2014 from 2.2% for the third quarter and 2.3% for the first nine months of 2013.</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increase in operating income for the third quarter and first nine months of 2014 compared to the same periods of 2013 was primarily due to the increase in gross margin discussed above, along with the net impact of the U.S. dollar weakening against key foreign currencies, partly offset by the increase in marketing expenses. Also contributing to the change in operating income for the first nine months of 2014 compared to the same period of 2013 was the decrease in salaries and benefits and depreciation expenses, partly offset by an increase in bad debt expense.</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00"/>
          </w:cols>
          <w:pgMar w:left="240" w:top="125" w:right="3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Operating margin decreased to 6.4% for the third quarter of 2014 from 6.6% for the same period of 2013, primarily due to the increase in salaries and benefits and marketing expenses, while operating margin increased slightly to 7.4% for the first nine months of 2014 from 7.2% for the same period of 2013. Operating income per transaction decreased slightly to $0.04 for the third quarter of 2014 from $0.05 for the same period of 2013, while operating income per transaction was unchanged at $0.05 for the first nine months of both 2014 and 2013.</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results of operations for the three and nine months ended September 30, 2014 and 2013 for the Money Transfer Segment:</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tcPr>
          <w:p>
            <w:pPr>
              <w:ind w:left="24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115"/>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20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w w:val="94"/>
              </w:rPr>
              <w:t>Increase</w:t>
            </w:r>
          </w:p>
        </w:tc>
        <w:tc>
          <w:tcPr>
            <w:tcW w:w="120" w:type="dxa"/>
            <w:vAlign w:val="bottom"/>
          </w:tcPr>
          <w:p>
            <w:pPr>
              <w:spacing w:after="0"/>
              <w:rPr>
                <w:sz w:val="13"/>
                <w:szCs w:val="13"/>
                <w:color w:val="auto"/>
              </w:rPr>
            </w:pPr>
          </w:p>
        </w:tc>
        <w:tc>
          <w:tcPr>
            <w:tcW w:w="98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2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151,250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95,276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55,974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369,568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271,536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98,032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75,455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29,867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183,985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130,221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53,764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32,219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23,120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9,099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83,472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64,601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18,871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23,747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14,521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9,226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57,438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40,621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16,817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7,246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4,530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2,716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17,337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13,751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3,586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138,667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87,759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50,908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342,232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249,194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93,038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97"/>
        </w:trPr>
        <w:tc>
          <w:tcPr>
            <w:tcW w:w="266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12,583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7,517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5,066</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67%</w:t>
            </w:r>
          </w:p>
        </w:tc>
        <w:tc>
          <w:tcPr>
            <w:tcW w:w="2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27,336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22,342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4,994</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9"/>
        </w:trPr>
        <w:tc>
          <w:tcPr>
            <w:tcW w:w="26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Transactions processed</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increase in revenues for the third quarter and first nine months of 2014 compared to the same periods of 2013 was primarily due to an increase in the number of money transfers processed, largely driven by our Walmart money transfer product in the U.S., growth in our agent and correspondent payout networks in foreign markets and the impact of our May 2014 acquisition of EIM (FX) Limited, which owns subsidiaries that operate under the brand name HiFX. The increase in revenues for the first nine months of 2014 compared to the same period of 2013 was also impacted by the euro strengthening against the U.S. dollar.</w:t>
      </w:r>
    </w:p>
    <w:p>
      <w:pPr>
        <w:spacing w:after="0" w:line="80"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HiFX facilitates account-to-account foreign exchange solutions, primarily cross-border, cross-currency transactions, for small-to-medium sized businesses and individuals. The majority of HiFX's revenues are earned from foreign currency exchange margin derived from purchasing currencies at wholesale exchange rates and selling currencies to customer at retail exchange rates, which enables customers to make cross-currency payments. In addition, HiFX writes foreign currency forward and cross-currency swap contracts for customers to facilitate future payments.</w:t>
      </w:r>
    </w:p>
    <w:p>
      <w:pPr>
        <w:spacing w:after="0" w:line="6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Revenues per transaction increased to $10.88 for the third quarter and $10.74 for the first nine months of 2014 from $10.71 for the third quarter and $10.48 for the first nine months of 2013, primarily due to impact of our acquisition of HiFX, partly offset by the launch of our Walmart money transfer product during the second quarter of 2014, which earns lower revenues per transaction than other money transfer services. Also contributing to the increase in revenues per transaction for the first nine months of 2014 compared to the same period of 2013 was the impact of the euro strengthening against the U.S. dollar.</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Direct operating costs in the Money Transfer Segment primarily represent commissions paid to agents who originate money transfers on our behalf and correspondent agents who disburse funds to the customers’ destination beneficiaries, together with less significant costs, such as bank depository fees. The increase in direct operating costs for the third quarter and first nine months of 2014 compared to the same periods of 2013 was primarily due to growth in the number of money transfer transactions processed in both the U.S. and non-U.S. locations. Also contributing to the increase in direct operating costs for the first nine months of 2014 compared to the same period of 2013 was the impact of the euro strengthening against the U.S. dollar.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Gross profit was $75.8 million for the third quarter and $185.6 million for the first nine months of 2014 compared to $49.7 million for the third quarter and $141.3 million for the first nine months of 2013. The increase in gross profit was primarily due to growth in the number of money transfer transactions processed in both the U.S. and foreign markets and the impact of our acquisition of HiFX. Also contributing to the increase in gross profit for the first nine months of 2014 compared to the same period of 2013 was the impact of the euro strengthening against the U.S. dollar.</w:t>
      </w:r>
    </w:p>
    <w:p>
      <w:pPr>
        <w:spacing w:after="0" w:line="63"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Gross margin decreased to 50.1% for the third quarter and 50.2% for the first nine months of 2014 from 52.2% for third quarter and 52.0% for the first nine months of 2013, primarily due to the launch of our Walmart money transfer product in the U.S., which earns a lower gross profit per transaction than other money transfer services, partly offset by the impact of our acquisition of HiFX, which has higher margin transactions.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increase in salaries and benefits for the third quarter and first nine months of 2014 compared to the same periods of 2013 was primarily due to the impact of our acquisition of HiFX and an increase in headcount as a result of the launch of our Walmart money transfer product, the development of our online money transfer service and expansion of our operations in foreign markets. As a percentage of revenues, salaries and benefits decreased to 21.3% for the third quarter and 22.6% for the first nine months of 2014 from 24.3% for third quarter and 23.8% for the first nine months of 2013, primarily due to the increase in the number of money transfers processed in the U.S, which did not require similar increases in support cost.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increase in selling, general and administrative expenses for the third quarter and first nine months of 2014 compared to the same periods of 2013 was primarily due to an increase in professional fees, including acquisition-related costs, an increase in bad debt expense, the impact of our acquisition of HiFX, expenses incurred to support the expansion of our money transfer products in both the U.S. and foreign markets and the write-down of certain customer acquisition costs. Also contributing to the increase in selling, general and administrative expenses for the first nine months of 2014 compared to the same period of 2013 was the impact of the euro strengthening against the U.S. dollar.</w:t>
      </w:r>
    </w:p>
    <w:p>
      <w:pPr>
        <w:spacing w:after="0" w:line="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a percentage of revenues, selling, general and administrative expenses increased to 15.7% for the third quarter of 2014 from 15.2% for the same period of 2013, primarily due to the write-down of customer acquisition costs, partly offset by an increase in the number of money transfers processed in the U.S., which did not require similar increases in support costs. As a percentage of revenues, selling, general and administrative expenses increased to 15.5% for the first nine months of 2014 from 15.0% for the same period of 2013, primarily due to the write-down of customer acquisition costs and an increase in acquisition-related expenses during the first half of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Depreciation and amortization primarily represents amortization of acquired intangible assets and depreciation of money transfer terminals, computers and software, leasehold improvements and office equipment. The increase in depreciation and amortization for the third quarter and first nine months of 2014 compared to the same periods of 2013 was primarily due to the amortization of intangible assets related to the acquisition of HiFX. As a percentage of revenues, depreciation and amortization was unchanged at 4.8% for both the third quarter of 2014 and 2013, while decreasing to 4.7% for the first nine months of 2014 from 5.1% for the first nine months of 2013. This decrease was primarily due to the revenues earned from our Walmart money transfer product, which required less capital investment than other money transfer products.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increase in operating income for the third quarter and first nine months of 2014 compared to the same periods of 2013 was primarily due to the increase in the number of money transfers processed and the impact of our acquisition of HiFX, partly offset by an increase in professional fees, bad debt expense, salaries and benefits related to development of our online money transfer service and write-down of certain customer acquisition costs during the first and third quarters of 2014. Also contributing to the increase in operating income for the first nine months of 2014 compared to the same period of 2013 was the impact of the euro strengthening against the U.S. dollar.</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25"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As a percentage of revenues, operating margin increased to 8.3% for the third quarter of 2014 from 7.9% for same period of 2013, primarily due to the increase in the number of money transfers processed in the U.S. and the acquisition of HiFX, partly offset by the write-down of certain customer acquisition costs. As a percentage of revenues, operating margin decreased to 7.4% for the first nine months of 2014 from 8.2% for the same period of 2013, primarily due to the increase in professional fees related to the acquisition of HiFX and the write-down of certain customer acquisition costs during the first and third quarters of 2014.</w:t>
      </w:r>
    </w:p>
    <w:p>
      <w:pPr>
        <w:spacing w:after="0" w:line="8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Operating income per transaction increased to $0.91 for the third quarter of 2014 from $0.84 for the same period of 2013, primarily due to the increase in operating margin discussed above. Operating income per transaction decreased to $0.79 for the first nine months of 2014 from $0.86 for the same period of 2013, primarily due to the decrease in operating margin discussed above, which was partly offset by the impact of the euro strengthening against the U.S. dollar.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operating expenses for the three and nine months ended September 30, 2014 and 2013 for Corporate Services: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900" w:type="dxa"/>
            <w:vAlign w:val="bottom"/>
            <w:gridSpan w:val="3"/>
            <w:vMerge w:val="restart"/>
          </w:tcPr>
          <w:p>
            <w:pPr>
              <w:jc w:val="right"/>
              <w:ind w:right="222"/>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880" w:type="dxa"/>
            <w:vAlign w:val="bottom"/>
            <w:gridSpan w:val="3"/>
            <w:vMerge w:val="restart"/>
          </w:tcPr>
          <w:p>
            <w:pPr>
              <w:jc w:val="right"/>
              <w:ind w:right="202"/>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3"/>
                <w:szCs w:val="13"/>
                <w:color w:val="auto"/>
              </w:rPr>
            </w:pPr>
          </w:p>
        </w:tc>
        <w:tc>
          <w:tcPr>
            <w:tcW w:w="12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19"/>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98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5,857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18,074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17,312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762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700" w:type="dxa"/>
            <w:vAlign w:val="bottom"/>
          </w:tcPr>
          <w:p>
            <w:pPr>
              <w:jc w:val="right"/>
              <w:ind w:right="38"/>
              <w:spacing w:after="0"/>
              <w:rPr>
                <w:sz w:val="20"/>
                <w:szCs w:val="20"/>
                <w:color w:val="auto"/>
              </w:rPr>
            </w:pPr>
            <w:r>
              <w:rPr>
                <w:rFonts w:ascii="Arial" w:cs="Arial" w:eastAsia="Arial" w:hAnsi="Arial"/>
                <w:sz w:val="18"/>
                <w:szCs w:val="18"/>
                <w:color w:val="auto"/>
              </w:rPr>
              <w:t>2,588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8"/>
              <w:spacing w:after="0"/>
              <w:rPr>
                <w:sz w:val="20"/>
                <w:szCs w:val="20"/>
                <w:color w:val="auto"/>
              </w:rPr>
            </w:pPr>
            <w:r>
              <w:rPr>
                <w:rFonts w:ascii="Arial" w:cs="Arial" w:eastAsia="Arial" w:hAnsi="Arial"/>
                <w:sz w:val="18"/>
                <w:szCs w:val="18"/>
                <w:color w:val="auto"/>
              </w:rPr>
              <w:t>9,907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7,925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1,982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n/m</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8,512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8,920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28,189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25,513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2,676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8"/>
                <w:szCs w:val="18"/>
                <w:color w:val="auto"/>
              </w:rPr>
              <w:t>___________________</w:t>
            </w:r>
          </w:p>
        </w:tc>
        <w:tc>
          <w:tcPr>
            <w:tcW w:w="1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000" w:type="dxa"/>
            <w:vAlign w:val="bottom"/>
            <w:gridSpan w:val="2"/>
          </w:tcPr>
          <w:p>
            <w:pPr>
              <w:spacing w:after="0"/>
              <w:rPr>
                <w:sz w:val="20"/>
                <w:szCs w:val="20"/>
                <w:color w:val="auto"/>
              </w:rPr>
            </w:pPr>
            <w:r>
              <w:rPr>
                <w:rFonts w:ascii="Arial" w:cs="Arial" w:eastAsia="Arial" w:hAnsi="Arial"/>
                <w:sz w:val="16"/>
                <w:szCs w:val="16"/>
                <w:color w:val="auto"/>
              </w:rPr>
              <w:t>n/m — Not meaningful</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Overall, operating expenses for Corporate Services decreased for the third quarter of 2014 compared to the same period of 2013, primarily due to a decrease in salaries and benefits and selling, general and administrative expense. The decrease in salaries and benefits was primarily due to a decrease in bonus expense related to the timing of meeting higher bonus targets. The decrease in selling, general and administrative expense was primarily due to a decrease in professional expenses.</w:t>
      </w:r>
    </w:p>
    <w:p>
      <w:pPr>
        <w:spacing w:after="0" w:line="79"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Overall, operating expenses for Corporate Services increased for the first nine months of 2014 compared to the same period of 2013, primarily due to an increase in salaries and benefits and selling, general and administrative expense. The increase in salaries and benefits was primarily due to an increase in headcount. The increase in selling, general and administrative expense was primarily due to an increase in acquisition-related costs and the settlement of a dispute related to a prior period potential acquisition during the first half of 2014.</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NET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920" w:type="dxa"/>
            <w:vAlign w:val="bottom"/>
            <w:gridSpan w:val="3"/>
            <w:vMerge w:val="restart"/>
          </w:tcPr>
          <w:p>
            <w:pPr>
              <w:jc w:val="right"/>
              <w:ind w:right="216"/>
              <w:spacing w:after="0"/>
              <w:rPr>
                <w:sz w:val="20"/>
                <w:szCs w:val="20"/>
                <w:color w:val="auto"/>
              </w:rPr>
            </w:pPr>
            <w:r>
              <w:rPr>
                <w:rFonts w:ascii="Arial" w:cs="Arial" w:eastAsia="Arial" w:hAnsi="Arial"/>
                <w:sz w:val="14"/>
                <w:szCs w:val="14"/>
                <w:b w:val="1"/>
                <w:bCs w:val="1"/>
                <w:color w:val="auto"/>
              </w:rPr>
              <w:t>Year-over-Year Change</w:t>
            </w:r>
          </w:p>
        </w:tc>
        <w:tc>
          <w:tcPr>
            <w:tcW w:w="200" w:type="dxa"/>
            <w:vAlign w:val="bottom"/>
            <w:vMerge w:val="restart"/>
          </w:tcPr>
          <w:p>
            <w:pPr>
              <w:spacing w:after="0"/>
              <w:rPr>
                <w:sz w:val="14"/>
                <w:szCs w:val="14"/>
                <w:color w:val="auto"/>
              </w:rPr>
            </w:pPr>
          </w:p>
        </w:tc>
        <w:tc>
          <w:tcPr>
            <w:tcW w:w="212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2300" w:type="dxa"/>
            <w:vAlign w:val="bottom"/>
            <w:gridSpan w:val="3"/>
            <w:vMerge w:val="restart"/>
          </w:tcPr>
          <w:p>
            <w:pPr>
              <w:jc w:val="right"/>
              <w:ind w:right="416"/>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00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57"/>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1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Increase</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57"/>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Increase(Decrease)</w:t>
            </w: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Percent</w:t>
            </w:r>
          </w:p>
        </w:tc>
        <w:tc>
          <w:tcPr>
            <w:tcW w:w="2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896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(Loss) income from</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unconsolidated affiliates</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n/m</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Foreign currency exchange</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200"/>
              <w:spacing w:after="0"/>
              <w:rPr>
                <w:sz w:val="20"/>
                <w:szCs w:val="20"/>
                <w:color w:val="auto"/>
              </w:rPr>
            </w:pPr>
            <w:r>
              <w:rPr>
                <w:rFonts w:ascii="Arial" w:cs="Arial" w:eastAsia="Arial" w:hAnsi="Arial"/>
                <w:sz w:val="18"/>
                <w:szCs w:val="18"/>
                <w:color w:val="auto"/>
              </w:rPr>
              <w:t>(loss) gain, net</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2,899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(3,610)</w:t>
            </w:r>
          </w:p>
        </w:tc>
        <w:tc>
          <w:tcPr>
            <w:tcW w:w="100" w:type="dxa"/>
            <w:vAlign w:val="bottom"/>
          </w:tcPr>
          <w:p>
            <w:pPr>
              <w:spacing w:after="0"/>
              <w:rPr>
                <w:sz w:val="20"/>
                <w:szCs w:val="20"/>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n/m</w:t>
            </w:r>
          </w:p>
        </w:tc>
        <w:tc>
          <w:tcPr>
            <w:tcW w:w="1000" w:type="dxa"/>
            <w:vAlign w:val="bottom"/>
          </w:tcPr>
          <w:p>
            <w:pPr>
              <w:jc w:val="right"/>
              <w:spacing w:after="0"/>
              <w:rPr>
                <w:sz w:val="20"/>
                <w:szCs w:val="20"/>
                <w:color w:val="auto"/>
              </w:rPr>
            </w:pPr>
            <w:r>
              <w:rPr>
                <w:rFonts w:ascii="Arial" w:cs="Arial" w:eastAsia="Arial" w:hAnsi="Arial"/>
                <w:sz w:val="18"/>
                <w:szCs w:val="18"/>
                <w:color w:val="auto"/>
              </w:rPr>
              <w:t>(5,067)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2,658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(7,725)</w:t>
            </w:r>
          </w:p>
        </w:tc>
        <w:tc>
          <w:tcPr>
            <w:tcW w:w="100" w:type="dxa"/>
            <w:vAlign w:val="bottom"/>
          </w:tcPr>
          <w:p>
            <w:pPr>
              <w:spacing w:after="0"/>
              <w:rPr>
                <w:sz w:val="20"/>
                <w:szCs w:val="20"/>
                <w:color w:val="auto"/>
              </w:rPr>
            </w:pPr>
          </w:p>
        </w:tc>
        <w:tc>
          <w:tcPr>
            <w:tcW w:w="134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gains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n/m</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9"/>
        </w:trPr>
        <w:tc>
          <w:tcPr>
            <w:tcW w:w="2420" w:type="dxa"/>
            <w:vAlign w:val="bottom"/>
            <w:gridSpan w:val="2"/>
          </w:tcPr>
          <w:p>
            <w:pPr>
              <w:ind w:left="340"/>
              <w:spacing w:after="0"/>
              <w:rPr>
                <w:sz w:val="20"/>
                <w:szCs w:val="20"/>
                <w:color w:val="auto"/>
              </w:rPr>
            </w:pPr>
            <w:r>
              <w:rPr>
                <w:rFonts w:ascii="Arial" w:cs="Arial" w:eastAsia="Arial" w:hAnsi="Arial"/>
                <w:sz w:val="18"/>
                <w:szCs w:val="18"/>
                <w:color w:val="auto"/>
              </w:rPr>
              <w:t>Other (expense) income,</w:t>
            </w: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(2,993)</w:t>
            </w: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3,297</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(6,290)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   (10,651)</w:t>
            </w: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(1,619)</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(9,032)</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500"/>
              <w:spacing w:after="0"/>
              <w:rPr>
                <w:sz w:val="20"/>
                <w:szCs w:val="20"/>
                <w:color w:val="auto"/>
              </w:rPr>
            </w:pPr>
            <w:r>
              <w:rPr>
                <w:rFonts w:ascii="Arial" w:cs="Arial" w:eastAsia="Arial" w:hAnsi="Arial"/>
                <w:sz w:val="18"/>
                <w:szCs w:val="18"/>
                <w:color w:val="auto"/>
              </w:rPr>
              <w:t>net</w:t>
            </w:r>
          </w:p>
        </w:tc>
        <w:tc>
          <w:tcPr>
            <w:tcW w:w="24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n/m</w:t>
            </w:r>
          </w:p>
        </w:tc>
        <w:tc>
          <w:tcPr>
            <w:tcW w:w="10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8890</wp:posOffset>
            </wp:positionV>
            <wp:extent cx="4793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9361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-130175</wp:posOffset>
            </wp:positionV>
            <wp:extent cx="4793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936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increase in interest income for the third quarter and first nine months of 2014 compared to the same periods of 2013 was primarily due to an increase in interest earned on overnight deposits in Brazil and on customer funds held on deposit related to money transfer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decrease in interest expense for the first nine months of 2014 compared to the same period of 2013 was the result of lower average borrowings outstanding under our revolving credit facility during the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gains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July 2013, we completed the sale of our 40% equity method investment in epay Malaysia, which resulted in the recognition of a $2.8 million gain. In the first half of 2013, we recorded a $0.4 million impairment charge to an investment in an unconsolidated subsidiary.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(loss) gain, net</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determining net income. The majority of our foreign currency exchange gains or losses are due to the re-measurement of intercompany loans which are not considered a long-term investment in nature and are in a currency other than the functional currency of one of the parties to the loan. For example, we make intercompany loans based in euros from our corporate division, which is comprised of U.S. dollar functional currency entities, to certain European entities that use the euro as the functional currency. As the U.S. 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recorded a net foreign currency exchange loss of $0.7 million and $5.1 million for the third quarter and first nine months of 2014, respectively, and a net foreign currency exchange gain of $2.9 million and $2.7 million for the third quarter and first nine months of 2013, respectively. These realized and unrealized net foreign currency exchange gains and losses reflect the fluctuation in the value of the U.S. dollar against the currencies of the countries in which we operate during the respective periods.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The Company's effective income tax rates were 26.9% and 18.2% for the third quarter of 2014 and 2013, respectively, and 27.7% and 22.3% for the first nine months of 2014 and 2013, respectively. The increase in the effective income tax rate for the third quarter and first nine months of 2014 compared to the same periods of 2013 was primarily due to the recognition of a $19.3 million nontaxable gain related to the change in fair value of an acquisition-related contingent consideration liability and a $2.8 million nontaxable gain on the sale of an equity investment in the third quarter of 2013.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OR LOSS ATTRIBUTABLE TO NONCONTROLLING INTERESTS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Noncontrolling interests represents the elimination of net income or loss attributable to the minority shareholders’ portion of the following consolidated subsidiaries that are not wholly owned: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Percent</w:t>
            </w: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Segment - Country</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epay - Spain</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Euronet China</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75%</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EFT - China</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EFT - Pakistan</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Universal Solutions Partners</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51%</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6"/>
              </w:rPr>
              <w:t>EFT - UAE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EURONET</w:t>
      </w:r>
    </w:p>
    <w:p>
      <w:pPr>
        <w:spacing w:after="0" w:line="12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Net income attributable to Euronet was $35.0 million for the third quarter and $71.6 million for the first nine months of 2014 compared to $47.9 million for the third quarter and $78.0 million for the first nine months of 2013. As more fully discussed above, the decrease in net income for the first nine months of 2014 compared to the same period of 2013 was primarily due to an increase in net foreign currency exchange loss of $7.7 million, an increase in income tax expense of $4.8 million and a decrease in other non-operating income items of $1.7 million. These decreases to net income were partly offset by an increase in operating income of $6.9 million and a decrease in interest expense of $0.9 million.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September 30, 2014 and December 31, 2013, we had working capital, which is calculated as the difference between total current assets and total current liabilities, of $191.2 million and $108.4 million, respectively. Our ratio of current assets to current liabilities at September 30, 2014 and December 31, 2013 was 1.24 and 1.15, respectively.</w:t>
      </w:r>
    </w:p>
    <w:p>
      <w:pPr>
        <w:spacing w:after="0" w:line="7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require substantial working capital to finance operations. In the Money Transfer Segment, we fund the payout of the majority of Ria's consumer-to-consumer money transfers services before receiving the benefit of amounts collected from customers by agents. Working capital needs increase due to weekends and international banking holidays. As a result, we may report more or less working capital for the Money Transfer Segment based solely upon the day on which the reporting period ends. The epay Segment produces positive working capital, but much of it is restricted in connection with the administration of its customer collection and vendor remittance activities. In our EFT Processing Segment, we obtain the majority of the cash required to operate our ATMs through various cash supply arrangements, the amount of which is not recorded on Euronet's Consolidated Balance Sheets. In certain countries, we fund the cash required to operate our ATM network from borrowings under the revolving credit facility and cash flows from operations. As of September 30, 2014, we had approximately $116 million of our own cash in use or designated for use in our ATM network, which is recorded in cash and cash equivalents on Euronet's Consolidated Balance Sheet.</w:t>
      </w:r>
    </w:p>
    <w:p>
      <w:pPr>
        <w:spacing w:after="0" w:line="7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had cash and cash equivalents of $451.2 million at September 30, 2014, of which $383.2 million was held outside of the United States and is expected to be indefinitely reinvested for continued use in foreign operations. Repatriation of these assets to the U.S. could have negative tax consequences.</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identifies cash and cash equivalents provided by/(used in) our operating, investing and financing activities for the nine-month periods ended September 30, 2014 and 2013 (in thousands):</w:t>
      </w:r>
    </w:p>
    <w:p>
      <w:pPr>
        <w:spacing w:after="0" w:line="117" w:lineRule="exact"/>
        <w:rPr>
          <w:sz w:val="20"/>
          <w:szCs w:val="20"/>
          <w:color w:val="auto"/>
        </w:rPr>
      </w:pPr>
    </w:p>
    <w:p>
      <w:pPr>
        <w:ind w:left="930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ind w:left="95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33020</wp:posOffset>
            </wp:positionV>
            <wp:extent cx="18008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Liquidity</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provided by (used in):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224,639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150,564</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(54,994)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179,143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(52,522)</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exchange rate changes on cash and cash equivalents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(27,988)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Increase in cash and cash equivalents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241,361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43,036</w:t>
            </w:r>
          </w:p>
        </w:tc>
      </w:tr>
      <w:tr>
        <w:trPr>
          <w:trHeight w:val="20"/>
        </w:trPr>
        <w:tc>
          <w:tcPr>
            <w:tcW w:w="8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activity cash flow</w:t>
      </w:r>
    </w:p>
    <w:p>
      <w:pPr>
        <w:spacing w:after="0" w:line="117"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Cash flows provided by operating activities were $224.6 million for the first nine months of 2014 compared to $150.6 million for the first nine months of 2013. The increase is primarily due to improved operating results and fluctuations in working capital mainly associated with the timing of the settlement processes with mobile operators in the epay Segment and with correspondents in the Money Transfer Segment.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Cash flows used in investing activities were $134.4 million for the first nine months of 2014 compared to $55.0 million for the first nine months of 2013. Cash used for acquisitions was $84.7 million for the first nine months of 2014 compared to $30.8 million for the first nine months of 2013. During the first nine months of 2014, we used $45.7 million for purchases of property and equipment compared to $27.6 million during the first nine months of 2013; the increase was primarily related to ATM network expansion. Cash used for software development and other investing activities totaled $4.1 million each for the first nine months of 2014 and 2013. Additionally, we received $7.6 million of net proceeds from the sale of an equity method investment during the first nine months of 2013.</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Cash flows provided by financing activities were $179.1 million for the first nine months of 2014 compared to cash flows used in financing activities of $52.5 million for the first nine months of 2013. Our financing activities for the first nine months of 2014 consisted of net borrowings of $175.5 million compared to net repayments of debt obligations of $50.0 million for the first nine months of 2013. The increase in net borrowings during the first nine months of 2014 compared to the same period of 2013 was the result of cash used from borrowings under our revolving credit facility to fund the acquisitions of EIM (FX) Limited and TBK (FM) Limited and an increase in ATM network cash requirements. Further, we had $2.8 million of net borrowings from other short-term debt obligations and $9.0 million of proceeds from the amendment of our Term Loan A during the first nine months of 2014. We used $1.9 million and $2.0 million during the first nine months of 2014 and 2013, respectively, for capital lease repayments. We used $7.9 million during the first nine months of 2013 for the acquisition of subsidiary shares from a holder of noncontrolling interests. Additionally, we received proceeds of $7.4 million and $7.5 million during the first nine months of 2014 and 2013, respectively, for the issuance of common stock in connection with our Stock Incentive Plan.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Facility</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September 30, 2014, we had a $675 million senior secured credit facility (the "Credit Facility") consisting of a $590 million revolving credit facility, a $10 million India revolving credit facility and an $75 million term loan ("Term Loan A"), which had been reduced to $73.1 million through principal amortization payments. The revolving credit facility allows for borrowings in U.S. dollars, euros, British pounds, Australian dollars and/or Indian rupees and contains a $200 million sublimit for the issuance of letters of credit and a $25 million sublimit for swingline loans. We use the revolving credit facility primarily to fund working capital requirements which are expected to increase as we expand the Money Transfer business and our independent ATM network. Based on our current projected working capital requirements, we anticipate that our revolving credit facility will be sufficient to fund our working capital needs.</w:t>
      </w:r>
    </w:p>
    <w:p>
      <w:pPr>
        <w:spacing w:after="0" w:line="81" w:lineRule="exact"/>
        <w:rPr>
          <w:sz w:val="20"/>
          <w:szCs w:val="20"/>
          <w:color w:val="auto"/>
        </w:rPr>
      </w:pPr>
    </w:p>
    <w:p>
      <w:pPr>
        <w:spacing w:after="0" w:line="259" w:lineRule="auto"/>
        <w:rPr>
          <w:sz w:val="20"/>
          <w:szCs w:val="20"/>
          <w:color w:val="auto"/>
        </w:rPr>
      </w:pPr>
      <w:r>
        <w:rPr>
          <w:rFonts w:ascii="Arial" w:cs="Arial" w:eastAsia="Arial" w:hAnsi="Arial"/>
          <w:sz w:val="18"/>
          <w:szCs w:val="18"/>
          <w:color w:val="252525"/>
        </w:rPr>
        <w:t xml:space="preserve">On April 9, 2014, we amended the Credit Agreement to, among other things, </w:t>
      </w:r>
      <w:r>
        <w:rPr>
          <w:rFonts w:ascii="Arial" w:cs="Arial" w:eastAsia="Arial" w:hAnsi="Arial"/>
          <w:sz w:val="18"/>
          <w:szCs w:val="18"/>
          <w:color w:val="000000"/>
        </w:rPr>
        <w:t>(i) increase Term Loan A from $66 million to $75 million, (ii) increase the</w:t>
      </w:r>
      <w:r>
        <w:rPr>
          <w:rFonts w:ascii="Arial" w:cs="Arial" w:eastAsia="Arial" w:hAnsi="Arial"/>
          <w:sz w:val="18"/>
          <w:szCs w:val="18"/>
          <w:color w:val="252525"/>
        </w:rPr>
        <w:t xml:space="preserve"> </w:t>
      </w:r>
      <w:r>
        <w:rPr>
          <w:rFonts w:ascii="Arial" w:cs="Arial" w:eastAsia="Arial" w:hAnsi="Arial"/>
          <w:sz w:val="18"/>
          <w:szCs w:val="18"/>
          <w:color w:val="000000"/>
        </w:rPr>
        <w:t>aggregate credit commitments under the Company’s revolving credit facility from $400 million to $600 million, (iii) reduce the margin over the London Inter-Bank Offered Rate ("LIBOR") and base rate by 12.5 basis points, and (iv) extend the expiration date of the Credit Agreement from August 18, 2016 to April 9, 2019.</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September 30, 2014, fees and interest on borrowings varied based upon the Company's consolidated total leverage ratio (as defined in the Company's Amended and Restated Credit Agreement) (the "Credit Agreement") and are based, in the case of letter of credit fees, on a margin, and in the case of interest, on a margin over LIBOR or a margin over the base rate, as selected by us, with the applicable margin ranging from 1.375% to 2.375% for LIBOR loans and 0.375% to 1.375% for base rate loans.</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September 30, 2014, we had borrowings of $73.1 million outstanding under Term Loan A. We had $296.5 million of borrowings and $49.9 million of stand-by letters of credit outstanding under the revolving credit facility as of September 30, 2014. The remaining $253.6 million under the revolving credit facility was available for borrowing. As of September 30, 2014, our weighted average interest rates under the revolving credit facility and Term Loan A were 1.96% and 1.78%, respectively, excluding amortization of deferred financing costs.</w:t>
      </w:r>
    </w:p>
    <w:p>
      <w:pPr>
        <w:spacing w:after="0" w:line="79"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u w:val="single" w:color="auto"/>
          <w:color w:val="auto"/>
        </w:rPr>
        <w:t>Short-term debt obligations</w:t>
      </w:r>
      <w:r>
        <w:rPr>
          <w:rFonts w:ascii="Arial" w:cs="Arial" w:eastAsia="Arial" w:hAnsi="Arial"/>
          <w:sz w:val="17"/>
          <w:szCs w:val="17"/>
          <w:color w:val="auto"/>
        </w:rPr>
        <w:t xml:space="preserve"> - Short-term debt obligations as of September 30, 2014 were primarily comprised of $4.7 million of payments due in the next twelve months under Term Loan A. Certain of our subsidiaries also have available credit lines and overdraft facilities to supplement short-term working capital requirements, when necessary, and there was $4.7 million outstanding under these facilities as of September 30, 2014.</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225"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u w:val="single" w:color="auto"/>
          <w:color w:val="auto"/>
        </w:rPr>
        <w:t>Capital expenditures and needs</w:t>
      </w:r>
      <w:r>
        <w:rPr>
          <w:rFonts w:ascii="Arial" w:cs="Arial" w:eastAsia="Arial" w:hAnsi="Arial"/>
          <w:sz w:val="16"/>
          <w:szCs w:val="16"/>
          <w:color w:val="auto"/>
        </w:rPr>
        <w:t xml:space="preserve"> - Total capital expenditures for the first nine months of 2014 were $47.7 million. These capital expenditures were made primarily for the purchase of ATMs in Poland and India, as well as for office, data center and company store computer equipment and software, and POS terminals for the epay Segment. Total capital expenditures for 2014 are currently estimated to range from approximately $55.0 million to $65.0 million.</w:t>
      </w:r>
    </w:p>
    <w:p>
      <w:pPr>
        <w:spacing w:after="0" w:line="14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revolving credit facility and other existing and potential future financing sources, will be sufficient to meet our debt, leasing and capital expenditure obligations. If our capital resources are not sufficient to meet these obligations, we will seek to issue additional debt and/or equity under terms acceptable to us. However, we can offer no assurances that we will be able to obtain favorable terms for the refinancing of any of our debt or other obligations or for the issuance of additional equity.</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plan</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September 2013, the Board of Directors authorized a stock repurchase program ("2013 Program") allowing Euronet to repurchase up to $100 million in value or 5 million shares of its common stock through September 19, 2015. Repurchases under the 2013 Program may take place in the open market or in privately negotiated transactions, including derivative transactions, and may be made under a Rule 10b5-1 plan. There were no repurchases of common stock under the 2013 Program during the third quarter of 2014.</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u w:val="single" w:color="auto"/>
          <w:color w:val="auto"/>
        </w:rPr>
        <w:t>HiFX Acquisition</w:t>
      </w:r>
      <w:r>
        <w:rPr>
          <w:rFonts w:ascii="Arial" w:cs="Arial" w:eastAsia="Arial" w:hAnsi="Arial"/>
          <w:sz w:val="18"/>
          <w:szCs w:val="18"/>
          <w:color w:val="auto"/>
        </w:rPr>
        <w:t xml:space="preserve"> - On May 20, 2014, we completed the acquisition of all of the capital stock of EIM (FX) Limited and TBK (FM) Limited, each a United Kingdom limited company, which own subsidiaries that operate under the brand names HiFX and HiFM, respectively. Under the terms of the Purchase Agreement, the sellers received purchase consideration (the "Purchase Consideration") of £111.8 million in cash ($188.0 million), including working capital adjustments finalized in the third quarter of 2014, and 1,262,654 shares of Euronet common stock, with a fair value at date of acquisition of $56.6 million (the "Consideration Shares"). An amount equal to $16.0 million of the cash portion of the Purchase Consideration and all of the Consideration Shares were placed in escrow at closing as security for the sellers' indemnification and other obligations under the Purchase Agreement. Any Purchase Consideration remaining in escrow will be released to the sellers two years following the closing date, net of any pending indemnification or other claims under the Purchase Agreement.</w:t>
      </w:r>
    </w:p>
    <w:p>
      <w:pPr>
        <w:spacing w:after="0" w:line="8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HiFX offers account-to-account international payment services to high-income individuals and small-to-medium sized businesses, complementing Euronet’s existing consumer-to-consumer money transfer business. HiFX has an innovative multi-channel platform which allows customers to make transfers, track payments and manage their international payment activity online or through a customer service representative. HiFM offers cash management solutions and foreign currency risk management services to small-to-medium sized businesses.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trends and uncertainties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Although Euronet has no direct investments in European sovereign debt, we are indirectly exposed to its risks. Many of the customers of our EFT Processing Segment are banks who may hold investments in European sovereign debt. To the extent those customers are negatively impacted by those investments, they may be less able to pay amounts owed to us or renew service agreements with us. Further, to the extent that sovereign debt concerns depress economic activity, such concerns may negatively impact the number of transactions processed on our epay, EFT and money transfer networks, resulting in lower revenues.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commercial counterparties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September 30, 2014, there were no material changes from the disclosure in our Annual Report on Form 10-K for the year ended December 31, 2013. To date, we are not aware of any significant claims made by the indemnified parties or parties to whom we have provided guarantees on behalf of our subsidiaries and, accordingly, no liabilities have been recorded as of September 30, 2014. See also Note 12, Commitments, to the unaudited consolidated financial statements included elsewhere in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September 30, 2014, our future contractual obligations have not changed significantly from the amounts reported within our 2013 Form 10-K with the exception of the amendment to our Credit Facility. See the discussion under "Liquidity and Capital Resources - Other Sources of Capital - Credit Facility" above for additional information.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422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Interest rate risk</w:t>
      </w:r>
    </w:p>
    <w:p>
      <w:pPr>
        <w:ind w:right="60"/>
        <w:spacing w:after="0" w:line="259" w:lineRule="auto"/>
        <w:rPr>
          <w:sz w:val="20"/>
          <w:szCs w:val="20"/>
          <w:color w:val="auto"/>
        </w:rPr>
      </w:pPr>
      <w:r>
        <w:rPr>
          <w:rFonts w:ascii="Arial" w:cs="Arial" w:eastAsia="Arial" w:hAnsi="Arial"/>
          <w:sz w:val="18"/>
          <w:szCs w:val="18"/>
          <w:color w:val="auto"/>
        </w:rPr>
        <w:t>As of September 30, 2014, our total debt outstanding was $378.6 million. Of this amount, $374.4 million, or 99% of our total debt obligations, relates to debt that accrues interest at variable rates. If we were to maintain these borrowings for one year and maximize the potential borrowings available under the revolving credit facility for one year, a 1% (100 basis points) increase in the applicable interest rate would result in additional annual interest expense to the Company of approximately $6.2 million.</w:t>
      </w:r>
    </w:p>
    <w:p>
      <w:pPr>
        <w:spacing w:after="0" w:line="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remaining $4.2 million, or 1% of our total debt obligations, relates to capitalized leases with fixed payment and interest terms that expire between 2014 and 2018.</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the first nine months of 2014, approximately 75% of our revenues were generated in non-U.S. dollar countries and we expect to continue generating a significant portion of our revenues in countries with currencies other than the U.S. dollar.</w:t>
      </w:r>
    </w:p>
    <w:p>
      <w:pPr>
        <w:spacing w:after="0" w:line="6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We are particularly vulnerable to fluctuations in exchange rates of the U.S. dollar to the currencies of countries in which we have significant operations, primarily the Australian dollar, Brazilian real, British pound, euro, Indian Rupee, Hungarian forint and Polish zloty. As of September 30, 2014, we estimate that a 10% fluctuation in these foreign currency exchange rates would have the combined annualized effect on reported net income and working capital of approximately $40 million to $45 million. This effect is estimated by applying a 10% adjustment factor to our non-U.S. dollar results from operations, intercompany loans that generate foreign currency exchange gains or losses and working capital balances that require translation from the respective functional currency to the U.S. dollar reporting currency. 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$70 million to $75 million as a result of the change in value of these items during translation to the U.S. dollar. For the fluctuations described above, a strengthening U.S. dollar produces a financial loss, while a weakening U.S. dollar produces a financial gain. 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the weakening of the U.S. dollar and negatively impacted by the strengthening of the U.S. dollar. Additionally, our debt obligations are primarily in U.S. dollars; therefore, as foreign currency exchange rates fluctuate, the amount available for repayment of debt will also increase or decrease.</w:t>
      </w:r>
    </w:p>
    <w:p>
      <w:pPr>
        <w:spacing w:after="0" w:line="6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also exposed to foreign currency exchange rate risk in our Money Transfer Segment. A majority of the money transfer business involves receiving and disbursing different currencies, in which we earn a foreign currency spread based on the difference between buying currency at wholesale exchange rates and selling the currency to customers at retail exchange rates. We enter into foreign currency forwards and cross-currency swaps, to minimize exposure related to fluctuations in foreign currency exchange rates. As of September 30, 2014, we had foreign currency derivative contracts outstanding with a notional value of $928 million, primarily in Australian dollars, British pounds, Canadian dollars, euros and Mexican pesos, that were not designated as hedges and mature within the next twelve months. See Note 8, Derivative Instruments and Hedging Activities to our Consolidated Financial Statements for additional information.</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September 30, 2014.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Internal Controls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have not been any changes in internal control over financial reporting during the three months ended September 30, 2014 that have materially affected, or are reasonably likely to materially affect, our internal control over financial reporting.</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legal or regulatory proceedings arising in the ordinary course of its business.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discussion regarding contingencies in Part I, Item 1 — Financial Statements (Unaudited), Note 13, Litigation and Contingencies, to the unaudited consolidated financial statements in this report is incorporated herein by reference.</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Currently, there are no other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You should carefully consider the risks described in Part I, Item 1A. Risk Factors in our Annual Report on Form 10-K for the fiscal year ended December 31, 2013, as may be updated in our subsequent filings with the SEC, before making an investment decision. Our operations are subject to a number of risks and uncertainties, including the risks and uncertainties described in our Annual Report on Form 10-K, as may be updated by any subsequent Quarterly Reports on Form 10-Q, including this Form 10-Q. If any of the risks identified in our Annual Report on Form 10-K, as may be updated by any subsequent Quarterly Reports on Form 10-Q, actually occurs, our business, financial condition or results of operations could be materially adversely affected. In that case, the trading price of our common stock could decline substantially. This Quarterly Report also contains forward-looking statements that involve risks and uncertainties. Our actual results could differ materially from those anticipated in the forward-looking statements as a result of a number of factors, including the risks described in our Risk Factors and elsewhere in this Quarterly Report.</w:t>
      </w:r>
    </w:p>
    <w:p>
      <w:pPr>
        <w:spacing w:after="0" w:line="1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There have been no material changes from the risk factors previously disclosed in the Company's Annual Report on Form 10-K for the year ended December 31, 2013 and Quarterly Report on From 10-Q for the three months ended June 30, 2014, as filed with the SEC.</w:t>
      </w:r>
    </w:p>
    <w:p>
      <w:pPr>
        <w:spacing w:after="0" w:line="3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125" w:right="2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6"/>
                <w:szCs w:val="16"/>
                <w:color w:val="auto"/>
              </w:rPr>
            </w:pPr>
          </w:p>
        </w:tc>
        <w:tc>
          <w:tcPr>
            <w:tcW w:w="9360" w:type="dxa"/>
            <w:vAlign w:val="bottom"/>
          </w:tcPr>
          <w:p>
            <w:pPr>
              <w:ind w:left="3880"/>
              <w:spacing w:after="0"/>
              <w:rPr>
                <w:sz w:val="20"/>
                <w:szCs w:val="20"/>
                <w:color w:val="auto"/>
              </w:rPr>
            </w:pPr>
            <w:r>
              <w:rPr>
                <w:rFonts w:ascii="Arial" w:cs="Arial" w:eastAsia="Arial" w:hAnsi="Arial"/>
                <w:sz w:val="14"/>
                <w:szCs w:val="14"/>
                <w:b w:val="1"/>
                <w:bCs w:val="1"/>
                <w:color w:val="auto"/>
              </w:rPr>
              <w:t>Description</w:t>
            </w:r>
          </w:p>
        </w:tc>
      </w:tr>
      <w:tr>
        <w:trPr>
          <w:trHeight w:val="472"/>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4"/>
                <w:szCs w:val="24"/>
                <w:color w:val="auto"/>
              </w:rPr>
            </w:pPr>
          </w:p>
        </w:tc>
        <w:tc>
          <w:tcPr>
            <w:tcW w:w="102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Computation of Ratio of Earnings to Fixed Charges</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302</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Executive Officer</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302</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Financial Officer</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906</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Executive Officer</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906</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Financial Officer</w:t>
            </w:r>
          </w:p>
        </w:tc>
      </w:tr>
      <w:tr>
        <w:trPr>
          <w:trHeight w:val="256"/>
        </w:trPr>
        <w:tc>
          <w:tcPr>
            <w:tcW w:w="104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8"/>
              </w:rPr>
              <w:t>The following materials from Euronet Worldwide, Inc.’s Quarterly Report on Form 10-Q for the quarter ended September 30, 2014,</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4"/>
              </w:rPr>
              <w:t>formatted in XBRL (eXtensible Business Reporting Language): (i) Consolidated Balance Sheets at September 30, 2014 (unaudited) and</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1"/>
              </w:rPr>
              <w:t>December 31, 2013, (ii) Consolidated Statements of Income (unaudited) for the three and nine months ended September 30, 2014 and 2013,</w:t>
            </w:r>
          </w:p>
        </w:tc>
      </w:tr>
    </w:tbl>
    <w:p>
      <w:pPr>
        <w:ind w:left="1180" w:right="100"/>
        <w:spacing w:after="0" w:line="255" w:lineRule="auto"/>
        <w:rPr>
          <w:sz w:val="20"/>
          <w:szCs w:val="20"/>
          <w:color w:val="auto"/>
        </w:rPr>
      </w:pPr>
      <w:r>
        <w:rPr>
          <w:rFonts w:ascii="Arial" w:cs="Arial" w:eastAsia="Arial" w:hAnsi="Arial"/>
          <w:sz w:val="18"/>
          <w:szCs w:val="18"/>
          <w:color w:val="auto"/>
        </w:rPr>
        <w:t>(iii) Consolidated Statements of Comprehensive Income (Loss) (unaudited) for the three and nine months ended September 30, 2014 and 2013, (iv) Consolidated Statements of Cash Flows (unaudited) for the nine months ended September 30, 2014 and 2013, and (v) Notes to the Unaudited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Filed herewith.</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Pursuant to Item 601(b)(32) of Regulation S-K, this Exhibit is furnished rather than filed with this Form 10-Q.</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October 28,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Pr>
          <w:p>
            <w:pPr>
              <w:jc w:val="center"/>
              <w:spacing w:after="0"/>
              <w:rPr>
                <w:sz w:val="20"/>
                <w:szCs w:val="20"/>
                <w:color w:val="auto"/>
              </w:rPr>
            </w:pPr>
            <w:r>
              <w:rPr>
                <w:rFonts w:ascii="Arial" w:cs="Arial" w:eastAsia="Arial" w:hAnsi="Arial"/>
                <w:sz w:val="18"/>
                <w:szCs w:val="18"/>
                <w:color w:val="auto"/>
                <w:w w:val="97"/>
              </w:rPr>
              <w:t>/s/ MICHAEL J. BROWN</w:t>
            </w:r>
          </w:p>
        </w:tc>
      </w:tr>
      <w:tr>
        <w:trPr>
          <w:trHeight w:val="27"/>
        </w:trPr>
        <w:tc>
          <w:tcPr>
            <w:tcW w:w="54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3"/>
              </w:rPr>
              <w:t>Michael J. Brown</w:t>
            </w:r>
          </w:p>
        </w:tc>
      </w:tr>
      <w:tr>
        <w:trPr>
          <w:trHeight w:val="270"/>
        </w:trPr>
        <w:tc>
          <w:tcPr>
            <w:tcW w:w="540" w:type="dxa"/>
            <w:vAlign w:val="bottom"/>
          </w:tcPr>
          <w:p>
            <w:pPr>
              <w:spacing w:after="0"/>
              <w:rPr>
                <w:sz w:val="23"/>
                <w:szCs w:val="23"/>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81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Pr>
          <w:p>
            <w:pPr>
              <w:jc w:val="center"/>
              <w:ind w:right="10"/>
              <w:spacing w:after="0"/>
              <w:rPr>
                <w:sz w:val="20"/>
                <w:szCs w:val="20"/>
                <w:color w:val="auto"/>
              </w:rPr>
            </w:pPr>
            <w:r>
              <w:rPr>
                <w:rFonts w:ascii="Arial" w:cs="Arial" w:eastAsia="Arial" w:hAnsi="Arial"/>
                <w:sz w:val="18"/>
                <w:szCs w:val="18"/>
                <w:color w:val="auto"/>
                <w:w w:val="97"/>
              </w:rPr>
              <w:t>/s/ RICK L. WELLER</w:t>
            </w:r>
          </w:p>
        </w:tc>
      </w:tr>
      <w:tr>
        <w:trPr>
          <w:trHeight w:val="27"/>
        </w:trPr>
        <w:tc>
          <w:tcPr>
            <w:tcW w:w="54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5"/>
              </w:rPr>
              <w:t>Rick L. Weller</w:t>
            </w:r>
          </w:p>
        </w:tc>
      </w:tr>
      <w:tr>
        <w:trPr>
          <w:trHeight w:val="270"/>
        </w:trPr>
        <w:tc>
          <w:tcPr>
            <w:tcW w:w="540" w:type="dxa"/>
            <w:vAlign w:val="bottom"/>
          </w:tcPr>
          <w:p>
            <w:pPr>
              <w:spacing w:after="0"/>
              <w:rPr>
                <w:sz w:val="23"/>
                <w:szCs w:val="23"/>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60"/>
          </w:cols>
          <w:pgMar w:left="240" w:top="125" w:right="39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12.1</w:t>
      </w:r>
    </w:p>
    <w:p>
      <w:pPr>
        <w:spacing w:after="0" w:line="27"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EURONET WORLDWIDE, INC.</w:t>
      </w:r>
    </w:p>
    <w:p>
      <w:pPr>
        <w:spacing w:after="0" w:line="9"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56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156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28"/>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income before adjustment for income from unconsolidated</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subsidiaries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58,642</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98,655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100,424</w:t>
            </w: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Add:</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Fixed charges</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16,101</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20"/>
              <w:spacing w:after="0"/>
              <w:rPr>
                <w:sz w:val="20"/>
                <w:szCs w:val="20"/>
                <w:color w:val="auto"/>
              </w:rPr>
            </w:pPr>
            <w:r>
              <w:rPr>
                <w:rFonts w:ascii="Arial" w:cs="Arial" w:eastAsia="Arial" w:hAnsi="Arial"/>
                <w:sz w:val="18"/>
                <w:szCs w:val="18"/>
                <w:color w:val="auto"/>
              </w:rPr>
              <w:t>Dividends received</w:t>
            </w:r>
          </w:p>
        </w:tc>
        <w:tc>
          <w:tcPr>
            <w:tcW w:w="1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pretax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52,843</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64,288</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111,779</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116,851</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20"/>
              <w:spacing w:after="0"/>
              <w:rPr>
                <w:sz w:val="20"/>
                <w:szCs w:val="20"/>
                <w:color w:val="auto"/>
              </w:rPr>
            </w:pPr>
            <w:r>
              <w:rPr>
                <w:rFonts w:ascii="Arial" w:cs="Arial" w:eastAsia="Arial" w:hAnsi="Arial"/>
                <w:sz w:val="18"/>
                <w:szCs w:val="18"/>
                <w:color w:val="auto"/>
              </w:rPr>
              <w:t>Fixed charges:</w:t>
            </w: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8,372</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60"/>
              <w:spacing w:after="0"/>
              <w:rPr>
                <w:sz w:val="20"/>
                <w:szCs w:val="20"/>
                <w:color w:val="auto"/>
              </w:rPr>
            </w:pPr>
            <w:r>
              <w:rPr>
                <w:rFonts w:ascii="Arial" w:cs="Arial" w:eastAsia="Arial" w:hAnsi="Arial"/>
                <w:sz w:val="18"/>
                <w:szCs w:val="18"/>
                <w:color w:val="auto"/>
              </w:rPr>
              <w:t>Estimate of interest within rental expense</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2,708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7,729</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fixed charges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5,071</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5,646</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13,124</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16,101</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Ratio of earnings to fixed charges</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ectPr>
          <w:pgSz w:w="11900" w:h="16838" w:orient="portrait"/>
          <w:cols w:equalWidth="0" w:num="1">
            <w:col w:w="10280"/>
          </w:cols>
          <w:pgMar w:left="1380" w:top="364"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7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2014</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7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2014</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September 30, 2014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October 28, 2014</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September 30, 2014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October 28, 2014</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2019-12-06T16:21:35Z</dcterms:created>
  <dcterms:modified xsi:type="dcterms:W3CDTF">2019-12-06T16:21:35Z</dcterms:modified>
</cp:coreProperties>
</file>